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昌吉州党委办公室2022年预算公开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sectPr>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宋体" w:eastAsia="仿宋_GB2312"/>
          <w:b/>
          <w:kern w:val="0"/>
          <w:sz w:val="32"/>
          <w:szCs w:val="32"/>
        </w:rPr>
        <w:t>昌吉州党委办公室</w:t>
      </w:r>
      <w:r>
        <w:rPr>
          <w:rFonts w:hint="eastAsia" w:ascii="仿宋_GB2312" w:hAnsi="仿宋_GB2312" w:eastAsia="仿宋_GB2312" w:cs="仿宋_GB2312"/>
          <w:b/>
          <w:kern w:val="0"/>
          <w:sz w:val="32"/>
          <w:szCs w:val="32"/>
        </w:rPr>
        <w:t>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w:t>
      </w:r>
      <w:r>
        <w:rPr>
          <w:rFonts w:hint="eastAsia" w:ascii="仿宋_GB2312" w:hAnsi="宋体" w:eastAsia="仿宋_GB2312"/>
          <w:b/>
          <w:kern w:val="0"/>
          <w:sz w:val="32"/>
          <w:szCs w:val="32"/>
        </w:rPr>
        <w:t>昌吉州党委办公室</w:t>
      </w:r>
      <w:r>
        <w:rPr>
          <w:rFonts w:hint="eastAsia" w:ascii="仿宋_GB2312" w:hAnsi="仿宋_GB2312" w:eastAsia="仿宋_GB2312" w:cs="仿宋_GB2312"/>
          <w:b/>
          <w:kern w:val="0"/>
          <w:sz w:val="32"/>
          <w:szCs w:val="32"/>
        </w:rPr>
        <w:t>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w:t>
      </w:r>
      <w:r>
        <w:rPr>
          <w:rFonts w:hint="eastAsia" w:ascii="仿宋_GB2312" w:hAnsi="宋体" w:eastAsia="仿宋_GB2312"/>
          <w:kern w:val="0"/>
          <w:sz w:val="32"/>
          <w:szCs w:val="32"/>
        </w:rPr>
        <w:t>昌吉州党委办公室</w:t>
      </w:r>
      <w:r>
        <w:rPr>
          <w:rFonts w:hint="eastAsia" w:ascii="仿宋_GB2312" w:hAnsi="仿宋_GB2312" w:eastAsia="仿宋_GB2312" w:cs="仿宋_GB2312"/>
          <w:kern w:val="0"/>
          <w:sz w:val="32"/>
          <w:szCs w:val="32"/>
        </w:rPr>
        <w:t>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w:t>
      </w:r>
      <w:r>
        <w:rPr>
          <w:rFonts w:hint="eastAsia" w:ascii="仿宋_GB2312" w:hAnsi="宋体" w:eastAsia="仿宋_GB2312"/>
          <w:kern w:val="0"/>
          <w:sz w:val="32"/>
          <w:szCs w:val="32"/>
        </w:rPr>
        <w:t>昌吉州党委办公室</w:t>
      </w:r>
      <w:r>
        <w:rPr>
          <w:rFonts w:hint="eastAsia" w:ascii="仿宋_GB2312" w:hAnsi="仿宋_GB2312" w:eastAsia="仿宋_GB2312" w:cs="仿宋_GB2312"/>
          <w:kern w:val="0"/>
          <w:sz w:val="32"/>
          <w:szCs w:val="32"/>
        </w:rPr>
        <w:t>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w:t>
      </w:r>
      <w:r>
        <w:rPr>
          <w:rFonts w:hint="eastAsia" w:ascii="仿宋_GB2312" w:hAnsi="宋体" w:eastAsia="仿宋_GB2312"/>
          <w:kern w:val="0"/>
          <w:sz w:val="32"/>
          <w:szCs w:val="32"/>
        </w:rPr>
        <w:t>昌吉州党委办公室</w:t>
      </w:r>
      <w:r>
        <w:rPr>
          <w:rFonts w:hint="eastAsia" w:ascii="仿宋_GB2312" w:hAnsi="仿宋_GB2312" w:eastAsia="仿宋_GB2312" w:cs="仿宋_GB2312"/>
          <w:kern w:val="0"/>
          <w:sz w:val="32"/>
          <w:szCs w:val="32"/>
        </w:rPr>
        <w:t>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w:t>
      </w:r>
      <w:r>
        <w:rPr>
          <w:rFonts w:hint="eastAsia" w:ascii="仿宋_GB2312" w:hAnsi="宋体" w:eastAsia="仿宋_GB2312"/>
          <w:b/>
          <w:kern w:val="0"/>
          <w:sz w:val="32"/>
          <w:szCs w:val="32"/>
        </w:rPr>
        <w:t>昌吉州党委办公室</w:t>
      </w:r>
      <w:r>
        <w:rPr>
          <w:rFonts w:hint="eastAsia" w:ascii="仿宋_GB2312" w:hAnsi="仿宋_GB2312" w:eastAsia="仿宋_GB2312" w:cs="仿宋_GB2312"/>
          <w:b/>
          <w:kern w:val="0"/>
          <w:sz w:val="32"/>
          <w:szCs w:val="32"/>
        </w:rPr>
        <w:t>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宋体" w:eastAsia="仿宋_GB2312"/>
          <w:kern w:val="0"/>
          <w:sz w:val="32"/>
          <w:szCs w:val="32"/>
        </w:rPr>
        <w:t>昌吉州党委办公室</w:t>
      </w:r>
      <w:r>
        <w:rPr>
          <w:rFonts w:hint="eastAsia" w:ascii="仿宋_GB2312" w:hAnsi="仿宋_GB2312" w:eastAsia="仿宋_GB2312" w:cs="仿宋_GB2312"/>
          <w:kern w:val="0"/>
          <w:sz w:val="32"/>
          <w:szCs w:val="32"/>
        </w:rPr>
        <w:t>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宋体" w:eastAsia="仿宋_GB2312"/>
          <w:kern w:val="0"/>
          <w:sz w:val="32"/>
          <w:szCs w:val="32"/>
        </w:rPr>
        <w:t>昌吉州党委办公室</w:t>
      </w:r>
      <w:r>
        <w:rPr>
          <w:rFonts w:hint="eastAsia" w:ascii="仿宋_GB2312" w:hAnsi="仿宋_GB2312" w:eastAsia="仿宋_GB2312" w:cs="仿宋_GB2312"/>
          <w:kern w:val="0"/>
          <w:sz w:val="32"/>
          <w:szCs w:val="32"/>
        </w:rPr>
        <w:t>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宋体" w:eastAsia="仿宋_GB2312"/>
          <w:kern w:val="0"/>
          <w:sz w:val="32"/>
          <w:szCs w:val="32"/>
        </w:rPr>
        <w:t>昌吉州党委办公室</w:t>
      </w:r>
      <w:r>
        <w:rPr>
          <w:rFonts w:hint="eastAsia" w:ascii="仿宋_GB2312" w:hAnsi="仿宋_GB2312" w:eastAsia="仿宋_GB2312" w:cs="仿宋_GB2312"/>
          <w:kern w:val="0"/>
          <w:sz w:val="32"/>
          <w:szCs w:val="32"/>
        </w:rPr>
        <w:t>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宋体" w:eastAsia="仿宋_GB2312"/>
          <w:kern w:val="0"/>
          <w:sz w:val="32"/>
          <w:szCs w:val="32"/>
        </w:rPr>
        <w:t>昌吉州党委办公室</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昌吉州党委办公室</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昌吉州党委办公室</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昌吉州党委办公室</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宋体" w:eastAsia="仿宋_GB2312"/>
          <w:kern w:val="0"/>
          <w:sz w:val="32"/>
          <w:szCs w:val="32"/>
        </w:rPr>
        <w:t>昌吉州党委办公室</w:t>
      </w:r>
      <w:r>
        <w:rPr>
          <w:rFonts w:hint="eastAsia" w:ascii="仿宋_GB2312" w:hAnsi="仿宋_GB2312" w:eastAsia="仿宋_GB2312" w:cs="仿宋_GB2312"/>
          <w:kern w:val="0"/>
          <w:sz w:val="32"/>
          <w:szCs w:val="32"/>
        </w:rPr>
        <w:t>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宋体" w:eastAsia="仿宋_GB2312"/>
          <w:kern w:val="0"/>
          <w:sz w:val="32"/>
          <w:szCs w:val="32"/>
        </w:rPr>
        <w:t>昌吉州党委办公室</w:t>
      </w:r>
      <w:r>
        <w:rPr>
          <w:rFonts w:hint="eastAsia" w:ascii="仿宋_GB2312" w:hAnsi="仿宋_GB2312" w:eastAsia="仿宋_GB2312" w:cs="仿宋_GB2312"/>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3"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昌吉州党委办公室概况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widowControl/>
        <w:spacing w:line="560" w:lineRule="exact"/>
        <w:ind w:firstLine="66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（一）负责州党委日常工作的综合协调。</w:t>
      </w:r>
    </w:p>
    <w:p>
      <w:pPr>
        <w:widowControl/>
        <w:spacing w:line="560" w:lineRule="exact"/>
        <w:ind w:firstLine="66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（二）负责州党委办公室机关的队伍建设、政治学习、思想教育、党建和精神文明建设工作。</w:t>
      </w:r>
    </w:p>
    <w:p>
      <w:pPr>
        <w:widowControl/>
        <w:spacing w:line="560" w:lineRule="exact"/>
        <w:ind w:firstLine="66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（三）负责自治州党委机关的行政后勤管理、安全保卫工作。</w:t>
      </w:r>
    </w:p>
    <w:p>
      <w:pPr>
        <w:widowControl/>
        <w:spacing w:line="560" w:lineRule="exact"/>
        <w:ind w:firstLine="640" w:firstLineChars="200"/>
        <w:jc w:val="left"/>
        <w:rPr>
          <w:rFonts w:ascii="仿宋_GB2312" w:hAnsi="宋体" w:eastAsia="仿宋_GB2312" w:cs="宋体"/>
          <w:bCs/>
          <w:kern w:val="0"/>
          <w:sz w:val="32"/>
          <w:szCs w:val="32"/>
        </w:rPr>
      </w:pPr>
      <w:r>
        <w:rPr>
          <w:rFonts w:hint="eastAsia" w:ascii="仿宋_GB2312" w:hAnsi="宋体" w:eastAsia="仿宋_GB2312" w:cs="宋体"/>
          <w:kern w:val="0"/>
          <w:sz w:val="32"/>
          <w:szCs w:val="32"/>
        </w:rPr>
        <w:t>（四）承办自治州党委交办的其它工作</w:t>
      </w: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w:t>
      </w:r>
      <w:r>
        <w:rPr>
          <w:rFonts w:hint="eastAsia" w:ascii="仿宋_GB2312" w:hAnsi="宋体" w:eastAsia="仿宋_GB2312"/>
          <w:kern w:val="0"/>
          <w:sz w:val="32"/>
          <w:szCs w:val="32"/>
        </w:rPr>
        <w:t>州党委办公室</w:t>
      </w:r>
      <w:r>
        <w:rPr>
          <w:rFonts w:hint="eastAsia" w:ascii="仿宋_GB2312" w:hAnsi="黑体" w:eastAsia="仿宋_GB2312" w:cs="宋体"/>
          <w:bCs/>
          <w:kern w:val="0"/>
          <w:sz w:val="32"/>
          <w:szCs w:val="32"/>
        </w:rPr>
        <w:t>无下属预算单位，下设 18个科室，分别是：</w:t>
      </w:r>
      <w:r>
        <w:rPr>
          <w:rFonts w:hint="eastAsia" w:ascii="仿宋_GB2312" w:hAnsi="宋体" w:eastAsia="仿宋_GB2312" w:cs="宋体"/>
          <w:kern w:val="0"/>
          <w:sz w:val="32"/>
          <w:szCs w:val="32"/>
        </w:rPr>
        <w:t>综合一科、综合二科、综合三科、文书一科、文书二科、文书三科、行政一科(组织人事科)、行政二科、行政三科、行政四科、信息科、督查科、法规科、档案管理科、计财科、国安办综合协调科、国安办宣传教育科、财经办财经科；所属3家事业单位分别是：州党委专用通信局，州党委国安办情报中心、州财经工作服务中心。</w:t>
      </w:r>
    </w:p>
    <w:p>
      <w:pPr>
        <w:widowControl/>
        <w:spacing w:line="54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w:t>
      </w:r>
      <w:r>
        <w:rPr>
          <w:rFonts w:hint="eastAsia" w:ascii="仿宋_GB2312" w:hAnsi="宋体" w:eastAsia="仿宋_GB2312"/>
          <w:kern w:val="0"/>
          <w:sz w:val="32"/>
          <w:szCs w:val="32"/>
        </w:rPr>
        <w:t>州党委办公室编制人数共94名，其中：核定行政</w:t>
      </w:r>
      <w:r>
        <w:rPr>
          <w:rFonts w:hint="eastAsia" w:ascii="仿宋_GB2312" w:hAnsi="宋体" w:eastAsia="仿宋_GB2312" w:cs="宋体"/>
          <w:kern w:val="0"/>
          <w:sz w:val="32"/>
          <w:szCs w:val="32"/>
        </w:rPr>
        <w:t>编制数66名，参公14名，全额事业编制人数14名。现单位实有人数119人，其中：在职人员84人：增加7人；退休30人，较上增加3人；离休1人，增</w:t>
      </w:r>
      <w:r>
        <w:rPr>
          <w:rFonts w:hint="eastAsia" w:ascii="仿宋_GB2312" w:hAnsi="宋体" w:eastAsia="仿宋_GB2312" w:cs="宋体"/>
          <w:kern w:val="0"/>
          <w:sz w:val="32"/>
          <w:szCs w:val="32"/>
          <w:lang w:eastAsia="zh-CN"/>
        </w:rPr>
        <w:t>加</w:t>
      </w:r>
      <w:r>
        <w:rPr>
          <w:rFonts w:hint="eastAsia" w:ascii="仿宋_GB2312" w:hAnsi="宋体" w:eastAsia="仿宋_GB2312" w:cs="宋体"/>
          <w:kern w:val="0"/>
          <w:sz w:val="32"/>
          <w:szCs w:val="32"/>
          <w:lang w:val="en-US" w:eastAsia="zh-CN"/>
        </w:rPr>
        <w:t>0人</w:t>
      </w:r>
      <w:r>
        <w:rPr>
          <w:rFonts w:hint="eastAsia" w:ascii="仿宋_GB2312" w:hAnsi="宋体" w:eastAsia="仿宋_GB2312" w:cs="宋体"/>
          <w:kern w:val="0"/>
          <w:sz w:val="32"/>
          <w:szCs w:val="32"/>
        </w:rPr>
        <w:t>；援疆干部4人。</w:t>
      </w:r>
    </w:p>
    <w:p>
      <w:pPr>
        <w:widowControl/>
        <w:spacing w:line="560" w:lineRule="exact"/>
        <w:ind w:firstLine="640"/>
        <w:jc w:val="left"/>
        <w:rPr>
          <w:rFonts w:ascii="仿宋_GB2312" w:hAnsi="宋体" w:eastAsia="仿宋_GB2312" w:cs="宋体"/>
          <w:kern w:val="0"/>
          <w:sz w:val="32"/>
          <w:szCs w:val="32"/>
        </w:rPr>
      </w:pPr>
    </w:p>
    <w:p>
      <w:pPr>
        <w:widowControl/>
        <w:spacing w:line="440" w:lineRule="exact"/>
        <w:jc w:val="center"/>
        <w:outlineLvl w:val="1"/>
        <w:rPr>
          <w:rFonts w:ascii="仿宋_GB2312" w:hAnsi="黑体" w:eastAsia="仿宋_GB2312" w:cs="宋体"/>
          <w:bCs/>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年昌吉州党委办公室预算公开表</w:t>
      </w:r>
    </w:p>
    <w:p>
      <w:pPr>
        <w:widowControl/>
        <w:spacing w:line="240" w:lineRule="exact"/>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编制部门（单位）：昌吉州党委办公室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2115.2</w:t>
            </w:r>
            <w:r>
              <w:rPr>
                <w:rFonts w:hint="eastAsia" w:ascii="仿宋_GB2312" w:hAnsi="宋体" w:eastAsia="仿宋_GB2312" w:cs="宋体"/>
                <w:kern w:val="0"/>
                <w:szCs w:val="21"/>
                <w:lang w:val="en-US" w:eastAsia="zh-CN"/>
              </w:rPr>
              <w:t>4</w:t>
            </w: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1763.6</w:t>
            </w:r>
            <w:r>
              <w:rPr>
                <w:rFonts w:hint="eastAsia" w:ascii="仿宋_GB2312" w:hAnsi="宋体" w:eastAsia="仿宋_GB2312" w:cs="宋体"/>
                <w:kern w:val="0"/>
                <w:szCs w:val="21"/>
                <w:lang w:val="en-US" w:eastAsia="zh-CN"/>
              </w:rPr>
              <w:t>4</w:t>
            </w: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2115.2</w:t>
            </w:r>
            <w:r>
              <w:rPr>
                <w:rFonts w:hint="eastAsia" w:ascii="仿宋_GB2312" w:hAnsi="宋体" w:eastAsia="仿宋_GB2312" w:cs="宋体"/>
                <w:kern w:val="0"/>
                <w:szCs w:val="21"/>
                <w:lang w:val="en-US" w:eastAsia="zh-CN"/>
              </w:rPr>
              <w:t>4</w:t>
            </w: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145.</w:t>
            </w:r>
            <w:r>
              <w:rPr>
                <w:rFonts w:hint="eastAsia" w:ascii="仿宋_GB2312" w:hAnsi="宋体" w:eastAsia="仿宋_GB2312" w:cs="宋体"/>
                <w:kern w:val="0"/>
                <w:szCs w:val="21"/>
                <w:lang w:val="en-US" w:eastAsia="zh-CN"/>
              </w:rPr>
              <w:t>20</w:t>
            </w: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Cs w:val="21"/>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96.70</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109.70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Cs w:val="21"/>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Cs w:val="21"/>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Cs w:val="21"/>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2115.2</w:t>
            </w:r>
            <w:r>
              <w:rPr>
                <w:rFonts w:hint="eastAsia" w:ascii="仿宋_GB2312" w:hAnsi="宋体" w:eastAsia="仿宋_GB2312" w:cs="宋体"/>
                <w:kern w:val="0"/>
                <w:szCs w:val="21"/>
                <w:lang w:val="en-US" w:eastAsia="zh-CN"/>
              </w:rPr>
              <w:t>4</w:t>
            </w:r>
            <w:r>
              <w:rPr>
                <w:rFonts w:hint="eastAsia" w:ascii="仿宋_GB2312" w:hAnsi="宋体" w:eastAsia="仿宋_GB2312" w:cs="宋体"/>
                <w:kern w:val="0"/>
                <w:szCs w:val="21"/>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Cs w:val="21"/>
              </w:rPr>
            </w:pPr>
            <w:r>
              <w:rPr>
                <w:rFonts w:hint="eastAsia" w:ascii="仿宋_GB2312" w:hAnsi="宋体" w:eastAsia="仿宋_GB2312" w:cs="宋体"/>
                <w:kern w:val="0"/>
                <w:szCs w:val="21"/>
              </w:rPr>
              <w:t>2115.2</w:t>
            </w:r>
            <w:r>
              <w:rPr>
                <w:rFonts w:hint="eastAsia" w:ascii="仿宋_GB2312" w:hAnsi="宋体" w:eastAsia="仿宋_GB2312" w:cs="宋体"/>
                <w:kern w:val="0"/>
                <w:szCs w:val="21"/>
                <w:lang w:val="en-US" w:eastAsia="zh-CN"/>
              </w:rPr>
              <w:t>4</w:t>
            </w:r>
            <w:r>
              <w:rPr>
                <w:rFonts w:hint="eastAsia" w:ascii="仿宋_GB2312" w:hAnsi="宋体" w:eastAsia="仿宋_GB2312" w:cs="宋体"/>
                <w:kern w:val="0"/>
                <w:szCs w:val="21"/>
              </w:rPr>
              <w:t>　</w:t>
            </w:r>
          </w:p>
        </w:tc>
      </w:tr>
    </w:tbl>
    <w:p>
      <w:pPr>
        <w:widowControl/>
        <w:spacing w:line="280" w:lineRule="exact"/>
        <w:outlineLvl w:val="1"/>
        <w:rPr>
          <w:rFonts w:ascii="仿宋_GB2312" w:hAnsi="宋体" w:eastAsia="仿宋_GB2312"/>
          <w:b/>
          <w:kern w:val="0"/>
          <w:sz w:val="28"/>
          <w:szCs w:val="32"/>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表2</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昌吉州党委办公室收入总体情况表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编制部门（单位）：昌吉州党委办公室                         单位：万元</w:t>
      </w:r>
    </w:p>
    <w:tbl>
      <w:tblPr>
        <w:tblStyle w:val="6"/>
        <w:tblW w:w="9741" w:type="dxa"/>
        <w:tblInd w:w="-450" w:type="dxa"/>
        <w:tblLayout w:type="fixed"/>
        <w:tblCellMar>
          <w:top w:w="0" w:type="dxa"/>
          <w:left w:w="108" w:type="dxa"/>
          <w:bottom w:w="0" w:type="dxa"/>
          <w:right w:w="108" w:type="dxa"/>
        </w:tblCellMar>
      </w:tblPr>
      <w:tblGrid>
        <w:gridCol w:w="417"/>
        <w:gridCol w:w="417"/>
        <w:gridCol w:w="417"/>
        <w:gridCol w:w="2145"/>
        <w:gridCol w:w="1018"/>
        <w:gridCol w:w="850"/>
        <w:gridCol w:w="709"/>
        <w:gridCol w:w="795"/>
        <w:gridCol w:w="921"/>
        <w:gridCol w:w="660"/>
        <w:gridCol w:w="708"/>
        <w:gridCol w:w="684"/>
      </w:tblGrid>
      <w:tr>
        <w:tblPrEx>
          <w:tblLayout w:type="fixed"/>
          <w:tblCellMar>
            <w:top w:w="0" w:type="dxa"/>
            <w:left w:w="108" w:type="dxa"/>
            <w:bottom w:w="0" w:type="dxa"/>
            <w:right w:w="108" w:type="dxa"/>
          </w:tblCellMar>
        </w:tblPrEx>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Layout w:type="fixed"/>
          <w:tblCellMar>
            <w:top w:w="0" w:type="dxa"/>
            <w:left w:w="108" w:type="dxa"/>
            <w:bottom w:w="0" w:type="dxa"/>
            <w:right w:w="108" w:type="dxa"/>
          </w:tblCellMar>
        </w:tblPrEx>
        <w:trPr>
          <w:trHeight w:val="1870"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一般公共服务支出</w:t>
            </w:r>
          </w:p>
        </w:tc>
        <w:tc>
          <w:tcPr>
            <w:tcW w:w="101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1763.64</w:t>
            </w:r>
          </w:p>
        </w:tc>
        <w:tc>
          <w:tcPr>
            <w:tcW w:w="85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1763.64</w:t>
            </w:r>
          </w:p>
        </w:tc>
        <w:tc>
          <w:tcPr>
            <w:tcW w:w="709"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党委办公厅（室）及相关机构事务</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1763.64</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1763.64</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1007.58</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1007.58</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一般行政管理事务</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720</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720</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50</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事业运行</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36.06</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36.06</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社会保障和就业支出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145.19</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145.19</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行政事业单位养老支出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145.19</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145.19</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行政单位离退休</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22.25</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22.25</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122.94</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122.94</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卫生健康支出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96.7</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96.7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行政事业单位医疗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96.7</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96.7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69.62</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69.62</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3.38</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3.38</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23.05</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23.05</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0.65</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0.65</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Cs w:val="21"/>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Cs w:val="21"/>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Cs w:val="21"/>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Cs w:val="21"/>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Cs w:val="21"/>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Cs w:val="21"/>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住房保障支出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109.7</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109.7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Cs w:val="21"/>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Cs w:val="21"/>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Cs w:val="21"/>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Cs w:val="21"/>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Cs w:val="21"/>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Cs w:val="21"/>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住房改革支出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109.7</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109.7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Cs w:val="21"/>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Cs w:val="21"/>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Cs w:val="21"/>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Cs w:val="21"/>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Cs w:val="21"/>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Cs w:val="21"/>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住房公积金</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109.7</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109.7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Cs w:val="21"/>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Cs w:val="21"/>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Cs w:val="21"/>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Cs w:val="21"/>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Cs w:val="21"/>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方正仿宋_GBK" w:hAnsi="宋体" w:eastAsia="方正仿宋_GBK" w:cs="宋体"/>
                <w:b/>
                <w:bCs/>
                <w:color w:val="000000"/>
                <w:kern w:val="0"/>
                <w:szCs w:val="21"/>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18"/>
                <w:szCs w:val="18"/>
              </w:rPr>
            </w:pPr>
            <w:r>
              <w:rPr>
                <w:rFonts w:hint="eastAsia" w:ascii="宋体" w:hAnsi="宋体" w:cs="宋体"/>
                <w:bCs/>
                <w:color w:val="000000"/>
                <w:kern w:val="0"/>
                <w:sz w:val="18"/>
                <w:szCs w:val="18"/>
              </w:rPr>
              <w:t>2115.24</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18"/>
                <w:szCs w:val="18"/>
              </w:rPr>
            </w:pPr>
            <w:r>
              <w:rPr>
                <w:rFonts w:hint="eastAsia" w:ascii="宋体" w:hAnsi="宋体" w:cs="宋体"/>
                <w:bCs/>
                <w:color w:val="000000"/>
                <w:kern w:val="0"/>
                <w:sz w:val="18"/>
                <w:szCs w:val="18"/>
              </w:rPr>
              <w:t>2115.24</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spacing w:line="280" w:lineRule="exact"/>
        <w:outlineLvl w:val="1"/>
        <w:rPr>
          <w:rFonts w:ascii="仿宋_GB2312" w:hAnsi="宋体" w:eastAsia="仿宋_GB2312"/>
          <w:b/>
          <w:kern w:val="0"/>
          <w:sz w:val="28"/>
          <w:szCs w:val="32"/>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表3</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昌吉州党委办公室支出总体情况表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编制部门（单位）：昌吉州党委办公室                       单位：万元</w:t>
      </w:r>
    </w:p>
    <w:tbl>
      <w:tblPr>
        <w:tblStyle w:val="6"/>
        <w:tblW w:w="9420" w:type="dxa"/>
        <w:tblInd w:w="-240" w:type="dxa"/>
        <w:tblLayout w:type="fixed"/>
        <w:tblCellMar>
          <w:top w:w="0" w:type="dxa"/>
          <w:left w:w="108" w:type="dxa"/>
          <w:bottom w:w="0" w:type="dxa"/>
          <w:right w:w="108" w:type="dxa"/>
        </w:tblCellMar>
      </w:tblPr>
      <w:tblGrid>
        <w:gridCol w:w="516"/>
        <w:gridCol w:w="416"/>
        <w:gridCol w:w="416"/>
        <w:gridCol w:w="2543"/>
        <w:gridCol w:w="1831"/>
        <w:gridCol w:w="1832"/>
        <w:gridCol w:w="1866"/>
      </w:tblGrid>
      <w:tr>
        <w:tblPrEx>
          <w:tblLayout w:type="fixed"/>
          <w:tblCellMar>
            <w:top w:w="0" w:type="dxa"/>
            <w:left w:w="108" w:type="dxa"/>
            <w:bottom w:w="0" w:type="dxa"/>
            <w:right w:w="108" w:type="dxa"/>
          </w:tblCellMar>
        </w:tblPrEx>
        <w:trPr>
          <w:trHeight w:val="345" w:hRule="atLeast"/>
        </w:trPr>
        <w:tc>
          <w:tcPr>
            <w:tcW w:w="3891"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529"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348"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43"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3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3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6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43"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3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3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6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4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一般公共服务支出</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1763.64</w:t>
            </w:r>
          </w:p>
        </w:tc>
        <w:tc>
          <w:tcPr>
            <w:tcW w:w="18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1007.58</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720</w:t>
            </w: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4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党委办公厅（室）及相关机构事务</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1763.64</w:t>
            </w:r>
          </w:p>
        </w:tc>
        <w:tc>
          <w:tcPr>
            <w:tcW w:w="18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1007.58</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720</w:t>
            </w: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4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1007.58</w:t>
            </w:r>
          </w:p>
        </w:tc>
        <w:tc>
          <w:tcPr>
            <w:tcW w:w="18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1007.58</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254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一般行政管理事务</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720</w:t>
            </w:r>
          </w:p>
        </w:tc>
        <w:tc>
          <w:tcPr>
            <w:tcW w:w="18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720</w:t>
            </w: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50</w:t>
            </w:r>
          </w:p>
        </w:tc>
        <w:tc>
          <w:tcPr>
            <w:tcW w:w="254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事业运行</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36.06</w:t>
            </w:r>
          </w:p>
        </w:tc>
        <w:tc>
          <w:tcPr>
            <w:tcW w:w="18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36.06</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4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社会保障和就业支出</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145.19</w:t>
            </w:r>
          </w:p>
        </w:tc>
        <w:tc>
          <w:tcPr>
            <w:tcW w:w="18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145.19</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4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行政事业单位养老支出</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145.19</w:t>
            </w:r>
          </w:p>
        </w:tc>
        <w:tc>
          <w:tcPr>
            <w:tcW w:w="18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145.19</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4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行政单位离退休</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22.25</w:t>
            </w:r>
          </w:p>
        </w:tc>
        <w:tc>
          <w:tcPr>
            <w:tcW w:w="18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22.25</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254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机关事业单位基本支出</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122.94</w:t>
            </w:r>
          </w:p>
        </w:tc>
        <w:tc>
          <w:tcPr>
            <w:tcW w:w="18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122.94</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4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卫生健康支出</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96.7</w:t>
            </w:r>
          </w:p>
        </w:tc>
        <w:tc>
          <w:tcPr>
            <w:tcW w:w="18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96.7</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4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行政事业单位医疗</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96.7</w:t>
            </w:r>
          </w:p>
        </w:tc>
        <w:tc>
          <w:tcPr>
            <w:tcW w:w="18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96.7</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4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69.62</w:t>
            </w:r>
          </w:p>
        </w:tc>
        <w:tc>
          <w:tcPr>
            <w:tcW w:w="18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69.62</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254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事业单位医疗</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3.38</w:t>
            </w:r>
          </w:p>
        </w:tc>
        <w:tc>
          <w:tcPr>
            <w:tcW w:w="18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3.38</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254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23.05</w:t>
            </w:r>
          </w:p>
        </w:tc>
        <w:tc>
          <w:tcPr>
            <w:tcW w:w="18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23.05</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254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其他行政事业单位社保</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0.65</w:t>
            </w:r>
          </w:p>
        </w:tc>
        <w:tc>
          <w:tcPr>
            <w:tcW w:w="18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0.65</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4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住房保障支出</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109.7</w:t>
            </w:r>
          </w:p>
        </w:tc>
        <w:tc>
          <w:tcPr>
            <w:tcW w:w="18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109.7</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4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住房改革支出</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109.7</w:t>
            </w:r>
          </w:p>
        </w:tc>
        <w:tc>
          <w:tcPr>
            <w:tcW w:w="18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109.7</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254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住房公积金</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109.7</w:t>
            </w:r>
          </w:p>
        </w:tc>
        <w:tc>
          <w:tcPr>
            <w:tcW w:w="18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109.7</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pPr>
          </w:p>
        </w:tc>
        <w:tc>
          <w:tcPr>
            <w:tcW w:w="416" w:type="dxa"/>
            <w:tcBorders>
              <w:top w:val="nil"/>
              <w:left w:val="nil"/>
              <w:bottom w:val="single" w:color="auto" w:sz="4" w:space="0"/>
              <w:right w:val="single" w:color="auto" w:sz="4" w:space="0"/>
            </w:tcBorders>
            <w:vAlign w:val="center"/>
          </w:tcPr>
          <w:p>
            <w:pPr>
              <w:jc w:val="center"/>
            </w:pPr>
          </w:p>
        </w:tc>
        <w:tc>
          <w:tcPr>
            <w:tcW w:w="416" w:type="dxa"/>
            <w:tcBorders>
              <w:top w:val="nil"/>
              <w:left w:val="nil"/>
              <w:bottom w:val="single" w:color="auto" w:sz="4" w:space="0"/>
              <w:right w:val="single" w:color="auto" w:sz="4" w:space="0"/>
            </w:tcBorders>
            <w:vAlign w:val="center"/>
          </w:tcPr>
          <w:p>
            <w:pPr>
              <w:jc w:val="center"/>
            </w:pPr>
          </w:p>
        </w:tc>
        <w:tc>
          <w:tcPr>
            <w:tcW w:w="2543" w:type="dxa"/>
            <w:tcBorders>
              <w:top w:val="nil"/>
              <w:left w:val="nil"/>
              <w:bottom w:val="single" w:color="auto" w:sz="4" w:space="0"/>
              <w:right w:val="single" w:color="auto" w:sz="4" w:space="0"/>
            </w:tcBorders>
            <w:vAlign w:val="center"/>
          </w:tcPr>
          <w:p>
            <w:pPr>
              <w:jc w:val="center"/>
            </w:pP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54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2115.24</w:t>
            </w:r>
          </w:p>
        </w:tc>
        <w:tc>
          <w:tcPr>
            <w:tcW w:w="18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1395.24</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720</w:t>
            </w:r>
          </w:p>
        </w:tc>
      </w:tr>
    </w:tbl>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表4</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 w:val="24"/>
        </w:rPr>
        <w:t xml:space="preserve">昌吉州党委办公室 </w:t>
      </w:r>
      <w:r>
        <w:rPr>
          <w:rFonts w:hint="eastAsia" w:ascii="仿宋_GB2312" w:hAnsi="宋体" w:eastAsia="仿宋_GB2312"/>
          <w:kern w:val="0"/>
          <w:szCs w:val="21"/>
        </w:rPr>
        <w:t xml:space="preserve">                              单位：万元</w:t>
      </w:r>
    </w:p>
    <w:tbl>
      <w:tblPr>
        <w:tblStyle w:val="6"/>
        <w:tblW w:w="9449" w:type="dxa"/>
        <w:tblInd w:w="-240" w:type="dxa"/>
        <w:tblLayout w:type="fixed"/>
        <w:tblCellMar>
          <w:top w:w="0" w:type="dxa"/>
          <w:left w:w="108" w:type="dxa"/>
          <w:bottom w:w="0" w:type="dxa"/>
          <w:right w:w="108" w:type="dxa"/>
        </w:tblCellMar>
      </w:tblPr>
      <w:tblGrid>
        <w:gridCol w:w="1915"/>
        <w:gridCol w:w="986"/>
        <w:gridCol w:w="2550"/>
        <w:gridCol w:w="899"/>
        <w:gridCol w:w="851"/>
        <w:gridCol w:w="1124"/>
        <w:gridCol w:w="1124"/>
      </w:tblGrid>
      <w:tr>
        <w:tblPrEx>
          <w:tblLayout w:type="fixed"/>
          <w:tblCellMar>
            <w:top w:w="0" w:type="dxa"/>
            <w:left w:w="108" w:type="dxa"/>
            <w:bottom w:w="0" w:type="dxa"/>
            <w:right w:w="108" w:type="dxa"/>
          </w:tblCellMar>
        </w:tblPrEx>
        <w:trPr>
          <w:trHeight w:val="285" w:hRule="atLeast"/>
        </w:trPr>
        <w:tc>
          <w:tcPr>
            <w:tcW w:w="2901"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48"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365" w:hRule="atLeast"/>
        </w:trPr>
        <w:tc>
          <w:tcPr>
            <w:tcW w:w="1915"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86"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5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899"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2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2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trHeight w:val="312" w:hRule="exact"/>
        </w:trPr>
        <w:tc>
          <w:tcPr>
            <w:tcW w:w="191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8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2115.24</w:t>
            </w:r>
          </w:p>
        </w:tc>
        <w:tc>
          <w:tcPr>
            <w:tcW w:w="25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1763.63</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1763.63</w:t>
            </w: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8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2115.24</w:t>
            </w:r>
          </w:p>
        </w:tc>
        <w:tc>
          <w:tcPr>
            <w:tcW w:w="25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8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8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145.19</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145.19</w:t>
            </w: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96.7</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96.7</w:t>
            </w: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109.7</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109.7</w:t>
            </w: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8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5" w:type="dxa"/>
            <w:tcBorders>
              <w:top w:val="nil"/>
              <w:left w:val="single" w:color="auto" w:sz="4" w:space="0"/>
              <w:bottom w:val="single" w:color="auto" w:sz="4" w:space="0"/>
              <w:right w:val="single" w:color="auto" w:sz="4" w:space="0"/>
            </w:tcBorders>
            <w:vAlign w:val="center"/>
          </w:tcPr>
          <w:p/>
        </w:tc>
        <w:tc>
          <w:tcPr>
            <w:tcW w:w="986" w:type="dxa"/>
            <w:tcBorders>
              <w:top w:val="nil"/>
              <w:left w:val="nil"/>
              <w:bottom w:val="single" w:color="auto" w:sz="4" w:space="0"/>
              <w:right w:val="single" w:color="auto" w:sz="4" w:space="0"/>
            </w:tcBorders>
            <w:vAlign w:val="center"/>
          </w:tcPr>
          <w:p>
            <w:pPr>
              <w:jc w:val="right"/>
            </w:pPr>
          </w:p>
        </w:tc>
        <w:tc>
          <w:tcPr>
            <w:tcW w:w="2550" w:type="dxa"/>
            <w:tcBorders>
              <w:top w:val="nil"/>
              <w:left w:val="nil"/>
              <w:bottom w:val="single" w:color="auto" w:sz="4" w:space="0"/>
              <w:right w:val="single" w:color="auto" w:sz="4" w:space="0"/>
            </w:tcBorders>
            <w:vAlign w:val="center"/>
          </w:tcP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1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86"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2115.24　</w:t>
            </w:r>
          </w:p>
        </w:tc>
        <w:tc>
          <w:tcPr>
            <w:tcW w:w="25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89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2115.24</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2115.24</w:t>
            </w: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2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表5</w:t>
      </w:r>
    </w:p>
    <w:tbl>
      <w:tblPr>
        <w:tblStyle w:val="6"/>
        <w:tblW w:w="9043" w:type="dxa"/>
        <w:tblInd w:w="-34" w:type="dxa"/>
        <w:tblLayout w:type="fixed"/>
        <w:tblCellMar>
          <w:top w:w="0" w:type="dxa"/>
          <w:left w:w="108" w:type="dxa"/>
          <w:bottom w:w="0" w:type="dxa"/>
          <w:right w:w="108" w:type="dxa"/>
        </w:tblCellMar>
      </w:tblPr>
      <w:tblGrid>
        <w:gridCol w:w="568"/>
        <w:gridCol w:w="492"/>
        <w:gridCol w:w="417"/>
        <w:gridCol w:w="2510"/>
        <w:gridCol w:w="489"/>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043"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编制部门（单位）：昌吉州党委办公</w:t>
            </w:r>
          </w:p>
        </w:tc>
        <w:tc>
          <w:tcPr>
            <w:tcW w:w="489" w:type="dxa"/>
            <w:tcBorders>
              <w:top w:val="nil"/>
              <w:left w:val="nil"/>
              <w:bottom w:val="nil"/>
              <w:right w:val="nil"/>
            </w:tcBorders>
          </w:tcPr>
          <w:p/>
        </w:tc>
        <w:tc>
          <w:tcPr>
            <w:tcW w:w="1240" w:type="dxa"/>
            <w:gridSpan w:val="2"/>
            <w:tcBorders>
              <w:top w:val="nil"/>
              <w:left w:val="nil"/>
              <w:bottom w:val="nil"/>
              <w:right w:val="nil"/>
            </w:tcBorders>
          </w:tcPr>
          <w:p/>
        </w:tc>
        <w:tc>
          <w:tcPr>
            <w:tcW w:w="3327" w:type="dxa"/>
            <w:gridSpan w:val="2"/>
            <w:tcBorders>
              <w:top w:val="nil"/>
              <w:left w:val="nil"/>
              <w:bottom w:val="nil"/>
              <w:right w:val="nil"/>
            </w:tcBorders>
            <w:vAlign w:val="center"/>
          </w:tcPr>
          <w:p>
            <w:pPr>
              <w:widowControl/>
              <w:ind w:right="480"/>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056"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513"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13"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一般公共服务支出</w:t>
            </w:r>
          </w:p>
        </w:tc>
        <w:tc>
          <w:tcPr>
            <w:tcW w:w="151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1763.64</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1007.58</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720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党委办公厅（室）及相关机构事务</w:t>
            </w:r>
          </w:p>
        </w:tc>
        <w:tc>
          <w:tcPr>
            <w:tcW w:w="151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1763.64</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1007.58</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720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51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1007.58</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1007.58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一般行政管理事务</w:t>
            </w:r>
          </w:p>
        </w:tc>
        <w:tc>
          <w:tcPr>
            <w:tcW w:w="151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720</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720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50</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事业运行</w:t>
            </w:r>
          </w:p>
        </w:tc>
        <w:tc>
          <w:tcPr>
            <w:tcW w:w="151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36.06</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36.06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社会保障和就业支出</w:t>
            </w:r>
          </w:p>
        </w:tc>
        <w:tc>
          <w:tcPr>
            <w:tcW w:w="151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145.19</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145.19</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行政事业单位养老支出</w:t>
            </w:r>
          </w:p>
        </w:tc>
        <w:tc>
          <w:tcPr>
            <w:tcW w:w="151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145.19</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145.19</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行政单位离退休</w:t>
            </w:r>
          </w:p>
        </w:tc>
        <w:tc>
          <w:tcPr>
            <w:tcW w:w="151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22.25</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22.25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机关事业单位基本支出</w:t>
            </w:r>
          </w:p>
        </w:tc>
        <w:tc>
          <w:tcPr>
            <w:tcW w:w="151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122.94</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122.94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卫生健康支出</w:t>
            </w:r>
          </w:p>
        </w:tc>
        <w:tc>
          <w:tcPr>
            <w:tcW w:w="151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96.7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96.7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行政事业单位医疗</w:t>
            </w:r>
          </w:p>
        </w:tc>
        <w:tc>
          <w:tcPr>
            <w:tcW w:w="151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96.7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96.7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51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69.62</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69.62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事业单位医疗</w:t>
            </w:r>
          </w:p>
        </w:tc>
        <w:tc>
          <w:tcPr>
            <w:tcW w:w="151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3.38</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3.38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51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23.05</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23.05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其他行政事业单位社保</w:t>
            </w:r>
          </w:p>
        </w:tc>
        <w:tc>
          <w:tcPr>
            <w:tcW w:w="151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0.65</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0.65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住房保障支出</w:t>
            </w:r>
          </w:p>
        </w:tc>
        <w:tc>
          <w:tcPr>
            <w:tcW w:w="151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109.7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109.7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住房改革支出</w:t>
            </w:r>
          </w:p>
        </w:tc>
        <w:tc>
          <w:tcPr>
            <w:tcW w:w="151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109.7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109.7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住房公积金</w:t>
            </w:r>
          </w:p>
        </w:tc>
        <w:tc>
          <w:tcPr>
            <w:tcW w:w="151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109.7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r>
              <w:rPr>
                <w:rFonts w:hint="eastAsia" w:ascii="宋体" w:hAnsi="宋体" w:cs="宋体"/>
                <w:bCs/>
                <w:color w:val="000000"/>
                <w:kern w:val="0"/>
                <w:sz w:val="22"/>
                <w:szCs w:val="22"/>
              </w:rPr>
              <w:t>109.7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51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51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513" w:type="dxa"/>
            <w:gridSpan w:val="2"/>
            <w:tcBorders>
              <w:top w:val="nil"/>
              <w:left w:val="nil"/>
              <w:bottom w:val="single" w:color="auto" w:sz="4" w:space="0"/>
              <w:right w:val="single" w:color="auto" w:sz="4" w:space="0"/>
            </w:tcBorders>
            <w:vAlign w:val="center"/>
          </w:tcPr>
          <w:p>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2115.24</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1395.24</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720</w:t>
            </w: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表6</w:t>
      </w:r>
    </w:p>
    <w:tbl>
      <w:tblPr>
        <w:tblStyle w:val="6"/>
        <w:tblW w:w="9373" w:type="dxa"/>
        <w:tblInd w:w="-148" w:type="dxa"/>
        <w:tblLayout w:type="fixed"/>
        <w:tblCellMar>
          <w:top w:w="0" w:type="dxa"/>
          <w:left w:w="108" w:type="dxa"/>
          <w:bottom w:w="0" w:type="dxa"/>
          <w:right w:w="108" w:type="dxa"/>
        </w:tblCellMar>
      </w:tblPr>
      <w:tblGrid>
        <w:gridCol w:w="760"/>
        <w:gridCol w:w="580"/>
        <w:gridCol w:w="2905"/>
        <w:gridCol w:w="1000"/>
        <w:gridCol w:w="709"/>
        <w:gridCol w:w="981"/>
        <w:gridCol w:w="728"/>
        <w:gridCol w:w="1710"/>
      </w:tblGrid>
      <w:tr>
        <w:tblPrEx>
          <w:tblLayout w:type="fixed"/>
          <w:tblCellMar>
            <w:top w:w="0" w:type="dxa"/>
            <w:left w:w="108" w:type="dxa"/>
            <w:bottom w:w="0" w:type="dxa"/>
            <w:right w:w="108" w:type="dxa"/>
          </w:tblCellMar>
        </w:tblPrEx>
        <w:trPr>
          <w:trHeight w:val="389" w:hRule="atLeast"/>
        </w:trPr>
        <w:tc>
          <w:tcPr>
            <w:tcW w:w="9373"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20" w:hRule="atLeast"/>
        </w:trPr>
        <w:tc>
          <w:tcPr>
            <w:tcW w:w="424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昌吉州党委办公室</w:t>
            </w:r>
          </w:p>
        </w:tc>
        <w:tc>
          <w:tcPr>
            <w:tcW w:w="100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9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2438"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Layout w:type="fixed"/>
          <w:tblCellMar>
            <w:top w:w="0" w:type="dxa"/>
            <w:left w:w="108" w:type="dxa"/>
            <w:bottom w:w="0" w:type="dxa"/>
            <w:right w:w="108" w:type="dxa"/>
          </w:tblCellMar>
        </w:tblPrEx>
        <w:trPr>
          <w:trHeight w:val="405" w:hRule="atLeast"/>
        </w:trPr>
        <w:tc>
          <w:tcPr>
            <w:tcW w:w="424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28"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514" w:hRule="atLeast"/>
        </w:trPr>
        <w:tc>
          <w:tcPr>
            <w:tcW w:w="1340"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905"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9"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9"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80" w:hRule="atLeast"/>
        </w:trPr>
        <w:tc>
          <w:tcPr>
            <w:tcW w:w="76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905"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9"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9"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283"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301</w:t>
            </w:r>
          </w:p>
        </w:tc>
        <w:tc>
          <w:tcPr>
            <w:tcW w:w="5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p>
        </w:tc>
        <w:tc>
          <w:tcPr>
            <w:tcW w:w="290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工资福利支出</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1131.61</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1131.61</w:t>
            </w:r>
          </w:p>
        </w:tc>
        <w:tc>
          <w:tcPr>
            <w:tcW w:w="17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3"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301</w:t>
            </w:r>
          </w:p>
        </w:tc>
        <w:tc>
          <w:tcPr>
            <w:tcW w:w="5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01</w:t>
            </w:r>
          </w:p>
        </w:tc>
        <w:tc>
          <w:tcPr>
            <w:tcW w:w="290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基本工资</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361.73</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361.73</w:t>
            </w:r>
          </w:p>
        </w:tc>
        <w:tc>
          <w:tcPr>
            <w:tcW w:w="17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3"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301</w:t>
            </w:r>
          </w:p>
        </w:tc>
        <w:tc>
          <w:tcPr>
            <w:tcW w:w="5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02</w:t>
            </w:r>
          </w:p>
        </w:tc>
        <w:tc>
          <w:tcPr>
            <w:tcW w:w="290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津贴补贴</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369.96</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369.96</w:t>
            </w:r>
          </w:p>
        </w:tc>
        <w:tc>
          <w:tcPr>
            <w:tcW w:w="17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3"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301</w:t>
            </w:r>
          </w:p>
        </w:tc>
        <w:tc>
          <w:tcPr>
            <w:tcW w:w="5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03</w:t>
            </w:r>
          </w:p>
        </w:tc>
        <w:tc>
          <w:tcPr>
            <w:tcW w:w="290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奖金</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29.55</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29.55</w:t>
            </w:r>
          </w:p>
        </w:tc>
        <w:tc>
          <w:tcPr>
            <w:tcW w:w="17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3"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301</w:t>
            </w:r>
          </w:p>
        </w:tc>
        <w:tc>
          <w:tcPr>
            <w:tcW w:w="5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07</w:t>
            </w:r>
          </w:p>
        </w:tc>
        <w:tc>
          <w:tcPr>
            <w:tcW w:w="290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绩效工资</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15.26</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15.26</w:t>
            </w:r>
          </w:p>
        </w:tc>
        <w:tc>
          <w:tcPr>
            <w:tcW w:w="17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3"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301</w:t>
            </w:r>
          </w:p>
        </w:tc>
        <w:tc>
          <w:tcPr>
            <w:tcW w:w="5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08</w:t>
            </w:r>
          </w:p>
        </w:tc>
        <w:tc>
          <w:tcPr>
            <w:tcW w:w="290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机关事业单位基本支出</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122.94</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122.94</w:t>
            </w:r>
          </w:p>
        </w:tc>
        <w:tc>
          <w:tcPr>
            <w:tcW w:w="17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3"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301</w:t>
            </w:r>
          </w:p>
        </w:tc>
        <w:tc>
          <w:tcPr>
            <w:tcW w:w="5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290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城镇职工基本医疗保险缴费</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73</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73</w:t>
            </w:r>
          </w:p>
        </w:tc>
        <w:tc>
          <w:tcPr>
            <w:tcW w:w="17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3"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301</w:t>
            </w:r>
          </w:p>
        </w:tc>
        <w:tc>
          <w:tcPr>
            <w:tcW w:w="5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11</w:t>
            </w:r>
          </w:p>
        </w:tc>
        <w:tc>
          <w:tcPr>
            <w:tcW w:w="290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公务员医疗补助缴费</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23.05</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23.05</w:t>
            </w:r>
          </w:p>
        </w:tc>
        <w:tc>
          <w:tcPr>
            <w:tcW w:w="17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3"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301</w:t>
            </w:r>
          </w:p>
        </w:tc>
        <w:tc>
          <w:tcPr>
            <w:tcW w:w="5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12</w:t>
            </w:r>
          </w:p>
        </w:tc>
        <w:tc>
          <w:tcPr>
            <w:tcW w:w="290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其他社会保障缴费</w:t>
            </w:r>
          </w:p>
        </w:tc>
        <w:tc>
          <w:tcPr>
            <w:tcW w:w="170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          0.79</w:t>
            </w:r>
          </w:p>
        </w:tc>
        <w:tc>
          <w:tcPr>
            <w:tcW w:w="170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          0.79</w:t>
            </w:r>
          </w:p>
        </w:tc>
        <w:tc>
          <w:tcPr>
            <w:tcW w:w="17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3"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301</w:t>
            </w:r>
          </w:p>
        </w:tc>
        <w:tc>
          <w:tcPr>
            <w:tcW w:w="5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13</w:t>
            </w:r>
          </w:p>
        </w:tc>
        <w:tc>
          <w:tcPr>
            <w:tcW w:w="290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住房公积金</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109.7</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109.7</w:t>
            </w:r>
          </w:p>
        </w:tc>
        <w:tc>
          <w:tcPr>
            <w:tcW w:w="17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3"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301</w:t>
            </w:r>
          </w:p>
        </w:tc>
        <w:tc>
          <w:tcPr>
            <w:tcW w:w="5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w:t>
            </w:r>
          </w:p>
        </w:tc>
        <w:tc>
          <w:tcPr>
            <w:tcW w:w="290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其他工资福利支出</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25.62</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25.62</w:t>
            </w:r>
          </w:p>
        </w:tc>
        <w:tc>
          <w:tcPr>
            <w:tcW w:w="17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3"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302</w:t>
            </w:r>
          </w:p>
        </w:tc>
        <w:tc>
          <w:tcPr>
            <w:tcW w:w="5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p>
        </w:tc>
        <w:tc>
          <w:tcPr>
            <w:tcW w:w="290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商品和服务支出</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212.06</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212.06</w:t>
            </w:r>
          </w:p>
        </w:tc>
      </w:tr>
      <w:tr>
        <w:tblPrEx>
          <w:tblLayout w:type="fixed"/>
          <w:tblCellMar>
            <w:top w:w="0" w:type="dxa"/>
            <w:left w:w="108" w:type="dxa"/>
            <w:bottom w:w="0" w:type="dxa"/>
            <w:right w:w="108" w:type="dxa"/>
          </w:tblCellMar>
        </w:tblPrEx>
        <w:trPr>
          <w:trHeight w:val="283"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302</w:t>
            </w:r>
          </w:p>
        </w:tc>
        <w:tc>
          <w:tcPr>
            <w:tcW w:w="5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01</w:t>
            </w:r>
          </w:p>
        </w:tc>
        <w:tc>
          <w:tcPr>
            <w:tcW w:w="290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办公费</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55.57</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55.57</w:t>
            </w:r>
          </w:p>
        </w:tc>
      </w:tr>
      <w:tr>
        <w:tblPrEx>
          <w:tblLayout w:type="fixed"/>
          <w:tblCellMar>
            <w:top w:w="0" w:type="dxa"/>
            <w:left w:w="108" w:type="dxa"/>
            <w:bottom w:w="0" w:type="dxa"/>
            <w:right w:w="108" w:type="dxa"/>
          </w:tblCellMar>
        </w:tblPrEx>
        <w:trPr>
          <w:trHeight w:val="283"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302</w:t>
            </w:r>
          </w:p>
        </w:tc>
        <w:tc>
          <w:tcPr>
            <w:tcW w:w="5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02</w:t>
            </w:r>
          </w:p>
        </w:tc>
        <w:tc>
          <w:tcPr>
            <w:tcW w:w="290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印刷费</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8</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8</w:t>
            </w:r>
          </w:p>
        </w:tc>
      </w:tr>
      <w:tr>
        <w:tblPrEx>
          <w:tblLayout w:type="fixed"/>
          <w:tblCellMar>
            <w:top w:w="0" w:type="dxa"/>
            <w:left w:w="108" w:type="dxa"/>
            <w:bottom w:w="0" w:type="dxa"/>
            <w:right w:w="108" w:type="dxa"/>
          </w:tblCellMar>
        </w:tblPrEx>
        <w:trPr>
          <w:trHeight w:val="283"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302</w:t>
            </w:r>
          </w:p>
        </w:tc>
        <w:tc>
          <w:tcPr>
            <w:tcW w:w="5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03</w:t>
            </w:r>
          </w:p>
        </w:tc>
        <w:tc>
          <w:tcPr>
            <w:tcW w:w="290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咨询费</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0.3</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0.3</w:t>
            </w:r>
          </w:p>
        </w:tc>
      </w:tr>
      <w:tr>
        <w:tblPrEx>
          <w:tblLayout w:type="fixed"/>
          <w:tblCellMar>
            <w:top w:w="0" w:type="dxa"/>
            <w:left w:w="108" w:type="dxa"/>
            <w:bottom w:w="0" w:type="dxa"/>
            <w:right w:w="108" w:type="dxa"/>
          </w:tblCellMar>
        </w:tblPrEx>
        <w:trPr>
          <w:trHeight w:val="283"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302</w:t>
            </w:r>
          </w:p>
        </w:tc>
        <w:tc>
          <w:tcPr>
            <w:tcW w:w="5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07</w:t>
            </w:r>
          </w:p>
        </w:tc>
        <w:tc>
          <w:tcPr>
            <w:tcW w:w="290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邮电费</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7.2</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7.2</w:t>
            </w:r>
          </w:p>
        </w:tc>
      </w:tr>
      <w:tr>
        <w:tblPrEx>
          <w:tblLayout w:type="fixed"/>
          <w:tblCellMar>
            <w:top w:w="0" w:type="dxa"/>
            <w:left w:w="108" w:type="dxa"/>
            <w:bottom w:w="0" w:type="dxa"/>
            <w:right w:w="108" w:type="dxa"/>
          </w:tblCellMar>
        </w:tblPrEx>
        <w:trPr>
          <w:trHeight w:val="283"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302</w:t>
            </w:r>
          </w:p>
        </w:tc>
        <w:tc>
          <w:tcPr>
            <w:tcW w:w="5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08</w:t>
            </w:r>
          </w:p>
        </w:tc>
        <w:tc>
          <w:tcPr>
            <w:tcW w:w="290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取暖费</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18.2</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18.2</w:t>
            </w:r>
          </w:p>
        </w:tc>
      </w:tr>
      <w:tr>
        <w:tblPrEx>
          <w:tblLayout w:type="fixed"/>
          <w:tblCellMar>
            <w:top w:w="0" w:type="dxa"/>
            <w:left w:w="108" w:type="dxa"/>
            <w:bottom w:w="0" w:type="dxa"/>
            <w:right w:w="108" w:type="dxa"/>
          </w:tblCellMar>
        </w:tblPrEx>
        <w:trPr>
          <w:trHeight w:val="283"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302</w:t>
            </w:r>
          </w:p>
        </w:tc>
        <w:tc>
          <w:tcPr>
            <w:tcW w:w="5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11</w:t>
            </w:r>
          </w:p>
        </w:tc>
        <w:tc>
          <w:tcPr>
            <w:tcW w:w="290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差旅费</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6</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6</w:t>
            </w:r>
          </w:p>
        </w:tc>
      </w:tr>
      <w:tr>
        <w:tblPrEx>
          <w:tblLayout w:type="fixed"/>
          <w:tblCellMar>
            <w:top w:w="0" w:type="dxa"/>
            <w:left w:w="108" w:type="dxa"/>
            <w:bottom w:w="0" w:type="dxa"/>
            <w:right w:w="108" w:type="dxa"/>
          </w:tblCellMar>
        </w:tblPrEx>
        <w:trPr>
          <w:trHeight w:val="283"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302</w:t>
            </w:r>
          </w:p>
        </w:tc>
        <w:tc>
          <w:tcPr>
            <w:tcW w:w="5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13</w:t>
            </w:r>
          </w:p>
        </w:tc>
        <w:tc>
          <w:tcPr>
            <w:tcW w:w="290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维修（护）费</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w:t>
            </w:r>
          </w:p>
        </w:tc>
      </w:tr>
      <w:tr>
        <w:tblPrEx>
          <w:tblLayout w:type="fixed"/>
          <w:tblCellMar>
            <w:top w:w="0" w:type="dxa"/>
            <w:left w:w="108" w:type="dxa"/>
            <w:bottom w:w="0" w:type="dxa"/>
            <w:right w:w="108" w:type="dxa"/>
          </w:tblCellMar>
        </w:tblPrEx>
        <w:trPr>
          <w:trHeight w:val="283"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302</w:t>
            </w:r>
          </w:p>
        </w:tc>
        <w:tc>
          <w:tcPr>
            <w:tcW w:w="5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16</w:t>
            </w:r>
          </w:p>
        </w:tc>
        <w:tc>
          <w:tcPr>
            <w:tcW w:w="290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培训费</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4</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4</w:t>
            </w:r>
          </w:p>
        </w:tc>
      </w:tr>
      <w:tr>
        <w:tblPrEx>
          <w:tblLayout w:type="fixed"/>
          <w:tblCellMar>
            <w:top w:w="0" w:type="dxa"/>
            <w:left w:w="108" w:type="dxa"/>
            <w:bottom w:w="0" w:type="dxa"/>
            <w:right w:w="108" w:type="dxa"/>
          </w:tblCellMar>
        </w:tblPrEx>
        <w:trPr>
          <w:trHeight w:val="283"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302</w:t>
            </w:r>
          </w:p>
        </w:tc>
        <w:tc>
          <w:tcPr>
            <w:tcW w:w="5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17</w:t>
            </w:r>
          </w:p>
        </w:tc>
        <w:tc>
          <w:tcPr>
            <w:tcW w:w="290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公务接待费</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2.7</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2.7</w:t>
            </w:r>
          </w:p>
        </w:tc>
      </w:tr>
      <w:tr>
        <w:tblPrEx>
          <w:tblLayout w:type="fixed"/>
          <w:tblCellMar>
            <w:top w:w="0" w:type="dxa"/>
            <w:left w:w="108" w:type="dxa"/>
            <w:bottom w:w="0" w:type="dxa"/>
            <w:right w:w="108" w:type="dxa"/>
          </w:tblCellMar>
        </w:tblPrEx>
        <w:trPr>
          <w:trHeight w:val="283"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302</w:t>
            </w:r>
          </w:p>
        </w:tc>
        <w:tc>
          <w:tcPr>
            <w:tcW w:w="5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26</w:t>
            </w:r>
          </w:p>
        </w:tc>
        <w:tc>
          <w:tcPr>
            <w:tcW w:w="290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劳务费</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1.58</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1.58</w:t>
            </w:r>
          </w:p>
        </w:tc>
      </w:tr>
      <w:tr>
        <w:tblPrEx>
          <w:tblLayout w:type="fixed"/>
          <w:tblCellMar>
            <w:top w:w="0" w:type="dxa"/>
            <w:left w:w="108" w:type="dxa"/>
            <w:bottom w:w="0" w:type="dxa"/>
            <w:right w:w="108" w:type="dxa"/>
          </w:tblCellMar>
        </w:tblPrEx>
        <w:trPr>
          <w:trHeight w:val="283"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302</w:t>
            </w:r>
          </w:p>
        </w:tc>
        <w:tc>
          <w:tcPr>
            <w:tcW w:w="5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28</w:t>
            </w:r>
          </w:p>
        </w:tc>
        <w:tc>
          <w:tcPr>
            <w:tcW w:w="290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工会经费</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14.49</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14.49</w:t>
            </w:r>
          </w:p>
        </w:tc>
      </w:tr>
      <w:tr>
        <w:tblPrEx>
          <w:tblLayout w:type="fixed"/>
          <w:tblCellMar>
            <w:top w:w="0" w:type="dxa"/>
            <w:left w:w="108" w:type="dxa"/>
            <w:bottom w:w="0" w:type="dxa"/>
            <w:right w:w="108" w:type="dxa"/>
          </w:tblCellMar>
        </w:tblPrEx>
        <w:trPr>
          <w:trHeight w:val="283"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302</w:t>
            </w:r>
          </w:p>
        </w:tc>
        <w:tc>
          <w:tcPr>
            <w:tcW w:w="5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29</w:t>
            </w:r>
          </w:p>
        </w:tc>
        <w:tc>
          <w:tcPr>
            <w:tcW w:w="290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福利费</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13.04</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13.04</w:t>
            </w:r>
          </w:p>
        </w:tc>
      </w:tr>
      <w:tr>
        <w:tblPrEx>
          <w:tblLayout w:type="fixed"/>
          <w:tblCellMar>
            <w:top w:w="0" w:type="dxa"/>
            <w:left w:w="108" w:type="dxa"/>
            <w:bottom w:w="0" w:type="dxa"/>
            <w:right w:w="108" w:type="dxa"/>
          </w:tblCellMar>
        </w:tblPrEx>
        <w:trPr>
          <w:trHeight w:val="283" w:hRule="atLeast"/>
        </w:trPr>
        <w:tc>
          <w:tcPr>
            <w:tcW w:w="76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302</w:t>
            </w:r>
          </w:p>
        </w:tc>
        <w:tc>
          <w:tcPr>
            <w:tcW w:w="5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31</w:t>
            </w:r>
          </w:p>
        </w:tc>
        <w:tc>
          <w:tcPr>
            <w:tcW w:w="290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公务用车运行维护费</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68</w:t>
            </w:r>
          </w:p>
        </w:tc>
        <w:tc>
          <w:tcPr>
            <w:tcW w:w="170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10"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68</w:t>
            </w:r>
          </w:p>
        </w:tc>
      </w:tr>
      <w:tr>
        <w:tblPrEx>
          <w:tblLayout w:type="fixed"/>
          <w:tblCellMar>
            <w:top w:w="0" w:type="dxa"/>
            <w:left w:w="108" w:type="dxa"/>
            <w:bottom w:w="0" w:type="dxa"/>
            <w:right w:w="108" w:type="dxa"/>
          </w:tblCellMar>
        </w:tblPrEx>
        <w:trPr>
          <w:trHeight w:val="283" w:hRule="atLeast"/>
        </w:trPr>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302</w:t>
            </w:r>
          </w:p>
        </w:tc>
        <w:tc>
          <w:tcPr>
            <w:tcW w:w="580"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w:t>
            </w:r>
          </w:p>
        </w:tc>
        <w:tc>
          <w:tcPr>
            <w:tcW w:w="2905"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Cs w:val="21"/>
              </w:rPr>
              <w:t>其他商品服务支出</w:t>
            </w:r>
          </w:p>
        </w:tc>
        <w:tc>
          <w:tcPr>
            <w:tcW w:w="1709" w:type="dxa"/>
            <w:gridSpan w:val="2"/>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11.99</w:t>
            </w:r>
          </w:p>
        </w:tc>
        <w:tc>
          <w:tcPr>
            <w:tcW w:w="1709" w:type="dxa"/>
            <w:gridSpan w:val="2"/>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10"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11.99</w:t>
            </w:r>
          </w:p>
        </w:tc>
      </w:tr>
      <w:tr>
        <w:tblPrEx>
          <w:tblLayout w:type="fixed"/>
          <w:tblCellMar>
            <w:top w:w="0" w:type="dxa"/>
            <w:left w:w="108" w:type="dxa"/>
            <w:bottom w:w="0" w:type="dxa"/>
            <w:right w:w="108" w:type="dxa"/>
          </w:tblCellMar>
        </w:tblPrEx>
        <w:trPr>
          <w:trHeight w:val="283" w:hRule="atLeast"/>
        </w:trPr>
        <w:tc>
          <w:tcPr>
            <w:tcW w:w="760" w:type="dxa"/>
            <w:tcBorders>
              <w:top w:val="single" w:color="auto" w:sz="4" w:space="0"/>
              <w:left w:val="single" w:color="auto" w:sz="4" w:space="0"/>
              <w:bottom w:val="single" w:color="auto" w:sz="4" w:space="0"/>
              <w:right w:val="single" w:color="auto" w:sz="4" w:space="0"/>
            </w:tcBorders>
            <w:vAlign w:val="center"/>
          </w:tcPr>
          <w:p>
            <w:pPr>
              <w:widowControl/>
              <w:ind w:firstLine="105" w:firstLineChars="50"/>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303</w:t>
            </w:r>
          </w:p>
        </w:tc>
        <w:tc>
          <w:tcPr>
            <w:tcW w:w="580"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p>
        </w:tc>
        <w:tc>
          <w:tcPr>
            <w:tcW w:w="2905"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对个人和家庭的补助</w:t>
            </w:r>
          </w:p>
        </w:tc>
        <w:tc>
          <w:tcPr>
            <w:tcW w:w="1709" w:type="dxa"/>
            <w:gridSpan w:val="2"/>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51.56</w:t>
            </w:r>
          </w:p>
        </w:tc>
        <w:tc>
          <w:tcPr>
            <w:tcW w:w="1709" w:type="dxa"/>
            <w:gridSpan w:val="2"/>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51.56</w:t>
            </w:r>
          </w:p>
        </w:tc>
        <w:tc>
          <w:tcPr>
            <w:tcW w:w="1710" w:type="dxa"/>
            <w:tcBorders>
              <w:top w:val="single" w:color="auto" w:sz="4" w:space="0"/>
              <w:left w:val="nil"/>
              <w:bottom w:val="single" w:color="auto" w:sz="4" w:space="0"/>
              <w:right w:val="single" w:color="auto" w:sz="4" w:space="0"/>
            </w:tcBorders>
            <w:vAlign w:val="center"/>
          </w:tcPr>
          <w:p>
            <w:pPr>
              <w:widowControl/>
              <w:ind w:right="400"/>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3" w:hRule="atLeast"/>
        </w:trPr>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303</w:t>
            </w:r>
          </w:p>
        </w:tc>
        <w:tc>
          <w:tcPr>
            <w:tcW w:w="580"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01</w:t>
            </w:r>
          </w:p>
        </w:tc>
        <w:tc>
          <w:tcPr>
            <w:tcW w:w="2905"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离休费</w:t>
            </w:r>
          </w:p>
        </w:tc>
        <w:tc>
          <w:tcPr>
            <w:tcW w:w="1709" w:type="dxa"/>
            <w:gridSpan w:val="2"/>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20.83</w:t>
            </w:r>
          </w:p>
        </w:tc>
        <w:tc>
          <w:tcPr>
            <w:tcW w:w="1709" w:type="dxa"/>
            <w:gridSpan w:val="2"/>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20.83</w:t>
            </w:r>
          </w:p>
        </w:tc>
        <w:tc>
          <w:tcPr>
            <w:tcW w:w="1710" w:type="dxa"/>
            <w:tcBorders>
              <w:top w:val="single" w:color="auto" w:sz="4" w:space="0"/>
              <w:left w:val="nil"/>
              <w:bottom w:val="single" w:color="auto" w:sz="4" w:space="0"/>
              <w:right w:val="single" w:color="auto" w:sz="4" w:space="0"/>
            </w:tcBorders>
            <w:vAlign w:val="center"/>
          </w:tcPr>
          <w:p>
            <w:pPr>
              <w:widowControl/>
              <w:ind w:right="400"/>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3" w:hRule="atLeast"/>
        </w:trPr>
        <w:tc>
          <w:tcPr>
            <w:tcW w:w="760" w:type="dxa"/>
            <w:tcBorders>
              <w:top w:val="single" w:color="auto" w:sz="4" w:space="0"/>
              <w:left w:val="single" w:color="auto" w:sz="4" w:space="0"/>
              <w:bottom w:val="single" w:color="auto" w:sz="4" w:space="0"/>
              <w:right w:val="single" w:color="auto" w:sz="4" w:space="0"/>
            </w:tcBorders>
            <w:vAlign w:val="center"/>
          </w:tcPr>
          <w:p>
            <w:pPr>
              <w:widowControl/>
              <w:ind w:firstLine="105" w:firstLineChars="50"/>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303</w:t>
            </w:r>
          </w:p>
        </w:tc>
        <w:tc>
          <w:tcPr>
            <w:tcW w:w="580"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05</w:t>
            </w:r>
          </w:p>
        </w:tc>
        <w:tc>
          <w:tcPr>
            <w:tcW w:w="2905"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生活补助</w:t>
            </w:r>
          </w:p>
        </w:tc>
        <w:tc>
          <w:tcPr>
            <w:tcW w:w="1709" w:type="dxa"/>
            <w:gridSpan w:val="2"/>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2.62</w:t>
            </w:r>
          </w:p>
        </w:tc>
        <w:tc>
          <w:tcPr>
            <w:tcW w:w="1709" w:type="dxa"/>
            <w:gridSpan w:val="2"/>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2.62</w:t>
            </w:r>
          </w:p>
        </w:tc>
        <w:tc>
          <w:tcPr>
            <w:tcW w:w="1710" w:type="dxa"/>
            <w:tcBorders>
              <w:top w:val="single" w:color="auto" w:sz="4" w:space="0"/>
              <w:left w:val="nil"/>
              <w:bottom w:val="single" w:color="auto" w:sz="4" w:space="0"/>
              <w:right w:val="single" w:color="auto" w:sz="4" w:space="0"/>
            </w:tcBorders>
            <w:vAlign w:val="center"/>
          </w:tcPr>
          <w:p>
            <w:pPr>
              <w:widowControl/>
              <w:ind w:right="400"/>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3" w:hRule="atLeast"/>
        </w:trPr>
        <w:tc>
          <w:tcPr>
            <w:tcW w:w="760" w:type="dxa"/>
            <w:tcBorders>
              <w:top w:val="single" w:color="auto" w:sz="4" w:space="0"/>
              <w:left w:val="single" w:color="auto" w:sz="4" w:space="0"/>
              <w:bottom w:val="single" w:color="auto" w:sz="4" w:space="0"/>
              <w:right w:val="single" w:color="auto" w:sz="4" w:space="0"/>
            </w:tcBorders>
            <w:vAlign w:val="center"/>
          </w:tcPr>
          <w:p>
            <w:pPr>
              <w:widowControl/>
              <w:ind w:firstLine="105" w:firstLineChars="50"/>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303</w:t>
            </w:r>
          </w:p>
        </w:tc>
        <w:tc>
          <w:tcPr>
            <w:tcW w:w="580"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07</w:t>
            </w:r>
          </w:p>
        </w:tc>
        <w:tc>
          <w:tcPr>
            <w:tcW w:w="2905"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医疗费补助</w:t>
            </w:r>
          </w:p>
        </w:tc>
        <w:tc>
          <w:tcPr>
            <w:tcW w:w="1709" w:type="dxa"/>
            <w:gridSpan w:val="2"/>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26.53</w:t>
            </w:r>
          </w:p>
        </w:tc>
        <w:tc>
          <w:tcPr>
            <w:tcW w:w="1709" w:type="dxa"/>
            <w:gridSpan w:val="2"/>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26.53</w:t>
            </w:r>
          </w:p>
        </w:tc>
        <w:tc>
          <w:tcPr>
            <w:tcW w:w="1710" w:type="dxa"/>
            <w:tcBorders>
              <w:top w:val="single" w:color="auto" w:sz="4" w:space="0"/>
              <w:left w:val="nil"/>
              <w:bottom w:val="single" w:color="auto" w:sz="4" w:space="0"/>
              <w:right w:val="single" w:color="auto" w:sz="4" w:space="0"/>
            </w:tcBorders>
            <w:vAlign w:val="center"/>
          </w:tcPr>
          <w:p>
            <w:pPr>
              <w:widowControl/>
              <w:ind w:right="400"/>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3" w:hRule="atLeast"/>
        </w:trPr>
        <w:tc>
          <w:tcPr>
            <w:tcW w:w="760" w:type="dxa"/>
            <w:tcBorders>
              <w:top w:val="single" w:color="auto" w:sz="4" w:space="0"/>
              <w:left w:val="single" w:color="auto" w:sz="4" w:space="0"/>
              <w:bottom w:val="single" w:color="auto" w:sz="4" w:space="0"/>
              <w:right w:val="single" w:color="auto" w:sz="4" w:space="0"/>
            </w:tcBorders>
            <w:vAlign w:val="center"/>
          </w:tcPr>
          <w:p>
            <w:pPr>
              <w:widowControl/>
              <w:ind w:firstLine="105" w:firstLineChars="50"/>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303</w:t>
            </w:r>
          </w:p>
        </w:tc>
        <w:tc>
          <w:tcPr>
            <w:tcW w:w="580"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09</w:t>
            </w:r>
          </w:p>
        </w:tc>
        <w:tc>
          <w:tcPr>
            <w:tcW w:w="2905"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奖励金</w:t>
            </w:r>
          </w:p>
        </w:tc>
        <w:tc>
          <w:tcPr>
            <w:tcW w:w="1709" w:type="dxa"/>
            <w:gridSpan w:val="2"/>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1.58</w:t>
            </w:r>
          </w:p>
        </w:tc>
        <w:tc>
          <w:tcPr>
            <w:tcW w:w="1709" w:type="dxa"/>
            <w:gridSpan w:val="2"/>
            <w:tcBorders>
              <w:top w:val="single" w:color="auto" w:sz="4" w:space="0"/>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1.58</w:t>
            </w:r>
          </w:p>
        </w:tc>
        <w:tc>
          <w:tcPr>
            <w:tcW w:w="1710" w:type="dxa"/>
            <w:tcBorders>
              <w:top w:val="single" w:color="auto" w:sz="4" w:space="0"/>
              <w:left w:val="nil"/>
              <w:bottom w:val="single" w:color="auto" w:sz="4" w:space="0"/>
              <w:right w:val="single" w:color="auto" w:sz="4" w:space="0"/>
            </w:tcBorders>
            <w:vAlign w:val="center"/>
          </w:tcPr>
          <w:p>
            <w:pPr>
              <w:widowControl/>
              <w:ind w:right="400"/>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3" w:hRule="atLeast"/>
        </w:trPr>
        <w:tc>
          <w:tcPr>
            <w:tcW w:w="760" w:type="dxa"/>
            <w:tcBorders>
              <w:top w:val="single" w:color="auto" w:sz="4" w:space="0"/>
              <w:left w:val="single" w:color="auto" w:sz="4" w:space="0"/>
              <w:bottom w:val="single" w:color="auto" w:sz="4" w:space="0"/>
              <w:right w:val="single" w:color="auto" w:sz="4" w:space="0"/>
            </w:tcBorders>
            <w:vAlign w:val="center"/>
          </w:tcPr>
          <w:p>
            <w:pPr>
              <w:widowControl/>
              <w:ind w:firstLine="105" w:firstLineChars="50"/>
              <w:rPr>
                <w:rFonts w:hint="eastAsia" w:ascii="仿宋_GB2312" w:hAnsi="宋体" w:eastAsia="仿宋_GB2312" w:cs="宋体"/>
                <w:color w:val="000000"/>
                <w:kern w:val="0"/>
                <w:szCs w:val="21"/>
              </w:rPr>
            </w:pPr>
          </w:p>
        </w:tc>
        <w:tc>
          <w:tcPr>
            <w:tcW w:w="580"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Cs w:val="21"/>
              </w:rPr>
            </w:pPr>
          </w:p>
        </w:tc>
        <w:tc>
          <w:tcPr>
            <w:tcW w:w="2905"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合计</w:t>
            </w:r>
          </w:p>
        </w:tc>
        <w:tc>
          <w:tcPr>
            <w:tcW w:w="1709" w:type="dxa"/>
            <w:gridSpan w:val="2"/>
            <w:tcBorders>
              <w:top w:val="single" w:color="auto" w:sz="4" w:space="0"/>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1395.23</w:t>
            </w:r>
          </w:p>
        </w:tc>
        <w:tc>
          <w:tcPr>
            <w:tcW w:w="1709" w:type="dxa"/>
            <w:gridSpan w:val="2"/>
            <w:tcBorders>
              <w:top w:val="single" w:color="auto" w:sz="4" w:space="0"/>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1183.17</w:t>
            </w:r>
          </w:p>
        </w:tc>
        <w:tc>
          <w:tcPr>
            <w:tcW w:w="1710" w:type="dxa"/>
            <w:tcBorders>
              <w:top w:val="single" w:color="auto" w:sz="4" w:space="0"/>
              <w:left w:val="nil"/>
              <w:bottom w:val="single" w:color="auto" w:sz="4" w:space="0"/>
              <w:right w:val="single" w:color="auto" w:sz="4" w:space="0"/>
            </w:tcBorders>
            <w:vAlign w:val="center"/>
          </w:tcPr>
          <w:p>
            <w:pPr>
              <w:widowControl/>
              <w:ind w:right="400"/>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212.06</w:t>
            </w: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表7</w:t>
      </w:r>
    </w:p>
    <w:tbl>
      <w:tblPr>
        <w:tblStyle w:val="6"/>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昌吉州党委办公室</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50" w:type="dxa"/>
            <w:vAlign w:val="center"/>
          </w:tcPr>
          <w:p>
            <w:pPr>
              <w:widowControl/>
              <w:jc w:val="right"/>
              <w:outlineLvl w:val="1"/>
              <w:rPr>
                <w:rFonts w:ascii="仿宋_GB2312" w:hAnsi="宋体" w:eastAsia="仿宋_GB2312"/>
                <w:kern w:val="0"/>
                <w:szCs w:val="21"/>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备注：“我单位无项目支出预算，此表为空表”</w:t>
      </w: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昌吉州党委办公室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70.7</w:t>
            </w:r>
          </w:p>
        </w:tc>
        <w:tc>
          <w:tcPr>
            <w:tcW w:w="1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68</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0</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68</w:t>
            </w:r>
          </w:p>
        </w:tc>
        <w:tc>
          <w:tcPr>
            <w:tcW w:w="171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2.7</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71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4" w:type="default"/>
          <w:pgSz w:w="11906" w:h="16838"/>
          <w:pgMar w:top="2098" w:right="1531" w:bottom="1984" w:left="1531" w:header="851" w:footer="992" w:gutter="0"/>
          <w:pgNumType w:fmt="numberInDash" w:start="56"/>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2022年昌吉州党委办公室预算情况说明</w:t>
      </w: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一、关于昌吉州党委办公室2022年收支预算情况的总体说明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按照全口径预算的原则，昌吉州党委办公室2022年所有收入和支出均纳入部门（单位）预算管理。收支总预算2115.24万元。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收入预算包括：一般公共预算拨款收入2115.2</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支出预算包括：一般公共服务支出1763.6</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万元、社会保障和就业支出145.</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万元、卫生健康支出96.70万元、住房保障支出109.70万元。</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二、关于昌吉州党委办公室2022年收入预算情况说明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昌吉州党委办公室收入预算2115.2</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一般公共预算2115.2</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万元，占100%，比上年预算数增加208.02万元，增长10.91%，主要原因是增加一般补充运转项目经费及人员增加经费。</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三、关于昌吉州党委办公室2022年支出预算情况说明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昌吉州党委办公室2022年支出预算2115.2</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基本支出1395.24万元，占65.96%，比上年预算减少511.97万元，下降26.84%，主要原因是其中去年部分列入基本预算的资金本年列入了项目支出。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项目支出720万元，占34.04%，比上年预算增加720万元，增长100%，主要原因是去年项目资金列入了单位基本支出的预算，本年则单独作为项目资金列出。</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四、关于昌吉州党委办公室2022年财政拨款收支预算情况的总体说明</w:t>
      </w:r>
    </w:p>
    <w:p>
      <w:pPr>
        <w:spacing w:line="560" w:lineRule="exact"/>
        <w:ind w:firstLine="640" w:firstLineChars="200"/>
        <w:rPr>
          <w:rFonts w:ascii="仿宋_GB2312" w:hAnsi="宋体" w:eastAsia="仿宋_GB2312" w:cs="宋体"/>
          <w:spacing w:val="-4"/>
          <w:kern w:val="0"/>
          <w:sz w:val="32"/>
          <w:szCs w:val="32"/>
        </w:rPr>
      </w:pPr>
      <w:r>
        <w:rPr>
          <w:rFonts w:hint="eastAsia" w:ascii="仿宋_GB2312" w:hAnsi="宋体" w:eastAsia="仿宋_GB2312" w:cs="宋体"/>
          <w:kern w:val="0"/>
          <w:sz w:val="32"/>
          <w:szCs w:val="32"/>
        </w:rPr>
        <w:t>2022年财政拨款收支总预算2115.24万元。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收入预算包括：一般公共预算拨款2115.24万元。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支出包括：一般公共服务支出1763.63万元，主要用于保障单位行政事业人员工资收入，保障党委各项工作正常开展，党委办公室各项工作正常开展；社会保障和就业支出145.19万元，主要用于单位在编人员及离退休人员养老保险缴费支出及离退休费。卫生健康支出96.7万元，主要用于单位在编人员行政医疗、事业医疗及公务员医疗补助开支；住房保障支出109.7万元，主要用于在编行政及事业人员住房公积金的开支。</w:t>
      </w:r>
      <w:r>
        <w:rPr>
          <w:rFonts w:ascii="仿宋_GB2312" w:hAnsi="宋体" w:eastAsia="仿宋_GB2312" w:cs="宋体"/>
          <w:kern w:val="0"/>
          <w:sz w:val="32"/>
          <w:szCs w:val="32"/>
        </w:rPr>
        <w:t xml:space="preserve"> </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关于昌吉州党委办公室2022年一般公共预算当年拨款情况说明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昌吉州党委办公室2022年一般公共预算拨款合计</w:t>
      </w:r>
      <w:r>
        <w:rPr>
          <w:rFonts w:hint="eastAsia" w:ascii="仿宋_GB2312" w:hAnsi="宋体" w:eastAsia="仿宋_GB2312" w:cs="宋体"/>
          <w:kern w:val="0"/>
          <w:sz w:val="32"/>
          <w:szCs w:val="32"/>
        </w:rPr>
        <w:t>2115.24</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rPr>
        <w:t>1763.63</w:t>
      </w:r>
      <w:r>
        <w:rPr>
          <w:rFonts w:hint="eastAsia" w:ascii="仿宋_GB2312" w:hAnsi="仿宋_GB2312" w:eastAsia="仿宋_GB2312" w:cs="仿宋_GB2312"/>
          <w:kern w:val="0"/>
          <w:sz w:val="32"/>
          <w:szCs w:val="32"/>
        </w:rPr>
        <w:t>万元，比上年预算减少</w:t>
      </w:r>
      <w:r>
        <w:rPr>
          <w:rFonts w:hint="eastAsia" w:ascii="仿宋_GB2312" w:hAnsi="宋体" w:eastAsia="仿宋_GB2312" w:cs="宋体"/>
          <w:kern w:val="0"/>
          <w:sz w:val="32"/>
          <w:szCs w:val="32"/>
        </w:rPr>
        <w:t>511.97</w:t>
      </w:r>
      <w:r>
        <w:rPr>
          <w:rFonts w:hint="eastAsia" w:ascii="仿宋_GB2312" w:hAnsi="仿宋_GB2312" w:eastAsia="仿宋_GB2312" w:cs="仿宋_GB2312"/>
          <w:kern w:val="0"/>
          <w:sz w:val="32"/>
          <w:szCs w:val="32"/>
        </w:rPr>
        <w:t>万元，下降</w:t>
      </w:r>
      <w:r>
        <w:rPr>
          <w:rFonts w:hint="eastAsia" w:ascii="仿宋_GB2312" w:hAnsi="宋体" w:eastAsia="仿宋_GB2312" w:cs="宋体"/>
          <w:kern w:val="0"/>
          <w:sz w:val="32"/>
          <w:szCs w:val="32"/>
        </w:rPr>
        <w:t>26.84%，主要原因是其中去年部分列入基本预算的资金本年列入了项目支出。项目支出720万元，比上年预算增加720万元，增长100%，主要原因是去年项目资金列入了单位基本支出的预算，本年则单独作为项目资金列出。</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800" w:firstLineChars="250"/>
        <w:rPr>
          <w:rFonts w:ascii="仿宋_GB2312" w:hAnsi="宋体" w:eastAsia="仿宋_GB2312" w:cs="宋体"/>
          <w:kern w:val="0"/>
          <w:sz w:val="32"/>
          <w:szCs w:val="32"/>
        </w:rPr>
      </w:pPr>
      <w:r>
        <w:rPr>
          <w:rFonts w:hint="eastAsia" w:ascii="仿宋_GB2312" w:hAnsi="仿宋_GB2312" w:eastAsia="仿宋_GB2312" w:cs="仿宋_GB2312"/>
          <w:sz w:val="32"/>
          <w:szCs w:val="32"/>
        </w:rPr>
        <w:t>1.一般公共服务支出</w:t>
      </w:r>
      <w:r>
        <w:rPr>
          <w:rFonts w:hint="eastAsia" w:ascii="仿宋_GB2312" w:hAnsi="宋体" w:eastAsia="仿宋_GB2312" w:cs="宋体"/>
          <w:kern w:val="0"/>
          <w:sz w:val="32"/>
          <w:szCs w:val="32"/>
        </w:rPr>
        <w:t>1763.63</w:t>
      </w:r>
      <w:r>
        <w:rPr>
          <w:rFonts w:hint="eastAsia" w:ascii="仿宋_GB2312" w:hAnsi="仿宋_GB2312" w:eastAsia="仿宋_GB2312" w:cs="仿宋_GB2312"/>
          <w:kern w:val="0"/>
          <w:sz w:val="32"/>
          <w:szCs w:val="32"/>
        </w:rPr>
        <w:t>万元，占</w:t>
      </w:r>
      <w:r>
        <w:rPr>
          <w:rFonts w:hint="eastAsia" w:ascii="仿宋_GB2312" w:hAnsi="宋体" w:eastAsia="仿宋_GB2312" w:cs="宋体"/>
          <w:kern w:val="0"/>
          <w:sz w:val="32"/>
          <w:szCs w:val="32"/>
        </w:rPr>
        <w:t>83.38</w:t>
      </w:r>
      <w:r>
        <w:rPr>
          <w:rFonts w:hint="eastAsia" w:ascii="仿宋_GB2312" w:hAnsi="仿宋_GB2312" w:eastAsia="仿宋_GB2312" w:cs="仿宋_GB2312"/>
          <w:kern w:val="0"/>
          <w:sz w:val="32"/>
          <w:szCs w:val="32"/>
        </w:rPr>
        <w:t>%。</w:t>
      </w:r>
    </w:p>
    <w:p>
      <w:pPr>
        <w:numPr>
          <w:ilvl w:val="0"/>
          <w:numId w:val="1"/>
        </w:numPr>
        <w:spacing w:line="56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社会保障和就业支出145.19万元，占6.86%。</w:t>
      </w:r>
    </w:p>
    <w:p>
      <w:pPr>
        <w:numPr>
          <w:ilvl w:val="0"/>
          <w:numId w:val="1"/>
        </w:numPr>
        <w:spacing w:line="56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卫生健康支出96.7万元，占4.57%。</w:t>
      </w:r>
    </w:p>
    <w:p>
      <w:pPr>
        <w:numPr>
          <w:ilvl w:val="0"/>
          <w:numId w:val="1"/>
        </w:numPr>
        <w:spacing w:line="560" w:lineRule="exact"/>
        <w:ind w:firstLine="640"/>
        <w:rPr>
          <w:rFonts w:ascii="仿宋_GB2312" w:hAnsi="仿宋_GB2312" w:eastAsia="仿宋_GB2312" w:cs="仿宋_GB2312"/>
          <w:kern w:val="0"/>
          <w:sz w:val="32"/>
          <w:szCs w:val="32"/>
        </w:rPr>
      </w:pPr>
      <w:r>
        <w:rPr>
          <w:rFonts w:hint="eastAsia" w:ascii="仿宋_GB2312" w:hAnsi="宋体" w:eastAsia="仿宋_GB2312" w:cs="宋体"/>
          <w:kern w:val="0"/>
          <w:sz w:val="32"/>
          <w:szCs w:val="32"/>
        </w:rPr>
        <w:t>住房保障支出109.7万元，占5.19%。</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1、一般公共服务支出（类）</w:t>
      </w:r>
      <w:r>
        <w:rPr>
          <w:rFonts w:hint="eastAsia" w:ascii="仿宋_GB2312" w:hAnsi="宋体" w:eastAsia="仿宋_GB2312" w:cs="宋体"/>
          <w:kern w:val="0"/>
          <w:sz w:val="32"/>
          <w:szCs w:val="32"/>
        </w:rPr>
        <w:t>党委办公厅（室）及相关机构事务（款）行政运行（项）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rPr>
        <w:t>1007.58</w:t>
      </w:r>
      <w:r>
        <w:rPr>
          <w:rFonts w:hint="eastAsia" w:ascii="仿宋_GB2312" w:hAnsi="仿宋_GB2312" w:eastAsia="仿宋_GB2312" w:cs="仿宋_GB2312"/>
          <w:kern w:val="0"/>
          <w:sz w:val="32"/>
          <w:szCs w:val="32"/>
        </w:rPr>
        <w:t>万元，比上年预算减少655.38万元，下降39.4%，主要原因是本年将行政运行补助经费单独列入一般行政管理事务作为项目支出计入预算。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2、一般公共服务支出（类）</w:t>
      </w:r>
      <w:r>
        <w:rPr>
          <w:rFonts w:hint="eastAsia" w:ascii="仿宋_GB2312" w:hAnsi="宋体" w:eastAsia="仿宋_GB2312" w:cs="宋体"/>
          <w:kern w:val="0"/>
          <w:sz w:val="32"/>
          <w:szCs w:val="32"/>
        </w:rPr>
        <w:t>党委办公厅（室）及相关机构事务（款）</w:t>
      </w:r>
      <w:r>
        <w:rPr>
          <w:rFonts w:hint="eastAsia" w:ascii="仿宋_GB2312" w:hAnsi="仿宋_GB2312" w:eastAsia="仿宋_GB2312" w:cs="仿宋_GB2312"/>
          <w:kern w:val="0"/>
          <w:sz w:val="32"/>
          <w:szCs w:val="32"/>
        </w:rPr>
        <w:t>一般行政管理事务（项）2022年预算数为720万元，比上年预算数增加720万元，增长100%，主要原因是本年将行政运行补助经费单独列入一般行政管理事务作为项目支出计入预算。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3、一般公共服务支出（类）</w:t>
      </w:r>
      <w:r>
        <w:rPr>
          <w:rFonts w:hint="eastAsia" w:ascii="仿宋_GB2312" w:hAnsi="宋体" w:eastAsia="仿宋_GB2312" w:cs="宋体"/>
          <w:kern w:val="0"/>
          <w:sz w:val="32"/>
          <w:szCs w:val="32"/>
        </w:rPr>
        <w:t>党委办公厅（室）及相关机构事务（款）事业运行（项）2022</w:t>
      </w:r>
      <w:r>
        <w:rPr>
          <w:rFonts w:hint="eastAsia" w:ascii="仿宋_GB2312" w:hAnsi="仿宋_GB2312" w:eastAsia="仿宋_GB2312" w:cs="仿宋_GB2312"/>
          <w:kern w:val="0"/>
          <w:sz w:val="32"/>
          <w:szCs w:val="32"/>
        </w:rPr>
        <w:t>年预算数为36.06万元，较上年预算数增加2.57万元，增长7.67%，主要原因本年事业人员增加。</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4、</w:t>
      </w:r>
      <w:r>
        <w:rPr>
          <w:rFonts w:hint="eastAsia" w:ascii="仿宋_GB2312" w:hAnsi="宋体" w:eastAsia="仿宋_GB2312" w:cs="宋体"/>
          <w:kern w:val="0"/>
          <w:sz w:val="32"/>
          <w:szCs w:val="32"/>
        </w:rPr>
        <w:t>社会保障和就业支出（类）行政事业单位养老支出（款）行政单位离退休（项）2022年预算数为22.25万元，较上年预算数增加22.25万元，增长100%，主要原因 为本年将行政离退休费单独列出预算。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5、社会保障和就业支出（类）行政事业单位养老支出（款）机关事业单位基本养老保险缴费支出（项）2022年预算数为122.94万元，较上年预算数增加17.85万元，增长16.98%。主要原因是本年人员增加，相应的社保缴费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6、卫生健康支出（类）行政事业单位医疗（款）行政单位医疗（项）2022年预算数为69.62万元，较上年预算减少10.37万元，降低12.96%，主要原因本年将行政单位医疗与事业单位医疗进行预算分离，同时机关事业单位医疗保险比例降低了，因此此项预算有所降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7、卫生健康支出（类）行政事业单位医疗（款）事业单位医疗（项）2022年预算数为3.38万元，较上年预算增加3.38万元，增长100%，主要原因是去年该项预算与行政单位医疗进行合并计算，本年进行分离预算。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8、卫生健康支出（类）行政事业单位医疗（款）公务员医疗补助（项）2022年预算数为23.05万元，较上年预算减少2.52万元，降低9.9%，主要原因机关事业单位医疗保险比例降低了。</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9、卫生健康支出（类）行政事业单位医疗（款）其他行政事业单位医疗支出（项）2022年预算数为0.65万元，较上年预算数增加0.54万元，增加490%。</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10、住房保障支出（类）住房改革支出（款）住房公积金（项）2022年预算数为109.7万元，较上年预算数增加109.7万元，增长100%，主要原因本年将住房公积金单独列出预算。</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关于昌吉州党委办公室2022年一般公共预算基本支出情况说明</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昌吉州党委办公室2022年一般公共预算基本支出</w:t>
      </w:r>
      <w:r>
        <w:rPr>
          <w:rFonts w:hint="eastAsia" w:ascii="仿宋_GB2312" w:hAnsi="宋体" w:eastAsia="仿宋_GB2312" w:cs="宋体"/>
          <w:kern w:val="0"/>
          <w:sz w:val="32"/>
          <w:szCs w:val="32"/>
        </w:rPr>
        <w:t>1395.2</w:t>
      </w:r>
      <w:r>
        <w:rPr>
          <w:rFonts w:hint="eastAsia" w:ascii="仿宋_GB2312" w:hAnsi="宋体" w:eastAsia="仿宋_GB2312" w:cs="宋体"/>
          <w:kern w:val="0"/>
          <w:sz w:val="32"/>
          <w:szCs w:val="32"/>
          <w:lang w:val="en-US" w:eastAsia="zh-CN"/>
        </w:rPr>
        <w:t>3</w:t>
      </w:r>
      <w:r>
        <w:rPr>
          <w:rFonts w:hint="eastAsia" w:ascii="仿宋_GB2312" w:hAnsi="宋体" w:eastAsia="仿宋_GB2312" w:cs="宋体"/>
          <w:spacing w:val="-6"/>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1183.17万元，主要包括：基本工资361.73万元、津贴补贴369.96万元、奖金29.55万元、绩效工资15.26万元、机关事业单位基本养老保险缴费122.94万元、城镇职工基本医疗保险缴费73万元、公务员医疗补助缴费23.05万元、其他社会保障缴费0.79万元、住房公积金109.7万元、医疗费、其他工资福利支出25.62万元、离休费20.83万元、生活补助2.62万元、医疗费补助26.53万元、奖励金1.58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212.06万元，主要包括：办公费55.57万元、印刷费8万元、咨询费0.3万元、邮电费7.2万元、取暖费18.2万元、差旅费6万元、维修（护）费1万元、培训费4万元、公务接待费2.7万元、劳务费1.58万元、工会经费14.49万元、福利费13.04万元、公务用车运行维护费68万元、其他商品和服务支出11.99万元。</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关于昌吉州党委办公室2022年一般公共预算项目支出情况说明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名称（一）</w:t>
      </w:r>
      <w:r>
        <w:rPr>
          <w:rFonts w:hint="eastAsia" w:ascii="仿宋_GB2312" w:hAnsi="黑体" w:eastAsia="仿宋_GB2312"/>
          <w:sz w:val="32"/>
          <w:szCs w:val="32"/>
        </w:rPr>
        <w:t>：州党委专用通信局涉密专项经费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此项内容涉密不予公开</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名称（二）</w:t>
      </w:r>
      <w:r>
        <w:rPr>
          <w:rFonts w:hint="eastAsia" w:ascii="仿宋_GB2312" w:hAnsi="黑体" w:eastAsia="仿宋_GB2312"/>
          <w:sz w:val="32"/>
          <w:szCs w:val="32"/>
        </w:rPr>
        <w:t>：州党委办公室机关运行补助经费</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根据三定方案。昌州党办字【2019】19号，中共昌吉回族自治州委员会办公室关于印发《中共昌吉回族自治州委员会办公室职能配置内设机构和人员编制》的规定。</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：单位预算600万元。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：昌吉州党委办公室</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：聘用人员工资福利及社保、其他工资福利支出120万，补充差旅费36万，专用材料费4.8万，办公费20万，机关运行其他支出115万，机关运行办公设备购置35万，其他商品服务支出269.2万。</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2022年1月-2022年12月</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八、关于昌吉州党委办公室2022年一般公共预算“三公”经费预算情况说明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昌吉州党委办公室2022年一般公共预算“三公”经费数为70.7万元，其中：因公出国（境）费0万元，公务用车购置0万元，公务用车运行费68万元，公务接待费2.7万元。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减少12万元，下降14.5%，其中：因公出国（境）费增加0万元，增长0%，主要原因是未安排因公出国境工作；公务用车购置费增加0万元，增长0%，主要原因是未安排公务用车购置；公务用车运行费减少12万元，下降15%，主要原因是公务用车减少，经费压缩；公务接待费增加0万元，增长0%，主要原因是与上年预算保持一致。</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九、关于昌吉州党委办公室2022年政府性基金预算拨款情况说明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昌吉州党委办公室2022年没有使用政府性基金预算拨款安排的支出，政府性基金预算支出情况表为空表。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2022年，昌吉州党委办公室机关运行经费财政拨款预算212.06万元，比上年预算减少483.54万元，下降69.5%。主要原因是本年将部分机关运行经费列入项目预算支出。</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2022年，昌吉州党委办公室政府采购预算347.813万元，其中：政府采购货物预算108.692万元，政府采购工程预算114.92万元，政府采购服务预算124.2万元。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2022年度本部门面向中小企业预留政府采购项目预算金额347.813万元，其中：面向小微企业预留政府采购项目预算金额149.17万元。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w:t>
      </w:r>
      <w:r>
        <w:rPr>
          <w:rFonts w:hint="eastAsia" w:ascii="仿宋_GB2312" w:hAnsi="宋体" w:eastAsia="仿宋_GB2312" w:cs="宋体"/>
          <w:kern w:val="0"/>
          <w:sz w:val="32"/>
          <w:szCs w:val="32"/>
        </w:rPr>
        <w:t>昌吉州党委办公室</w:t>
      </w:r>
      <w:r>
        <w:rPr>
          <w:rFonts w:hint="eastAsia" w:ascii="仿宋_GB2312" w:hAnsi="仿宋_GB2312" w:eastAsia="仿宋_GB2312" w:cs="仿宋_GB2312"/>
          <w:kern w:val="0"/>
          <w:sz w:val="32"/>
          <w:szCs w:val="32"/>
        </w:rPr>
        <w:t>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1.房屋8271.72平方米，价值145270万元。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2.车辆19辆，价值56.86万元；其中：一般公务用车19辆，价值56.86万元；执法执勤用车0辆，价值0万元；其他车辆0辆，价值0万元。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3.办公家具价值43.1万元。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4.其他资产价值417.94万元。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单位价值50万元以上大型设备0台（套），单位价值100万元以上大型设备0台（套）。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宋体" w:eastAsia="仿宋_GB2312" w:cs="宋体"/>
          <w:kern w:val="0"/>
          <w:sz w:val="32"/>
          <w:szCs w:val="32"/>
        </w:rPr>
        <w:t>昌吉州党委办公室</w:t>
      </w:r>
      <w:r>
        <w:rPr>
          <w:rFonts w:hint="eastAsia" w:ascii="仿宋_GB2312" w:hAnsi="仿宋_GB2312" w:eastAsia="仿宋_GB2312" w:cs="仿宋_GB2312"/>
          <w:kern w:val="0"/>
          <w:sz w:val="32"/>
          <w:szCs w:val="32"/>
        </w:rPr>
        <w:t>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2022年，本年度预算绩效管理的财政拨款项目2个，涉及预算金额720万元。具体情况见下表（按项目分别填报）：</w:t>
      </w: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332"/>
        <w:gridCol w:w="48"/>
        <w:gridCol w:w="906"/>
        <w:gridCol w:w="1476"/>
        <w:gridCol w:w="1039"/>
        <w:gridCol w:w="1481"/>
        <w:gridCol w:w="1183"/>
      </w:tblGrid>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rPr>
            </w:pPr>
          </w:p>
          <w:p>
            <w:pPr>
              <w:widowControl/>
              <w:spacing w:line="480" w:lineRule="exact"/>
              <w:jc w:val="center"/>
              <w:textAlignment w:val="bottom"/>
              <w:rPr>
                <w:rFonts w:hint="eastAsia" w:ascii="仿宋_GB2312" w:hAnsi="宋体" w:eastAsia="仿宋_GB2312" w:cs="仿宋_GB2312"/>
                <w:b/>
                <w:color w:val="000000"/>
                <w:kern w:val="0"/>
                <w:sz w:val="32"/>
                <w:szCs w:val="32"/>
              </w:rPr>
            </w:pPr>
          </w:p>
          <w:p>
            <w:pPr>
              <w:widowControl/>
              <w:spacing w:line="480" w:lineRule="exact"/>
              <w:jc w:val="center"/>
              <w:textAlignment w:val="bottom"/>
              <w:rPr>
                <w:rFonts w:hint="eastAsia" w:ascii="仿宋_GB2312" w:hAnsi="宋体" w:eastAsia="仿宋_GB2312" w:cs="仿宋_GB2312"/>
                <w:b/>
                <w:color w:val="000000"/>
                <w:kern w:val="0"/>
                <w:sz w:val="32"/>
                <w:szCs w:val="32"/>
              </w:rPr>
            </w:pPr>
          </w:p>
          <w:p>
            <w:pPr>
              <w:widowControl/>
              <w:spacing w:line="480" w:lineRule="exact"/>
              <w:jc w:val="center"/>
              <w:textAlignment w:val="bottom"/>
              <w:rPr>
                <w:rFonts w:hint="eastAsia" w:ascii="仿宋_GB2312" w:hAnsi="宋体" w:eastAsia="仿宋_GB2312" w:cs="仿宋_GB2312"/>
                <w:b/>
                <w:color w:val="000000"/>
                <w:kern w:val="0"/>
                <w:sz w:val="32"/>
                <w:szCs w:val="32"/>
              </w:rPr>
            </w:pPr>
          </w:p>
          <w:p>
            <w:pPr>
              <w:widowControl/>
              <w:spacing w:line="480" w:lineRule="exact"/>
              <w:jc w:val="center"/>
              <w:textAlignment w:val="bottom"/>
              <w:rPr>
                <w:rFonts w:hint="eastAsia" w:ascii="仿宋_GB2312" w:hAnsi="宋体" w:eastAsia="仿宋_GB2312" w:cs="仿宋_GB2312"/>
                <w:b/>
                <w:color w:val="000000"/>
                <w:kern w:val="0"/>
                <w:sz w:val="32"/>
                <w:szCs w:val="32"/>
              </w:rPr>
            </w:pPr>
          </w:p>
          <w:p>
            <w:pPr>
              <w:widowControl/>
              <w:spacing w:line="480" w:lineRule="exact"/>
              <w:jc w:val="center"/>
              <w:textAlignment w:val="bottom"/>
              <w:rPr>
                <w:rFonts w:hint="eastAsia" w:ascii="仿宋_GB2312" w:hAnsi="宋体" w:eastAsia="仿宋_GB2312" w:cs="仿宋_GB2312"/>
                <w:b/>
                <w:color w:val="000000"/>
                <w:kern w:val="0"/>
                <w:sz w:val="32"/>
                <w:szCs w:val="32"/>
              </w:rPr>
            </w:pPr>
          </w:p>
          <w:p>
            <w:pPr>
              <w:widowControl/>
              <w:spacing w:line="480" w:lineRule="exact"/>
              <w:jc w:val="center"/>
              <w:textAlignment w:val="bottom"/>
              <w:rPr>
                <w:rFonts w:hint="eastAsia" w:ascii="仿宋_GB2312" w:hAnsi="宋体" w:eastAsia="仿宋_GB2312" w:cs="仿宋_GB2312"/>
                <w:b/>
                <w:color w:val="000000"/>
                <w:kern w:val="0"/>
                <w:sz w:val="32"/>
                <w:szCs w:val="32"/>
              </w:rPr>
            </w:pPr>
          </w:p>
          <w:p>
            <w:pPr>
              <w:widowControl/>
              <w:spacing w:line="480" w:lineRule="exact"/>
              <w:jc w:val="center"/>
              <w:textAlignment w:val="bottom"/>
              <w:rPr>
                <w:rFonts w:hint="eastAsia" w:ascii="仿宋_GB2312" w:hAnsi="宋体" w:eastAsia="仿宋_GB2312" w:cs="仿宋_GB2312"/>
                <w:b/>
                <w:color w:val="000000"/>
                <w:kern w:val="0"/>
                <w:sz w:val="32"/>
                <w:szCs w:val="32"/>
              </w:rPr>
            </w:pPr>
          </w:p>
          <w:p>
            <w:pPr>
              <w:widowControl/>
              <w:spacing w:line="480" w:lineRule="exact"/>
              <w:jc w:val="center"/>
              <w:textAlignment w:val="bottom"/>
              <w:rPr>
                <w:rFonts w:hint="eastAsia" w:ascii="仿宋_GB2312" w:hAnsi="宋体" w:eastAsia="仿宋_GB2312" w:cs="仿宋_GB2312"/>
                <w:b/>
                <w:color w:val="000000"/>
                <w:kern w:val="0"/>
                <w:sz w:val="32"/>
                <w:szCs w:val="32"/>
              </w:rPr>
            </w:pPr>
          </w:p>
          <w:p>
            <w:pPr>
              <w:widowControl/>
              <w:spacing w:line="480" w:lineRule="exact"/>
              <w:jc w:val="center"/>
              <w:textAlignment w:val="bottom"/>
              <w:rPr>
                <w:rFonts w:hint="eastAsia" w:ascii="仿宋_GB2312" w:hAnsi="宋体" w:eastAsia="仿宋_GB2312" w:cs="仿宋_GB2312"/>
                <w:b/>
                <w:color w:val="000000"/>
                <w:kern w:val="0"/>
                <w:sz w:val="32"/>
                <w:szCs w:val="32"/>
              </w:rPr>
            </w:pPr>
          </w:p>
          <w:p>
            <w:pPr>
              <w:widowControl/>
              <w:spacing w:line="480" w:lineRule="exact"/>
              <w:jc w:val="center"/>
              <w:textAlignment w:val="bottom"/>
              <w:rPr>
                <w:rFonts w:hint="eastAsia" w:ascii="仿宋_GB2312" w:hAnsi="宋体" w:eastAsia="仿宋_GB2312" w:cs="仿宋_GB2312"/>
                <w:b/>
                <w:color w:val="000000"/>
                <w:kern w:val="0"/>
                <w:sz w:val="32"/>
                <w:szCs w:val="32"/>
              </w:rPr>
            </w:pPr>
          </w:p>
          <w:p>
            <w:pPr>
              <w:widowControl/>
              <w:spacing w:line="480" w:lineRule="exact"/>
              <w:jc w:val="center"/>
              <w:textAlignment w:val="bottom"/>
              <w:rPr>
                <w:rFonts w:hint="eastAsia" w:ascii="仿宋_GB2312" w:hAnsi="宋体" w:eastAsia="仿宋_GB2312" w:cs="仿宋_GB2312"/>
                <w:b/>
                <w:color w:val="000000"/>
                <w:kern w:val="0"/>
                <w:sz w:val="32"/>
                <w:szCs w:val="32"/>
              </w:rPr>
            </w:pPr>
          </w:p>
          <w:p>
            <w:pPr>
              <w:widowControl/>
              <w:spacing w:line="480" w:lineRule="exact"/>
              <w:jc w:val="center"/>
              <w:textAlignment w:val="bottom"/>
              <w:rPr>
                <w:rFonts w:hint="eastAsia" w:ascii="仿宋_GB2312" w:hAnsi="宋体" w:eastAsia="仿宋_GB2312" w:cs="仿宋_GB2312"/>
                <w:b/>
                <w:color w:val="000000"/>
                <w:kern w:val="0"/>
                <w:sz w:val="32"/>
                <w:szCs w:val="32"/>
              </w:rPr>
            </w:pPr>
          </w:p>
          <w:p>
            <w:pPr>
              <w:widowControl/>
              <w:spacing w:line="480" w:lineRule="exact"/>
              <w:jc w:val="center"/>
              <w:textAlignment w:val="bottom"/>
              <w:rPr>
                <w:rFonts w:hint="eastAsia" w:ascii="仿宋_GB2312" w:hAnsi="宋体" w:eastAsia="仿宋_GB2312" w:cs="仿宋_GB2312"/>
                <w:b/>
                <w:color w:val="000000"/>
                <w:kern w:val="0"/>
                <w:sz w:val="32"/>
                <w:szCs w:val="32"/>
              </w:rPr>
            </w:pPr>
          </w:p>
          <w:p>
            <w:pPr>
              <w:widowControl/>
              <w:spacing w:line="480" w:lineRule="exact"/>
              <w:jc w:val="center"/>
              <w:textAlignment w:val="bottom"/>
              <w:rPr>
                <w:rFonts w:hint="eastAsia" w:ascii="仿宋_GB2312" w:hAnsi="宋体" w:eastAsia="仿宋_GB2312" w:cs="仿宋_GB2312"/>
                <w:b/>
                <w:color w:val="000000"/>
                <w:kern w:val="0"/>
                <w:sz w:val="32"/>
                <w:szCs w:val="32"/>
              </w:rPr>
            </w:pPr>
          </w:p>
          <w:p>
            <w:pPr>
              <w:widowControl/>
              <w:spacing w:line="480" w:lineRule="exact"/>
              <w:jc w:val="center"/>
              <w:textAlignment w:val="bottom"/>
              <w:rPr>
                <w:rFonts w:hint="eastAsia" w:ascii="仿宋_GB2312" w:hAnsi="宋体" w:eastAsia="仿宋_GB2312" w:cs="仿宋_GB2312"/>
                <w:b/>
                <w:color w:val="000000"/>
                <w:kern w:val="0"/>
                <w:sz w:val="32"/>
                <w:szCs w:val="32"/>
              </w:rPr>
            </w:pPr>
          </w:p>
          <w:p>
            <w:pPr>
              <w:widowControl/>
              <w:spacing w:line="480" w:lineRule="exact"/>
              <w:jc w:val="center"/>
              <w:textAlignment w:val="bottom"/>
              <w:rPr>
                <w:rFonts w:hint="eastAsia"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绩效  目  标  表</w:t>
            </w:r>
          </w:p>
        </w:tc>
      </w:tr>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w:t>
            </w:r>
            <w:r>
              <w:rPr>
                <w:rFonts w:ascii="宋体" w:hAnsi="宋体" w:cs="宋体"/>
                <w:color w:val="000000"/>
                <w:kern w:val="0"/>
                <w:sz w:val="22"/>
                <w:szCs w:val="22"/>
              </w:rPr>
              <w:t>2</w:t>
            </w:r>
            <w:r>
              <w:rPr>
                <w:rFonts w:hint="eastAsia" w:ascii="宋体" w:hAnsi="宋体" w:cs="宋体"/>
                <w:color w:val="000000"/>
                <w:kern w:val="0"/>
                <w:sz w:val="22"/>
                <w:szCs w:val="22"/>
              </w:rPr>
              <w:t>年）</w:t>
            </w:r>
          </w:p>
        </w:tc>
      </w:tr>
      <w:tr>
        <w:tblPrEx>
          <w:tblLayout w:type="fixed"/>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ascii="宋体" w:hAnsi="宋体" w:cs="宋体"/>
                <w:color w:val="000000"/>
                <w:sz w:val="18"/>
                <w:szCs w:val="18"/>
              </w:rPr>
              <w:t>昌吉州党委办公室</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ascii="宋体" w:hAnsi="宋体" w:cs="宋体"/>
                <w:color w:val="000000"/>
                <w:sz w:val="18"/>
                <w:szCs w:val="18"/>
              </w:rPr>
              <w:t>州党委办公室运行补助经费</w:t>
            </w:r>
          </w:p>
        </w:tc>
      </w:tr>
      <w:tr>
        <w:tblPrEx>
          <w:tblLayout w:type="fixed"/>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600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r>
              <w:rPr>
                <w:rFonts w:hint="eastAsia" w:ascii="宋体" w:hAnsi="宋体" w:cs="宋体"/>
                <w:color w:val="000000"/>
                <w:sz w:val="18"/>
                <w:szCs w:val="18"/>
              </w:rPr>
              <w:t>600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ascii="宋体" w:hAnsi="宋体" w:cs="宋体"/>
                <w:color w:val="000000"/>
                <w:sz w:val="18"/>
                <w:szCs w:val="18"/>
              </w:rPr>
              <w:t>保障党委办公楼</w:t>
            </w:r>
            <w:r>
              <w:rPr>
                <w:rFonts w:hint="eastAsia" w:ascii="宋体" w:hAnsi="宋体" w:cs="宋体"/>
                <w:color w:val="000000"/>
                <w:sz w:val="18"/>
                <w:szCs w:val="18"/>
              </w:rPr>
              <w:t>8397.45平方米的供暖，保障4辆公务用车的运行经费，保障党委楼内聘用人员的费用支出，完成档案库房的建设及档案整理及移交工作。保障办公室各类办文、办会的正常开支。持续增强党员干部队伍建设和党风廉政教育，增强人民群众法制意识。长期发扬州党委办公室上下协调及服务意识的工作作风。</w:t>
            </w:r>
          </w:p>
        </w:tc>
      </w:tr>
      <w:tr>
        <w:tblPrEx>
          <w:tblLayout w:type="fixed"/>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3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Layout w:type="fixed"/>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33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ascii="宋体" w:hAnsi="宋体" w:cs="宋体"/>
                <w:color w:val="000000"/>
                <w:sz w:val="18"/>
                <w:szCs w:val="18"/>
              </w:rPr>
              <w:t>房屋建筑物供暖面积</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ascii="宋体" w:hAnsi="宋体" w:cs="宋体"/>
                <w:color w:val="000000"/>
                <w:sz w:val="18"/>
                <w:szCs w:val="18"/>
              </w:rPr>
              <w:t>=</w:t>
            </w:r>
            <w:r>
              <w:rPr>
                <w:rFonts w:hint="eastAsia" w:ascii="宋体" w:hAnsi="宋体" w:cs="宋体"/>
                <w:color w:val="000000"/>
                <w:sz w:val="18"/>
                <w:szCs w:val="18"/>
              </w:rPr>
              <w:t>8397.45平方米</w:t>
            </w:r>
          </w:p>
        </w:tc>
      </w:tr>
      <w:tr>
        <w:tblPrEx>
          <w:tblLayout w:type="fixed"/>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ascii="宋体" w:hAnsi="宋体" w:cs="宋体"/>
                <w:color w:val="000000"/>
                <w:sz w:val="18"/>
                <w:szCs w:val="18"/>
              </w:rPr>
              <w:t>公务保障用车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&gt;=4辆</w:t>
            </w:r>
          </w:p>
        </w:tc>
      </w:tr>
      <w:tr>
        <w:tblPrEx>
          <w:tblLayout w:type="fixed"/>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ascii="宋体" w:hAnsi="宋体" w:cs="宋体"/>
                <w:color w:val="000000"/>
                <w:sz w:val="18"/>
                <w:szCs w:val="18"/>
              </w:rPr>
              <w:t>保障办公人员数量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ascii="宋体" w:hAnsi="宋体" w:cs="宋体"/>
                <w:color w:val="000000"/>
                <w:sz w:val="18"/>
                <w:szCs w:val="18"/>
              </w:rPr>
              <w:t>=</w:t>
            </w:r>
            <w:r>
              <w:rPr>
                <w:rFonts w:hint="eastAsia" w:ascii="宋体" w:hAnsi="宋体" w:cs="宋体"/>
                <w:color w:val="000000"/>
                <w:sz w:val="18"/>
                <w:szCs w:val="18"/>
              </w:rPr>
              <w:t>11人</w:t>
            </w:r>
          </w:p>
        </w:tc>
      </w:tr>
      <w:tr>
        <w:tblPrEx>
          <w:tblLayout w:type="fixed"/>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ascii="宋体" w:hAnsi="宋体" w:cs="宋体"/>
                <w:color w:val="000000"/>
                <w:sz w:val="18"/>
                <w:szCs w:val="18"/>
              </w:rPr>
              <w:t>保障党委各项工作正常开展</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r>
        <w:tblPrEx>
          <w:tblLayout w:type="fixed"/>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ascii="宋体" w:hAnsi="宋体" w:cs="宋体"/>
                <w:color w:val="000000"/>
                <w:sz w:val="18"/>
                <w:szCs w:val="18"/>
              </w:rPr>
              <w:t>公用经费支付及时率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&gt;=98%</w:t>
            </w:r>
          </w:p>
        </w:tc>
      </w:tr>
      <w:tr>
        <w:tblPrEx>
          <w:tblLayout w:type="fixed"/>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ascii="宋体" w:hAnsi="宋体" w:cs="宋体"/>
                <w:color w:val="000000"/>
                <w:sz w:val="18"/>
                <w:szCs w:val="18"/>
              </w:rPr>
              <w:t>完成党委楼内维修及洗车房的建设</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2022年12月31日</w:t>
            </w:r>
          </w:p>
        </w:tc>
      </w:tr>
      <w:tr>
        <w:tblPrEx>
          <w:tblLayout w:type="fixed"/>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sz w:val="18"/>
                <w:szCs w:val="18"/>
              </w:rPr>
            </w:pPr>
          </w:p>
        </w:tc>
        <w:tc>
          <w:tcPr>
            <w:tcW w:w="133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sz w:val="18"/>
                <w:szCs w:val="18"/>
              </w:rPr>
            </w:pPr>
            <w:r>
              <w:rPr>
                <w:rFonts w:hint="eastAsia" w:ascii="宋体" w:hAnsi="宋体" w:cs="宋体"/>
                <w:kern w:val="0"/>
                <w:sz w:val="18"/>
                <w:szCs w:val="18"/>
              </w:rPr>
              <w:t>成本指标</w:t>
            </w: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ascii="宋体" w:hAnsi="宋体" w:cs="宋体"/>
                <w:color w:val="000000"/>
                <w:sz w:val="18"/>
                <w:szCs w:val="18"/>
              </w:rPr>
              <w:t>人均运转经费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&lt;=12(万元/人)</w:t>
            </w:r>
          </w:p>
        </w:tc>
      </w:tr>
      <w:tr>
        <w:tblPrEx>
          <w:tblLayout w:type="fixed"/>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sz w:val="18"/>
                <w:szCs w:val="18"/>
              </w:rPr>
            </w:pPr>
          </w:p>
        </w:tc>
        <w:tc>
          <w:tcPr>
            <w:tcW w:w="133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sz w:val="18"/>
                <w:szCs w:val="18"/>
              </w:rPr>
            </w:pP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ascii="宋体" w:hAnsi="宋体" w:cs="宋体"/>
                <w:color w:val="000000"/>
                <w:sz w:val="18"/>
                <w:szCs w:val="18"/>
              </w:rPr>
              <w:t>档案室建设及档案整理移交经费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&lt;=70万元</w:t>
            </w:r>
          </w:p>
        </w:tc>
      </w:tr>
      <w:tr>
        <w:tblPrEx>
          <w:tblLayout w:type="fixed"/>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sz w:val="18"/>
                <w:szCs w:val="18"/>
              </w:rPr>
            </w:pPr>
          </w:p>
        </w:tc>
        <w:tc>
          <w:tcPr>
            <w:tcW w:w="133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sz w:val="18"/>
                <w:szCs w:val="18"/>
              </w:rPr>
            </w:pP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ascii="宋体" w:hAnsi="宋体" w:cs="宋体"/>
                <w:color w:val="000000"/>
                <w:sz w:val="18"/>
                <w:szCs w:val="18"/>
              </w:rPr>
              <w:t>保障各类会议正常开展及涉密阅件室建设</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&lt;=350万元</w:t>
            </w:r>
          </w:p>
        </w:tc>
      </w:tr>
      <w:tr>
        <w:tblPrEx>
          <w:tblLayout w:type="fixed"/>
          <w:tblCellMar>
            <w:top w:w="0" w:type="dxa"/>
            <w:left w:w="0" w:type="dxa"/>
            <w:bottom w:w="0" w:type="dxa"/>
            <w:right w:w="0" w:type="dxa"/>
          </w:tblCellMar>
        </w:tblPrEx>
        <w:trPr>
          <w:trHeight w:val="440" w:hRule="atLeast"/>
        </w:trPr>
        <w:tc>
          <w:tcPr>
            <w:tcW w:w="1515"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ascii="宋体" w:hAnsi="宋体" w:cs="宋体"/>
                <w:color w:val="000000"/>
                <w:sz w:val="18"/>
                <w:szCs w:val="18"/>
              </w:rPr>
              <w:t>完成州党委楼内维修改造及洗车房建设</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&lt;=48万元</w:t>
            </w:r>
          </w:p>
        </w:tc>
      </w:tr>
      <w:tr>
        <w:tblPrEx>
          <w:tblLayout w:type="fixed"/>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3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240" w:lineRule="exact"/>
              <w:jc w:val="center"/>
              <w:rPr>
                <w:rFonts w:ascii="宋体" w:hAnsi="宋体" w:cs="宋体"/>
                <w:color w:val="000000"/>
                <w:sz w:val="18"/>
                <w:szCs w:val="18"/>
              </w:rPr>
            </w:pPr>
            <w:r>
              <w:rPr>
                <w:rFonts w:ascii="宋体" w:hAnsi="宋体" w:cs="宋体"/>
                <w:color w:val="000000"/>
                <w:sz w:val="18"/>
                <w:szCs w:val="18"/>
              </w:rPr>
              <w:t>加强干部队伍建设和党风廉政教育，增强人民群众法制意识，提高农牧民生活质量、幸福感增强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ascii="宋体" w:hAnsi="宋体" w:cs="宋体"/>
                <w:color w:val="000000"/>
                <w:sz w:val="18"/>
                <w:szCs w:val="18"/>
              </w:rPr>
              <w:t>持续增强</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240" w:lineRule="exact"/>
              <w:jc w:val="center"/>
              <w:rPr>
                <w:rFonts w:ascii="宋体" w:hAnsi="宋体" w:cs="宋体"/>
                <w:color w:val="000000"/>
                <w:sz w:val="18"/>
                <w:szCs w:val="18"/>
              </w:rPr>
            </w:pPr>
            <w:r>
              <w:rPr>
                <w:rFonts w:ascii="宋体" w:hAnsi="宋体" w:cs="宋体"/>
                <w:color w:val="000000"/>
                <w:sz w:val="18"/>
                <w:szCs w:val="18"/>
              </w:rPr>
              <w:t>发扬州党委办公室上下协调、深入基层的良好服务意识和工作作风，营造良好的社会氛围及村居气氛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ascii="宋体" w:hAnsi="宋体" w:cs="宋体"/>
                <w:color w:val="000000"/>
                <w:sz w:val="18"/>
                <w:szCs w:val="18"/>
              </w:rPr>
              <w:t>长期</w:t>
            </w:r>
          </w:p>
        </w:tc>
      </w:tr>
      <w:tr>
        <w:tblPrEx>
          <w:tblLayout w:type="fixed"/>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3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ascii="宋体" w:hAnsi="宋体" w:cs="宋体"/>
                <w:color w:val="000000"/>
                <w:sz w:val="18"/>
                <w:szCs w:val="18"/>
              </w:rPr>
              <w:t>州党委领导及各单位参会人员的满意度（%）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&gt;=98%</w:t>
            </w:r>
          </w:p>
        </w:tc>
      </w:tr>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rPr>
            </w:pPr>
          </w:p>
          <w:p>
            <w:pPr>
              <w:widowControl/>
              <w:spacing w:line="480" w:lineRule="exact"/>
              <w:jc w:val="center"/>
              <w:textAlignment w:val="bottom"/>
              <w:rPr>
                <w:rFonts w:hint="eastAsia"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绩效  目  标  表</w:t>
            </w:r>
          </w:p>
        </w:tc>
      </w:tr>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w:t>
            </w:r>
            <w:r>
              <w:rPr>
                <w:rFonts w:ascii="宋体" w:hAnsi="宋体" w:cs="宋体"/>
                <w:color w:val="000000"/>
                <w:kern w:val="0"/>
                <w:sz w:val="22"/>
                <w:szCs w:val="22"/>
              </w:rPr>
              <w:t>2</w:t>
            </w:r>
            <w:r>
              <w:rPr>
                <w:rFonts w:hint="eastAsia" w:ascii="宋体" w:hAnsi="宋体" w:cs="宋体"/>
                <w:color w:val="000000"/>
                <w:kern w:val="0"/>
                <w:sz w:val="22"/>
                <w:szCs w:val="22"/>
              </w:rPr>
              <w:t>年）</w:t>
            </w:r>
          </w:p>
        </w:tc>
      </w:tr>
      <w:tr>
        <w:tblPrEx>
          <w:tblLayout w:type="fixed"/>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ascii="宋体" w:hAnsi="宋体" w:cs="宋体"/>
                <w:color w:val="000000"/>
                <w:sz w:val="18"/>
                <w:szCs w:val="18"/>
              </w:rPr>
              <w:t>昌吉州党委办公室</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ascii="宋体" w:hAnsi="宋体" w:cs="宋体"/>
                <w:color w:val="000000"/>
                <w:sz w:val="18"/>
                <w:szCs w:val="18"/>
              </w:rPr>
              <w:t>州党委专用通信局涉密专项经费</w:t>
            </w:r>
          </w:p>
        </w:tc>
      </w:tr>
      <w:tr>
        <w:tblPrEx>
          <w:tblLayout w:type="fixed"/>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120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r>
              <w:rPr>
                <w:rFonts w:hint="eastAsia" w:ascii="宋体" w:hAnsi="宋体" w:cs="宋体"/>
                <w:color w:val="000000"/>
                <w:sz w:val="18"/>
                <w:szCs w:val="18"/>
              </w:rPr>
              <w:t>120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240" w:lineRule="exact"/>
              <w:jc w:val="left"/>
              <w:rPr>
                <w:rFonts w:ascii="宋体" w:hAnsi="宋体" w:cs="宋体"/>
                <w:color w:val="000000"/>
                <w:sz w:val="18"/>
                <w:szCs w:val="18"/>
              </w:rPr>
            </w:pPr>
            <w:r>
              <w:rPr>
                <w:rFonts w:ascii="宋体" w:hAnsi="宋体" w:cs="宋体"/>
                <w:color w:val="000000"/>
                <w:sz w:val="18"/>
                <w:szCs w:val="18"/>
              </w:rPr>
              <w:t>保障完成州党委专用通新工作计划购买专信设备，对老旧系统进行维护，维护的及时率高于</w:t>
            </w:r>
            <w:r>
              <w:rPr>
                <w:rFonts w:hint="eastAsia" w:ascii="宋体" w:hAnsi="宋体" w:cs="宋体"/>
                <w:color w:val="000000"/>
                <w:sz w:val="18"/>
                <w:szCs w:val="18"/>
              </w:rPr>
              <w:t>95%，并且维护时效在8小时以内，同时控制设备维护的成本经费下降20%。使采购及维护的设备系统利用率达到95%以上，保障系统使用年限高于5年。</w:t>
            </w:r>
          </w:p>
        </w:tc>
      </w:tr>
      <w:tr>
        <w:tblPrEx>
          <w:tblLayout w:type="fixed"/>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332"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Layout w:type="fixed"/>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right w:val="single" w:color="auto"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332" w:type="dxa"/>
            <w:vMerge w:val="restart"/>
            <w:tcBorders>
              <w:top w:val="single" w:color="auto" w:sz="4" w:space="0"/>
              <w:left w:val="single" w:color="auto" w:sz="4" w:space="0"/>
              <w:right w:val="single" w:color="auto"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469" w:type="dxa"/>
            <w:gridSpan w:val="4"/>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ascii="宋体" w:hAnsi="宋体" w:cs="宋体"/>
                <w:color w:val="000000"/>
                <w:sz w:val="18"/>
                <w:szCs w:val="18"/>
              </w:rPr>
              <w:t>设备购置数量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&gt;=9套</w:t>
            </w:r>
          </w:p>
        </w:tc>
      </w:tr>
      <w:tr>
        <w:tblPrEx>
          <w:tblLayout w:type="fixed"/>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auto"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2" w:type="dxa"/>
            <w:vMerge w:val="continue"/>
            <w:tcBorders>
              <w:left w:val="single" w:color="auto" w:sz="4" w:space="0"/>
              <w:bottom w:val="single" w:color="auto" w:sz="4" w:space="0"/>
              <w:right w:val="single" w:color="auto"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469" w:type="dxa"/>
            <w:gridSpan w:val="4"/>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ascii="宋体" w:hAnsi="宋体" w:cs="宋体"/>
                <w:color w:val="000000"/>
                <w:sz w:val="18"/>
                <w:szCs w:val="18"/>
              </w:rPr>
              <w:t>硬件设备维护数量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&gt;=20台</w:t>
            </w:r>
          </w:p>
        </w:tc>
      </w:tr>
      <w:tr>
        <w:tblPrEx>
          <w:tblLayout w:type="fixed"/>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auto"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2" w:type="dxa"/>
            <w:vMerge w:val="restart"/>
            <w:tcBorders>
              <w:top w:val="single" w:color="auto" w:sz="4" w:space="0"/>
              <w:left w:val="single" w:color="auto" w:sz="4" w:space="0"/>
              <w:right w:val="single" w:color="auto" w:sz="4" w:space="0"/>
            </w:tcBorders>
            <w:tcMar>
              <w:top w:w="12" w:type="dxa"/>
              <w:left w:w="12" w:type="dxa"/>
              <w:right w:w="12" w:type="dxa"/>
            </w:tcMar>
            <w:vAlign w:val="center"/>
          </w:tcPr>
          <w:p>
            <w:pPr>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469" w:type="dxa"/>
            <w:gridSpan w:val="4"/>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ascii="宋体" w:hAnsi="宋体" w:cs="宋体"/>
                <w:color w:val="000000"/>
                <w:sz w:val="18"/>
                <w:szCs w:val="18"/>
              </w:rPr>
              <w:t>设备验收合格率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&gt;=98%</w:t>
            </w:r>
          </w:p>
        </w:tc>
      </w:tr>
      <w:tr>
        <w:tblPrEx>
          <w:tblLayout w:type="fixed"/>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auto"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2" w:type="dxa"/>
            <w:vMerge w:val="continue"/>
            <w:tcBorders>
              <w:left w:val="single" w:color="auto" w:sz="4" w:space="0"/>
              <w:bottom w:val="single" w:color="000000" w:sz="4" w:space="0"/>
              <w:right w:val="single" w:color="auto"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p>
        </w:tc>
        <w:tc>
          <w:tcPr>
            <w:tcW w:w="3469" w:type="dxa"/>
            <w:gridSpan w:val="4"/>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ascii="宋体" w:hAnsi="宋体" w:cs="宋体"/>
                <w:color w:val="000000"/>
                <w:sz w:val="18"/>
                <w:szCs w:val="18"/>
              </w:rPr>
              <w:t>设备维护系统故障率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&lt;=5%</w:t>
            </w:r>
          </w:p>
        </w:tc>
      </w:tr>
      <w:tr>
        <w:tblPrEx>
          <w:tblLayout w:type="fixed"/>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系统故障修复响应时间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&lt;=8小时</w:t>
            </w:r>
          </w:p>
        </w:tc>
      </w:tr>
      <w:tr>
        <w:tblPrEx>
          <w:tblLayout w:type="fixed"/>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ascii="宋体" w:hAnsi="宋体" w:cs="宋体"/>
                <w:color w:val="000000"/>
                <w:sz w:val="18"/>
                <w:szCs w:val="18"/>
              </w:rPr>
              <w:t>完成设备维修维护的及时率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r>
        <w:tblPrEx>
          <w:tblLayout w:type="fixed"/>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sz w:val="18"/>
                <w:szCs w:val="18"/>
              </w:rPr>
            </w:pPr>
          </w:p>
        </w:tc>
        <w:tc>
          <w:tcPr>
            <w:tcW w:w="133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sz w:val="18"/>
                <w:szCs w:val="18"/>
              </w:rPr>
            </w:pPr>
            <w:r>
              <w:rPr>
                <w:rFonts w:hint="eastAsia" w:ascii="宋体" w:hAnsi="宋体" w:cs="宋体"/>
                <w:kern w:val="0"/>
                <w:sz w:val="18"/>
                <w:szCs w:val="18"/>
              </w:rPr>
              <w:t>成本指标</w:t>
            </w: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ascii="宋体" w:hAnsi="宋体" w:cs="宋体"/>
                <w:color w:val="000000"/>
                <w:sz w:val="18"/>
                <w:szCs w:val="18"/>
              </w:rPr>
              <w:t>年度维护成本增长率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&lt;=20%</w:t>
            </w:r>
          </w:p>
        </w:tc>
      </w:tr>
      <w:tr>
        <w:tblPrEx>
          <w:tblLayout w:type="fixed"/>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sz w:val="18"/>
                <w:szCs w:val="18"/>
              </w:rPr>
            </w:pPr>
          </w:p>
        </w:tc>
        <w:tc>
          <w:tcPr>
            <w:tcW w:w="133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sz w:val="18"/>
                <w:szCs w:val="18"/>
              </w:rPr>
            </w:pP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ascii="宋体" w:hAnsi="宋体" w:cs="宋体"/>
                <w:color w:val="000000"/>
                <w:sz w:val="18"/>
                <w:szCs w:val="18"/>
              </w:rPr>
              <w:t>设备采购成本控制数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&lt;=4万元/套</w:t>
            </w:r>
          </w:p>
        </w:tc>
      </w:tr>
      <w:tr>
        <w:tblPrEx>
          <w:tblLayout w:type="fixed"/>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3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ascii="宋体" w:hAnsi="宋体" w:cs="宋体"/>
                <w:color w:val="000000"/>
                <w:sz w:val="18"/>
                <w:szCs w:val="18"/>
              </w:rPr>
              <w:t>采购及维护设备利用率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24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240" w:lineRule="exact"/>
              <w:jc w:val="center"/>
              <w:rPr>
                <w:rFonts w:ascii="宋体" w:hAnsi="宋体" w:cs="宋体"/>
                <w:color w:val="000000"/>
                <w:sz w:val="18"/>
                <w:szCs w:val="18"/>
              </w:rPr>
            </w:pPr>
            <w:r>
              <w:rPr>
                <w:rFonts w:hint="eastAsia" w:ascii="宋体" w:hAnsi="宋体" w:cs="宋体"/>
                <w:color w:val="000000"/>
                <w:sz w:val="18"/>
                <w:szCs w:val="18"/>
              </w:rPr>
              <w:t>系统正常使用年限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&gt;5年</w:t>
            </w:r>
          </w:p>
        </w:tc>
      </w:tr>
      <w:tr>
        <w:tblPrEx>
          <w:tblLayout w:type="fixed"/>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3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ascii="宋体" w:hAnsi="宋体" w:cs="宋体"/>
                <w:color w:val="000000"/>
                <w:sz w:val="18"/>
                <w:szCs w:val="18"/>
              </w:rPr>
              <w:t>使用人员的满意度（%）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&gt;=95%</w:t>
            </w:r>
          </w:p>
        </w:tc>
      </w:tr>
    </w:tbl>
    <w:p>
      <w:pPr>
        <w:spacing w:line="600" w:lineRule="exact"/>
        <w:rPr>
          <w:rFonts w:hint="eastAsia" w:ascii="楷体_GB2312" w:hAnsi="宋体" w:eastAsia="楷体_GB2312" w:cs="宋体"/>
          <w:b/>
          <w:kern w:val="0"/>
          <w:sz w:val="32"/>
          <w:szCs w:val="32"/>
        </w:rPr>
      </w:pPr>
    </w:p>
    <w:p>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560" w:lineRule="exact"/>
        <w:jc w:val="both"/>
        <w:rPr>
          <w:rFonts w:hint="eastAsia" w:ascii="黑体" w:hAnsi="黑体" w:eastAsia="黑体"/>
          <w:kern w:val="0"/>
          <w:sz w:val="32"/>
          <w:szCs w:val="32"/>
        </w:rPr>
      </w:pPr>
    </w:p>
    <w:p>
      <w:pPr>
        <w:spacing w:line="560" w:lineRule="exact"/>
        <w:ind w:firstLine="2880" w:firstLineChars="900"/>
        <w:jc w:val="both"/>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四、项目支出：</w:t>
      </w:r>
      <w:r>
        <w:rPr>
          <w:rFonts w:hint="eastAsia" w:ascii="仿宋_GB2312" w:eastAsia="仿宋_GB2312"/>
          <w:sz w:val="32"/>
          <w:szCs w:val="32"/>
        </w:rPr>
        <w:t>部门支出预算的组成部分，是</w:t>
      </w:r>
      <w:r>
        <w:rPr>
          <w:rFonts w:hint="eastAsia" w:ascii="仿宋_GB2312" w:eastAsia="仿宋_GB2312"/>
          <w:sz w:val="32"/>
          <w:szCs w:val="32"/>
          <w:lang w:eastAsia="zh-CN"/>
        </w:rPr>
        <w:t>昌吉州</w:t>
      </w:r>
      <w:r>
        <w:rPr>
          <w:rFonts w:hint="eastAsia" w:ascii="仿宋_GB2312" w:eastAsia="仿宋_GB2312"/>
          <w:sz w:val="32"/>
          <w:szCs w:val="32"/>
        </w:rPr>
        <w:t>本级部门为完成其特定的行政任务或事业发展目标，在基本支出预算之外编制的年度项目支出计划。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五、“三公”经费：</w:t>
      </w:r>
      <w:r>
        <w:rPr>
          <w:rFonts w:hint="eastAsia" w:ascii="仿宋_GB2312" w:eastAsia="仿宋_GB2312"/>
          <w:sz w:val="32"/>
          <w:szCs w:val="32"/>
        </w:rPr>
        <w:t>指</w:t>
      </w:r>
      <w:r>
        <w:rPr>
          <w:rFonts w:hint="eastAsia" w:ascii="仿宋_GB2312" w:eastAsia="仿宋_GB2312"/>
          <w:sz w:val="32"/>
          <w:szCs w:val="32"/>
          <w:lang w:eastAsia="zh-CN"/>
        </w:rPr>
        <w:t>昌吉州</w:t>
      </w:r>
      <w:r>
        <w:rPr>
          <w:rFonts w:hint="eastAsia" w:ascii="仿宋_GB2312" w:eastAsia="仿宋_GB2312"/>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六、机关运行经费：</w:t>
      </w:r>
      <w:r>
        <w:rPr>
          <w:rFonts w:hint="eastAsia" w:ascii="仿宋_GB2312" w:eastAsia="仿宋_GB2312"/>
          <w:sz w:val="32"/>
          <w:szCs w:val="32"/>
        </w:rPr>
        <w:t>指各部门</w:t>
      </w:r>
      <w:bookmarkStart w:id="0" w:name="_GoBack"/>
      <w:bookmarkEnd w:id="0"/>
      <w:r>
        <w:rPr>
          <w:rFonts w:hint="eastAsia" w:ascii="仿宋_GB2312" w:eastAsia="仿宋_GB2312"/>
          <w:sz w:val="32"/>
          <w:szCs w:val="32"/>
        </w:rPr>
        <w:t>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firstLine="640" w:firstLineChars="200"/>
        <w:rPr>
          <w:rFonts w:ascii="仿宋_GB2312" w:hAnsi="宋体" w:eastAsia="仿宋_GB2312" w:cs="宋体"/>
          <w:kern w:val="0"/>
          <w:sz w:val="32"/>
          <w:szCs w:val="32"/>
        </w:rPr>
      </w:pPr>
    </w:p>
    <w:p>
      <w:pPr>
        <w:spacing w:line="560" w:lineRule="exact"/>
        <w:ind w:firstLine="5120" w:firstLineChars="1600"/>
        <w:rPr>
          <w:rFonts w:ascii="仿宋_GB2312" w:hAnsi="宋体" w:eastAsia="仿宋_GB2312" w:cs="宋体"/>
          <w:kern w:val="0"/>
          <w:sz w:val="32"/>
          <w:szCs w:val="32"/>
        </w:rPr>
      </w:pPr>
      <w:r>
        <w:rPr>
          <w:rFonts w:hint="eastAsia" w:ascii="仿宋_GB2312" w:hAnsi="宋体" w:eastAsia="仿宋_GB2312" w:cs="宋体"/>
          <w:kern w:val="0"/>
          <w:sz w:val="32"/>
          <w:szCs w:val="32"/>
        </w:rPr>
        <w:t>昌吉州党委办公室</w:t>
      </w:r>
    </w:p>
    <w:p>
      <w:pPr>
        <w:spacing w:line="560" w:lineRule="exact"/>
        <w:ind w:firstLine="5280" w:firstLineChars="1650"/>
        <w:rPr>
          <w:rFonts w:ascii="仿宋_GB2312" w:hAnsi="宋体" w:eastAsia="仿宋_GB2312" w:cs="宋体"/>
          <w:kern w:val="0"/>
          <w:sz w:val="32"/>
          <w:szCs w:val="32"/>
        </w:rPr>
      </w:pPr>
      <w:r>
        <w:rPr>
          <w:rFonts w:hint="eastAsia" w:ascii="仿宋_GB2312" w:hAnsi="宋体" w:eastAsia="仿宋_GB2312" w:cs="宋体"/>
          <w:kern w:val="0"/>
          <w:sz w:val="32"/>
          <w:szCs w:val="32"/>
        </w:rPr>
        <w:t>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3000509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8AC5101"/>
    <w:multiLevelType w:val="singleLevel"/>
    <w:tmpl w:val="E8AC5101"/>
    <w:lvl w:ilvl="0" w:tentative="0">
      <w:start w:val="2"/>
      <w:numFmt w:val="decimal"/>
      <w:suff w:val="nothing"/>
      <w:lvlText w:val="%1、"/>
      <w:lvlJc w:val="left"/>
      <w:pPr>
        <w:ind w:left="142"/>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D477F"/>
    <w:rsid w:val="00087BCA"/>
    <w:rsid w:val="00096016"/>
    <w:rsid w:val="000A05A9"/>
    <w:rsid w:val="000A522E"/>
    <w:rsid w:val="000D7023"/>
    <w:rsid w:val="001032F7"/>
    <w:rsid w:val="00112F2E"/>
    <w:rsid w:val="00155649"/>
    <w:rsid w:val="00161C57"/>
    <w:rsid w:val="001A6B6B"/>
    <w:rsid w:val="001D652A"/>
    <w:rsid w:val="002015F6"/>
    <w:rsid w:val="002200F7"/>
    <w:rsid w:val="002465CA"/>
    <w:rsid w:val="00252BC6"/>
    <w:rsid w:val="00257C2D"/>
    <w:rsid w:val="00280C6C"/>
    <w:rsid w:val="002A74B6"/>
    <w:rsid w:val="002E5250"/>
    <w:rsid w:val="002F49FE"/>
    <w:rsid w:val="00330CDF"/>
    <w:rsid w:val="003614F1"/>
    <w:rsid w:val="00362BB5"/>
    <w:rsid w:val="003923D8"/>
    <w:rsid w:val="003C75D7"/>
    <w:rsid w:val="003F202F"/>
    <w:rsid w:val="00400399"/>
    <w:rsid w:val="00422ADF"/>
    <w:rsid w:val="004265FD"/>
    <w:rsid w:val="00432BE1"/>
    <w:rsid w:val="00434745"/>
    <w:rsid w:val="00455147"/>
    <w:rsid w:val="004674B4"/>
    <w:rsid w:val="0047118F"/>
    <w:rsid w:val="004B1553"/>
    <w:rsid w:val="004C1E61"/>
    <w:rsid w:val="004C3D55"/>
    <w:rsid w:val="004D182F"/>
    <w:rsid w:val="004D477F"/>
    <w:rsid w:val="004E2507"/>
    <w:rsid w:val="00515D6B"/>
    <w:rsid w:val="005175CD"/>
    <w:rsid w:val="0052742C"/>
    <w:rsid w:val="0054240B"/>
    <w:rsid w:val="005676A7"/>
    <w:rsid w:val="00575886"/>
    <w:rsid w:val="0059437A"/>
    <w:rsid w:val="005E386B"/>
    <w:rsid w:val="00622F03"/>
    <w:rsid w:val="006507A0"/>
    <w:rsid w:val="00673856"/>
    <w:rsid w:val="00677385"/>
    <w:rsid w:val="006C4DD3"/>
    <w:rsid w:val="00706320"/>
    <w:rsid w:val="00712F1B"/>
    <w:rsid w:val="007144AF"/>
    <w:rsid w:val="00795200"/>
    <w:rsid w:val="007A3330"/>
    <w:rsid w:val="007E6EC1"/>
    <w:rsid w:val="007F6A8F"/>
    <w:rsid w:val="00817E7D"/>
    <w:rsid w:val="00824E8B"/>
    <w:rsid w:val="00835A6D"/>
    <w:rsid w:val="00840E77"/>
    <w:rsid w:val="00883532"/>
    <w:rsid w:val="0089600A"/>
    <w:rsid w:val="008C1D40"/>
    <w:rsid w:val="008D50BA"/>
    <w:rsid w:val="008F10F3"/>
    <w:rsid w:val="008F2070"/>
    <w:rsid w:val="0090107A"/>
    <w:rsid w:val="009334AC"/>
    <w:rsid w:val="00944B81"/>
    <w:rsid w:val="00957B19"/>
    <w:rsid w:val="009645E3"/>
    <w:rsid w:val="0097765A"/>
    <w:rsid w:val="00982E58"/>
    <w:rsid w:val="009A2269"/>
    <w:rsid w:val="009E02CE"/>
    <w:rsid w:val="00A15995"/>
    <w:rsid w:val="00A6229D"/>
    <w:rsid w:val="00A646D7"/>
    <w:rsid w:val="00AB5522"/>
    <w:rsid w:val="00AD2AD7"/>
    <w:rsid w:val="00AD4185"/>
    <w:rsid w:val="00AD5D11"/>
    <w:rsid w:val="00AF3F7E"/>
    <w:rsid w:val="00B141E5"/>
    <w:rsid w:val="00B14AA1"/>
    <w:rsid w:val="00B54E59"/>
    <w:rsid w:val="00B60813"/>
    <w:rsid w:val="00B656D6"/>
    <w:rsid w:val="00B77550"/>
    <w:rsid w:val="00B9054C"/>
    <w:rsid w:val="00BA3B4A"/>
    <w:rsid w:val="00BC22A4"/>
    <w:rsid w:val="00BC5DA0"/>
    <w:rsid w:val="00BD1D81"/>
    <w:rsid w:val="00BD2C16"/>
    <w:rsid w:val="00BE2F45"/>
    <w:rsid w:val="00BF5EFA"/>
    <w:rsid w:val="00C12D75"/>
    <w:rsid w:val="00C37907"/>
    <w:rsid w:val="00C43628"/>
    <w:rsid w:val="00C50976"/>
    <w:rsid w:val="00C56875"/>
    <w:rsid w:val="00C618A5"/>
    <w:rsid w:val="00C7122E"/>
    <w:rsid w:val="00C91567"/>
    <w:rsid w:val="00C92FB2"/>
    <w:rsid w:val="00CE4C77"/>
    <w:rsid w:val="00D1305A"/>
    <w:rsid w:val="00D60473"/>
    <w:rsid w:val="00D85033"/>
    <w:rsid w:val="00DA1B4F"/>
    <w:rsid w:val="00DC43BC"/>
    <w:rsid w:val="00DD5CDD"/>
    <w:rsid w:val="00E00596"/>
    <w:rsid w:val="00E56790"/>
    <w:rsid w:val="00EC73C6"/>
    <w:rsid w:val="00F02072"/>
    <w:rsid w:val="00F359BF"/>
    <w:rsid w:val="00F412AF"/>
    <w:rsid w:val="00F91EEB"/>
    <w:rsid w:val="00FC295F"/>
    <w:rsid w:val="00FC547E"/>
    <w:rsid w:val="00FD6429"/>
    <w:rsid w:val="00FE0E8B"/>
    <w:rsid w:val="00FF5F5B"/>
    <w:rsid w:val="0607110B"/>
    <w:rsid w:val="127A096C"/>
    <w:rsid w:val="1C9508FC"/>
    <w:rsid w:val="1F210F7E"/>
    <w:rsid w:val="21F163F8"/>
    <w:rsid w:val="50080F4D"/>
    <w:rsid w:val="50EE2B79"/>
    <w:rsid w:val="60190883"/>
    <w:rsid w:val="6B4A5331"/>
    <w:rsid w:val="6DD07A24"/>
    <w:rsid w:val="73D6204A"/>
    <w:rsid w:val="77E048EF"/>
    <w:rsid w:val="7AFE32DE"/>
    <w:rsid w:val="7C662E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2"/>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3"/>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styleId="1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B311FD-D0AC-4388-9431-A17DB31A10AE}">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23</Pages>
  <Words>1909</Words>
  <Characters>10886</Characters>
  <Lines>90</Lines>
  <Paragraphs>25</Paragraphs>
  <TotalTime>411</TotalTime>
  <ScaleCrop>false</ScaleCrop>
  <LinksUpToDate>false</LinksUpToDate>
  <CharactersWithSpaces>12770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cp:lastModifiedBy>
  <dcterms:modified xsi:type="dcterms:W3CDTF">2022-04-14T04:31:40Z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377764D882D845E694AE031E1B8DC3E7</vt:lpwstr>
  </property>
</Properties>
</file>