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val="en-US" w:eastAsia="zh-CN"/>
        </w:rPr>
      </w:pPr>
      <w:r>
        <w:rPr>
          <w:rFonts w:hint="eastAsia" w:ascii="方正小标宋_GBK" w:hAnsi="宋体" w:eastAsia="方正小标宋_GBK"/>
          <w:kern w:val="0"/>
          <w:sz w:val="44"/>
          <w:szCs w:val="44"/>
          <w:lang w:val="en-US" w:eastAsia="zh-CN"/>
        </w:rPr>
        <w:t>昌吉州政府电子政务办公室2022年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val="en-US" w:eastAsia="zh-CN"/>
        </w:rPr>
        <w:t>昌吉州人民政府电子政务办公室</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val="en-US" w:eastAsia="zh-CN"/>
        </w:rPr>
        <w:t>昌吉州人民政府电子政务办公室</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val="en-US" w:eastAsia="zh-CN"/>
        </w:rPr>
        <w:t>昌吉州人民政府电子政务办公室</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b w:val="0"/>
          <w:bCs/>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rPr>
        <w:t>二、关于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val="en-US" w:eastAsia="zh-CN"/>
        </w:rPr>
        <w:t>昌吉</w:t>
      </w:r>
      <w:r>
        <w:rPr>
          <w:rFonts w:hint="eastAsia" w:ascii="仿宋_GB2312" w:hAnsi="仿宋_GB2312" w:eastAsia="仿宋_GB2312" w:cs="仿宋_GB2312"/>
          <w:b w:val="0"/>
          <w:bCs/>
          <w:kern w:val="0"/>
          <w:sz w:val="32"/>
          <w:szCs w:val="32"/>
          <w:lang w:val="en-US" w:eastAsia="zh-CN"/>
        </w:rPr>
        <w:t>州人民政府电子政务办公室</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val="en-US" w:eastAsia="zh-CN"/>
        </w:rPr>
        <w:t>昌吉州人民政府电子政务办公室</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ascii="仿宋_GB2312" w:hAnsi="宋体" w:eastAsia="仿宋_GB2312" w:cs="宋体"/>
          <w:kern w:val="0"/>
          <w:sz w:val="32"/>
          <w:szCs w:val="32"/>
        </w:rPr>
        <w:t>昌吉州人民政府电子政务办公室的主要职责是：</w:t>
      </w:r>
      <w:r>
        <w:rPr>
          <w:rFonts w:hint="eastAsia" w:ascii="仿宋_GB2312" w:hAnsi="宋体" w:eastAsia="仿宋_GB2312" w:cs="宋体"/>
          <w:kern w:val="0"/>
          <w:sz w:val="32"/>
          <w:szCs w:val="32"/>
        </w:rPr>
        <w:t>负责全州政府系统有关电子政务的组织、规划、协调和指导工作；负责自治州统一的电子政务专网和应用系统的建设和应用管理工作；负责为自治州政府领导和政府办公室机关服务的电子政务系统的组织、规划、建设和应用保障工作；负责为社会和群众提供网上服务的自治州政府电子政务外网和公众网站的建设和应用管理工作。</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人民政府电子政务办公室</w:t>
      </w:r>
      <w:r>
        <w:rPr>
          <w:rFonts w:hint="eastAsia" w:ascii="仿宋_GB2312" w:hAnsi="黑体" w:eastAsia="仿宋_GB2312" w:cs="宋体"/>
          <w:bCs/>
          <w:kern w:val="0"/>
          <w:sz w:val="32"/>
          <w:szCs w:val="32"/>
        </w:rPr>
        <w:t>无下属预算单位，</w:t>
      </w:r>
      <w:r>
        <w:rPr>
          <w:rFonts w:ascii="仿宋_GB2312" w:hAnsi="黑体" w:eastAsia="仿宋_GB2312" w:cs="宋体"/>
          <w:bCs/>
          <w:kern w:val="0"/>
          <w:sz w:val="32"/>
          <w:szCs w:val="32"/>
        </w:rPr>
        <w:t>下设四个科室：综合科，宣传科，技术科，应用推进科。</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宋体" w:eastAsia="仿宋_GB2312" w:cs="宋体"/>
          <w:kern w:val="0"/>
          <w:sz w:val="32"/>
          <w:szCs w:val="32"/>
          <w:lang w:val="en-US" w:eastAsia="zh-CN"/>
        </w:rPr>
        <w:t>本</w:t>
      </w:r>
      <w:r>
        <w:rPr>
          <w:rFonts w:hint="eastAsia" w:ascii="仿宋_GB2312" w:hAnsi="黑体" w:eastAsia="仿宋_GB2312" w:cs="宋体"/>
          <w:bCs/>
          <w:kern w:val="0"/>
          <w:sz w:val="32"/>
          <w:szCs w:val="32"/>
        </w:rPr>
        <w:t>单位</w:t>
      </w:r>
      <w:r>
        <w:rPr>
          <w:rFonts w:ascii="仿宋_GB2312" w:hAnsi="黑体" w:eastAsia="仿宋_GB2312" w:cs="宋体"/>
          <w:bCs/>
          <w:kern w:val="0"/>
          <w:sz w:val="32"/>
          <w:szCs w:val="32"/>
        </w:rPr>
        <w:t>编制</w:t>
      </w:r>
      <w:r>
        <w:rPr>
          <w:rFonts w:hint="eastAsia" w:ascii="仿宋_GB2312" w:hAnsi="黑体" w:eastAsia="仿宋_GB2312" w:cs="宋体"/>
          <w:bCs/>
          <w:kern w:val="0"/>
          <w:sz w:val="32"/>
          <w:szCs w:val="32"/>
        </w:rPr>
        <w:t>数</w:t>
      </w:r>
      <w:r>
        <w:rPr>
          <w:rFonts w:ascii="仿宋_GB2312" w:hAnsi="黑体" w:eastAsia="仿宋_GB2312" w:cs="宋体"/>
          <w:bCs/>
          <w:kern w:val="0"/>
          <w:sz w:val="32"/>
          <w:szCs w:val="32"/>
        </w:rPr>
        <w:t>11</w:t>
      </w:r>
      <w:r>
        <w:rPr>
          <w:rFonts w:hint="eastAsia" w:ascii="仿宋_GB2312" w:hAnsi="黑体" w:eastAsia="仿宋_GB2312" w:cs="宋体"/>
          <w:bCs/>
          <w:kern w:val="0"/>
          <w:sz w:val="32"/>
          <w:szCs w:val="32"/>
          <w:lang w:val="en-US" w:eastAsia="zh-CN"/>
        </w:rPr>
        <w:t>个</w:t>
      </w:r>
      <w:r>
        <w:rPr>
          <w:rFonts w:ascii="仿宋_GB2312" w:hAnsi="黑体" w:eastAsia="仿宋_GB2312" w:cs="宋体"/>
          <w:bCs/>
          <w:kern w:val="0"/>
          <w:sz w:val="32"/>
          <w:szCs w:val="32"/>
        </w:rPr>
        <w:t>，</w:t>
      </w:r>
      <w:r>
        <w:rPr>
          <w:rFonts w:hint="eastAsia" w:ascii="仿宋_GB2312" w:hAnsi="黑体" w:eastAsia="仿宋_GB2312" w:cs="宋体"/>
          <w:bCs/>
          <w:kern w:val="0"/>
          <w:sz w:val="32"/>
          <w:szCs w:val="32"/>
        </w:rPr>
        <w:t>实有人数</w:t>
      </w:r>
      <w:r>
        <w:rPr>
          <w:rFonts w:hint="eastAsia" w:ascii="仿宋_GB2312" w:hAnsi="黑体" w:eastAsia="仿宋_GB2312" w:cs="宋体"/>
          <w:bCs/>
          <w:kern w:val="0"/>
          <w:sz w:val="32"/>
          <w:szCs w:val="32"/>
          <w:lang w:val="en-US" w:eastAsia="zh-CN"/>
        </w:rPr>
        <w:t>11</w:t>
      </w:r>
      <w:r>
        <w:rPr>
          <w:rFonts w:hint="eastAsia" w:ascii="仿宋_GB2312" w:hAnsi="黑体" w:eastAsia="仿宋_GB2312" w:cs="宋体"/>
          <w:bCs/>
          <w:kern w:val="0"/>
          <w:sz w:val="32"/>
          <w:szCs w:val="32"/>
        </w:rPr>
        <w:t>人，其中在职</w:t>
      </w:r>
      <w:r>
        <w:rPr>
          <w:rFonts w:hint="eastAsia" w:ascii="仿宋_GB2312" w:hAnsi="黑体" w:eastAsia="仿宋_GB2312" w:cs="宋体"/>
          <w:bCs/>
          <w:kern w:val="0"/>
          <w:sz w:val="32"/>
          <w:szCs w:val="32"/>
          <w:lang w:val="en-US" w:eastAsia="zh-CN"/>
        </w:rPr>
        <w:t>10</w:t>
      </w:r>
      <w:r>
        <w:rPr>
          <w:rFonts w:hint="eastAsia" w:ascii="仿宋_GB2312" w:hAnsi="黑体" w:eastAsia="仿宋_GB2312" w:cs="宋体"/>
          <w:bCs/>
          <w:kern w:val="0"/>
          <w:sz w:val="32"/>
          <w:szCs w:val="32"/>
        </w:rPr>
        <w:t>人；退休</w:t>
      </w:r>
      <w:r>
        <w:rPr>
          <w:rFonts w:hint="eastAsia" w:ascii="仿宋_GB2312" w:hAnsi="黑体" w:eastAsia="仿宋_GB2312" w:cs="宋体"/>
          <w:bCs/>
          <w:kern w:val="0"/>
          <w:sz w:val="32"/>
          <w:szCs w:val="32"/>
          <w:lang w:val="en-US" w:eastAsia="zh-CN"/>
        </w:rPr>
        <w:t>1人，增加1人；</w:t>
      </w:r>
      <w:r>
        <w:rPr>
          <w:rFonts w:hint="eastAsia" w:ascii="仿宋_GB2312" w:hAnsi="黑体" w:eastAsia="仿宋_GB2312" w:cs="宋体"/>
          <w:bCs/>
          <w:kern w:val="0"/>
          <w:sz w:val="32"/>
          <w:szCs w:val="32"/>
        </w:rPr>
        <w:t>离休</w:t>
      </w:r>
      <w:r>
        <w:rPr>
          <w:rFonts w:hint="eastAsia" w:ascii="仿宋_GB2312" w:hAnsi="黑体" w:eastAsia="仿宋_GB2312" w:cs="宋体"/>
          <w:bCs/>
          <w:kern w:val="0"/>
          <w:sz w:val="32"/>
          <w:szCs w:val="32"/>
          <w:lang w:val="en-US" w:eastAsia="zh-CN"/>
        </w:rPr>
        <w:t>0</w:t>
      </w:r>
      <w:r>
        <w:rPr>
          <w:rFonts w:hint="eastAsia" w:ascii="仿宋_GB2312" w:hAnsi="黑体" w:eastAsia="仿宋_GB2312" w:cs="宋体"/>
          <w:bCs/>
          <w:kern w:val="0"/>
          <w:sz w:val="32"/>
          <w:szCs w:val="32"/>
        </w:rPr>
        <w:t>人</w:t>
      </w:r>
      <w:r>
        <w:rPr>
          <w:rFonts w:hint="eastAsia" w:ascii="仿宋_GB2312" w:hAnsi="黑体" w:eastAsia="仿宋_GB2312" w:cs="宋体"/>
          <w:bCs/>
          <w:kern w:val="0"/>
          <w:sz w:val="32"/>
          <w:szCs w:val="32"/>
          <w:lang w:val="en-US" w:eastAsia="zh-CN"/>
        </w:rPr>
        <w:t>,增加0人</w:t>
      </w:r>
      <w:r>
        <w:rPr>
          <w:rFonts w:hint="eastAsia" w:ascii="仿宋_GB2312" w:hAnsi="黑体" w:eastAsia="仿宋_GB2312" w:cs="宋体"/>
          <w:bCs/>
          <w:kern w:val="0"/>
          <w:sz w:val="32"/>
          <w:szCs w:val="32"/>
        </w:rPr>
        <w:t>。</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单位</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单位</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昌吉州政府电子政务办公室                   </w:t>
      </w:r>
      <w:r>
        <w:rPr>
          <w:rFonts w:hint="eastAsia" w:ascii="仿宋_GB2312" w:hAnsi="宋体" w:eastAsia="仿宋_GB2312"/>
          <w:kern w:val="0"/>
          <w:sz w:val="24"/>
        </w:rPr>
        <w:t>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314.96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276.26</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314.96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14.41</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11.32</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12.97</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314.96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314.96</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昌吉州政府电子政务办公室</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496"/>
        <w:gridCol w:w="451"/>
        <w:gridCol w:w="517"/>
        <w:gridCol w:w="1932"/>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46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93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4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9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276.26</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276.26</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政府办公厅（室）及相关机构事务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276.26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276.26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5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50</w:t>
            </w:r>
          </w:p>
        </w:tc>
        <w:tc>
          <w:tcPr>
            <w:tcW w:w="19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106.26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106.26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5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w:t>
            </w: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eastAsia="zh-CN"/>
              </w:rPr>
              <w:t>其他政府（</w:t>
            </w:r>
            <w:r>
              <w:rPr>
                <w:rFonts w:hint="eastAsia" w:ascii="仿宋_GB2312" w:hAnsi="宋体" w:eastAsia="仿宋_GB2312" w:cs="宋体"/>
                <w:color w:val="000000"/>
                <w:sz w:val="18"/>
                <w:szCs w:val="18"/>
                <w:lang w:val="en-US" w:eastAsia="zh-CN"/>
              </w:rPr>
              <w:t>室</w:t>
            </w:r>
            <w:r>
              <w:rPr>
                <w:rFonts w:hint="eastAsia" w:ascii="仿宋_GB2312" w:hAnsi="宋体" w:eastAsia="仿宋_GB2312" w:cs="宋体"/>
                <w:color w:val="000000"/>
                <w:sz w:val="18"/>
                <w:szCs w:val="18"/>
                <w:lang w:eastAsia="zh-CN"/>
              </w:rPr>
              <w:t>）</w:t>
            </w:r>
            <w:r>
              <w:rPr>
                <w:rFonts w:hint="eastAsia" w:ascii="仿宋_GB2312" w:hAnsi="宋体" w:eastAsia="仿宋_GB2312" w:cs="宋体"/>
                <w:color w:val="000000"/>
                <w:sz w:val="18"/>
                <w:szCs w:val="18"/>
                <w:lang w:val="en-US" w:eastAsia="zh-CN"/>
              </w:rPr>
              <w:t>及相关机构事务支出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170</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170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14。41</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14。41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14.41</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14.41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14.41</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14.41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11.32</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11.32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11.32</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11.32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8.56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8.56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w:t>
            </w: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eastAsia="zh-CN"/>
              </w:rPr>
              <w:t>其他</w:t>
            </w:r>
            <w:r>
              <w:rPr>
                <w:rFonts w:hint="eastAsia" w:ascii="仿宋_GB2312" w:hAnsi="宋体" w:eastAsia="仿宋_GB2312" w:cs="宋体"/>
                <w:color w:val="000000"/>
                <w:sz w:val="18"/>
                <w:szCs w:val="18"/>
                <w:lang w:val="en-US" w:eastAsia="zh-CN"/>
              </w:rPr>
              <w:t>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0.06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0.06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12.97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12.97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12.97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12.97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221</w:t>
            </w:r>
          </w:p>
        </w:tc>
        <w:tc>
          <w:tcPr>
            <w:tcW w:w="4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5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193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12.97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12.97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19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r>
              <w:rPr>
                <w:rFonts w:hint="eastAsia" w:ascii="仿宋_GB2312" w:eastAsia="仿宋_GB2312"/>
                <w:color w:val="000000"/>
                <w:sz w:val="18"/>
                <w:szCs w:val="18"/>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314.96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314.96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bl>
    <w:p>
      <w:pPr>
        <w:widowControl/>
        <w:spacing w:line="280" w:lineRule="exact"/>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val="en-US" w:eastAsia="zh-CN"/>
        </w:rPr>
        <w:t>单位</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昌吉州政府电子政务办公室</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96"/>
        <w:gridCol w:w="403"/>
        <w:gridCol w:w="435"/>
        <w:gridCol w:w="2471"/>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3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9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201</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276.26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276.26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201</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03</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政府办公厅（室）及相关机构事务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276.26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276.26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201</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03</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50</w:t>
            </w: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事业运行</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106.26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106.26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201</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03</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99</w:t>
            </w: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eastAsia="zh-CN"/>
              </w:rPr>
              <w:t>其他政府（</w:t>
            </w:r>
            <w:r>
              <w:rPr>
                <w:rFonts w:hint="eastAsia" w:ascii="仿宋" w:hAnsi="仿宋" w:eastAsia="仿宋" w:cs="仿宋"/>
                <w:b w:val="0"/>
                <w:bCs w:val="0"/>
                <w:color w:val="000000"/>
                <w:sz w:val="18"/>
                <w:szCs w:val="18"/>
                <w:lang w:val="en-US" w:eastAsia="zh-CN"/>
              </w:rPr>
              <w:t>室</w:t>
            </w:r>
            <w:r>
              <w:rPr>
                <w:rFonts w:hint="eastAsia" w:ascii="仿宋" w:hAnsi="仿宋" w:eastAsia="仿宋" w:cs="仿宋"/>
                <w:b w:val="0"/>
                <w:bCs w:val="0"/>
                <w:color w:val="000000"/>
                <w:sz w:val="18"/>
                <w:szCs w:val="18"/>
                <w:lang w:eastAsia="zh-CN"/>
              </w:rPr>
              <w:t>）</w:t>
            </w:r>
            <w:r>
              <w:rPr>
                <w:rFonts w:hint="eastAsia" w:ascii="仿宋" w:hAnsi="仿宋" w:eastAsia="仿宋" w:cs="仿宋"/>
                <w:b w:val="0"/>
                <w:bCs w:val="0"/>
                <w:color w:val="000000"/>
                <w:sz w:val="18"/>
                <w:szCs w:val="18"/>
                <w:lang w:val="en-US" w:eastAsia="zh-CN"/>
              </w:rPr>
              <w:t>及相关机构事务支出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170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170</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208</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社会保障和就业支出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14。41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14。41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208</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05</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行政事业单位养老支出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14.41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14.41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208</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05</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05</w:t>
            </w: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14.41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14.41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210</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卫生健康支出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11.32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11.32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210</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行政事业单位医疗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11.32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11.32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210</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02</w:t>
            </w: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8.56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8.56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210</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03</w:t>
            </w: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公务员医疗补助</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2.7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210</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99</w:t>
            </w: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eastAsia="zh-CN"/>
              </w:rPr>
              <w:t>其他</w:t>
            </w:r>
            <w:r>
              <w:rPr>
                <w:rFonts w:hint="eastAsia" w:ascii="仿宋" w:hAnsi="仿宋" w:eastAsia="仿宋" w:cs="仿宋"/>
                <w:b w:val="0"/>
                <w:bCs w:val="0"/>
                <w:color w:val="000000"/>
                <w:sz w:val="18"/>
                <w:szCs w:val="18"/>
                <w:lang w:val="en-US" w:eastAsia="zh-CN"/>
              </w:rPr>
              <w:t>行政事业单位医疗支出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0.06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0.06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221</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住房保障支出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12.97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12.97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221</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02</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住房改革支出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12.97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12.97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221</w:t>
            </w: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02</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01</w:t>
            </w: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sz w:val="18"/>
                <w:szCs w:val="18"/>
                <w:lang w:val="en-US" w:eastAsia="zh-CN"/>
              </w:rPr>
              <w:t>住房公积金</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12.97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lang w:val="en-US" w:eastAsia="zh-CN"/>
              </w:rPr>
              <w:t>12.97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03"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247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sz w:val="18"/>
                <w:szCs w:val="18"/>
              </w:rPr>
            </w:pPr>
          </w:p>
        </w:tc>
        <w:tc>
          <w:tcPr>
            <w:tcW w:w="403"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sz w:val="18"/>
                <w:szCs w:val="18"/>
              </w:rPr>
            </w:pP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sz w:val="18"/>
                <w:szCs w:val="18"/>
              </w:rPr>
            </w:pPr>
          </w:p>
        </w:tc>
        <w:tc>
          <w:tcPr>
            <w:tcW w:w="247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　</w:t>
            </w:r>
          </w:p>
        </w:tc>
        <w:tc>
          <w:tcPr>
            <w:tcW w:w="403" w:type="dxa"/>
            <w:tcBorders>
              <w:top w:val="nil"/>
              <w:left w:val="nil"/>
              <w:bottom w:val="single" w:color="auto" w:sz="4" w:space="0"/>
              <w:right w:val="single" w:color="auto" w:sz="4" w:space="0"/>
            </w:tcBorders>
            <w:vAlign w:val="center"/>
          </w:tcPr>
          <w:p>
            <w:pPr>
              <w:widowControl/>
              <w:spacing w:line="280" w:lineRule="exact"/>
              <w:jc w:val="lef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　</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　</w:t>
            </w:r>
          </w:p>
        </w:tc>
        <w:tc>
          <w:tcPr>
            <w:tcW w:w="2471"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val="0"/>
                <w:bCs w:val="0"/>
                <w:color w:val="000000"/>
                <w:kern w:val="0"/>
                <w:sz w:val="18"/>
                <w:szCs w:val="18"/>
              </w:rPr>
            </w:pPr>
            <w:r>
              <w:rPr>
                <w:rFonts w:hint="eastAsia" w:ascii="仿宋" w:hAnsi="仿宋" w:eastAsia="仿宋" w:cs="仿宋"/>
                <w:b w:val="0"/>
                <w:bCs w:val="0"/>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314.96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144.96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170</w:t>
            </w:r>
          </w:p>
        </w:tc>
      </w:tr>
    </w:tbl>
    <w:p>
      <w:pPr>
        <w:widowControl/>
        <w:outlineLvl w:val="1"/>
        <w:rPr>
          <w:rFonts w:ascii="仿宋_GB2312" w:hAnsi="宋体" w:eastAsia="仿宋_GB2312"/>
          <w:b w:val="0"/>
          <w:bCs w:val="0"/>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314.96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276.26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276.26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314.96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14.41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14.41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11.32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11.32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12.97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12.97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314.96</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314.96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314.96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20"/>
                <w:szCs w:val="20"/>
              </w:rPr>
            </w:pPr>
            <w:r>
              <w:rPr>
                <w:rFonts w:hint="eastAsia" w:ascii="仿宋" w:hAnsi="仿宋" w:eastAsia="仿宋" w:cs="仿宋"/>
                <w:b w:val="0"/>
                <w:bCs w:val="0"/>
                <w:color w:val="000000"/>
                <w:sz w:val="20"/>
                <w:szCs w:val="20"/>
                <w:lang w:val="en-US" w:eastAsia="zh-CN"/>
              </w:rPr>
              <w:t>一般公共服务支出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276.26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276.26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政府办公厅（室）及相关机构事务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276.26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276.26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50</w:t>
            </w: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事业运行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106.26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106.26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eastAsia="zh-CN"/>
              </w:rPr>
              <w:t>其他政府（</w:t>
            </w:r>
            <w:r>
              <w:rPr>
                <w:rFonts w:hint="eastAsia" w:ascii="仿宋" w:hAnsi="仿宋" w:eastAsia="仿宋" w:cs="仿宋"/>
                <w:b w:val="0"/>
                <w:bCs w:val="0"/>
                <w:color w:val="000000"/>
                <w:sz w:val="20"/>
                <w:szCs w:val="20"/>
                <w:lang w:val="en-US" w:eastAsia="zh-CN"/>
              </w:rPr>
              <w:t>室</w:t>
            </w:r>
            <w:r>
              <w:rPr>
                <w:rFonts w:hint="eastAsia" w:ascii="仿宋" w:hAnsi="仿宋" w:eastAsia="仿宋" w:cs="仿宋"/>
                <w:b w:val="0"/>
                <w:bCs w:val="0"/>
                <w:color w:val="000000"/>
                <w:sz w:val="20"/>
                <w:szCs w:val="20"/>
                <w:lang w:eastAsia="zh-CN"/>
              </w:rPr>
              <w:t>）</w:t>
            </w:r>
            <w:r>
              <w:rPr>
                <w:rFonts w:hint="eastAsia" w:ascii="仿宋" w:hAnsi="仿宋" w:eastAsia="仿宋" w:cs="仿宋"/>
                <w:b w:val="0"/>
                <w:bCs w:val="0"/>
                <w:color w:val="000000"/>
                <w:sz w:val="20"/>
                <w:szCs w:val="20"/>
                <w:lang w:val="en-US" w:eastAsia="zh-CN"/>
              </w:rPr>
              <w:t>及相关机构事务支出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170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170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14。41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14。41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14.41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14.41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14.41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14.41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11.32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11.32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11.32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11.32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8.56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8.56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2.7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2.7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eastAsia="zh-CN"/>
              </w:rPr>
              <w:t>其他</w:t>
            </w:r>
            <w:r>
              <w:rPr>
                <w:rFonts w:hint="eastAsia" w:ascii="仿宋" w:hAnsi="仿宋" w:eastAsia="仿宋" w:cs="仿宋"/>
                <w:b w:val="0"/>
                <w:bCs w:val="0"/>
                <w:color w:val="000000"/>
                <w:sz w:val="20"/>
                <w:szCs w:val="20"/>
                <w:lang w:val="en-US" w:eastAsia="zh-CN"/>
              </w:rPr>
              <w:t>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0.06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0.06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12.97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12.97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12.97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12.97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 w:hAnsi="仿宋" w:eastAsia="仿宋" w:cs="仿宋"/>
                <w:color w:val="000000"/>
                <w:sz w:val="18"/>
                <w:szCs w:val="18"/>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b w:val="0"/>
                <w:bCs w:val="0"/>
                <w:color w:val="000000"/>
                <w:kern w:val="0"/>
                <w:sz w:val="20"/>
                <w:szCs w:val="20"/>
              </w:rPr>
            </w:pPr>
            <w:r>
              <w:rPr>
                <w:rFonts w:hint="eastAsia" w:ascii="仿宋" w:hAnsi="仿宋" w:eastAsia="仿宋" w:cs="仿宋"/>
                <w:b w:val="0"/>
                <w:bCs w:val="0"/>
                <w:color w:val="000000"/>
                <w:sz w:val="20"/>
                <w:szCs w:val="20"/>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12.97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r>
              <w:rPr>
                <w:rFonts w:hint="eastAsia" w:ascii="仿宋" w:hAnsi="仿宋" w:eastAsia="仿宋" w:cs="仿宋"/>
                <w:b w:val="0"/>
                <w:bCs w:val="0"/>
                <w:color w:val="000000"/>
                <w:kern w:val="0"/>
                <w:sz w:val="20"/>
                <w:szCs w:val="20"/>
                <w:lang w:val="en-US" w:eastAsia="zh-CN"/>
              </w:rPr>
              <w:t>12.97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314.96</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144.06</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170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452"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299"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64"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130.14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130.14</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54"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43.16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43.16</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3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9.89</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9.89</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3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3.53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3.53</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2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34.49</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34.49</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38"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14.41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14.41</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5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城镇职工基本医疗保险缴费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8.56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8.56</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21"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2.70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2.70</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5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0.44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0.44</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354"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12.97</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12.97</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14.82</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14.82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1.15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印刷费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0.08</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0.08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0.31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0.31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电费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3.59</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3.59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邮电费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0.04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0.04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取暖费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2.27</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2.27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维修（护）费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0.13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0.13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公务接待费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0.17</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0.17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28</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工会经费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1.70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1.70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1.53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1.53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2.00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2.00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0.85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0.85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144.96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130.14</w:t>
            </w: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lang w:val="en-US" w:eastAsia="zh-CN"/>
              </w:rPr>
              <w:t>14.82</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495"/>
        <w:gridCol w:w="403"/>
        <w:gridCol w:w="403"/>
        <w:gridCol w:w="1242"/>
        <w:gridCol w:w="1629"/>
        <w:gridCol w:w="613"/>
        <w:gridCol w:w="581"/>
        <w:gridCol w:w="532"/>
        <w:gridCol w:w="419"/>
        <w:gridCol w:w="532"/>
        <w:gridCol w:w="178"/>
        <w:gridCol w:w="403"/>
        <w:gridCol w:w="323"/>
        <w:gridCol w:w="629"/>
        <w:gridCol w:w="338"/>
        <w:gridCol w:w="344"/>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785"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1113"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129"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09" w:type="dxa"/>
            <w:gridSpan w:val="4"/>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科 目 编 码</w:t>
            </w:r>
          </w:p>
        </w:tc>
        <w:tc>
          <w:tcPr>
            <w:tcW w:w="1242"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科目</w:t>
            </w:r>
          </w:p>
        </w:tc>
        <w:tc>
          <w:tcPr>
            <w:tcW w:w="1629" w:type="dxa"/>
            <w:vMerge w:val="restart"/>
            <w:vAlign w:val="center"/>
          </w:tcPr>
          <w:p>
            <w:pPr>
              <w:jc w:val="center"/>
              <w:rPr>
                <w:rFonts w:hint="eastAsia" w:ascii="仿宋" w:hAnsi="仿宋" w:eastAsia="仿宋" w:cs="仿宋"/>
                <w:sz w:val="18"/>
                <w:szCs w:val="18"/>
              </w:rPr>
            </w:pPr>
            <w:r>
              <w:rPr>
                <w:rFonts w:hint="eastAsia" w:ascii="仿宋" w:hAnsi="仿宋" w:eastAsia="仿宋" w:cs="仿宋"/>
                <w:b/>
                <w:kern w:val="0"/>
                <w:sz w:val="18"/>
                <w:szCs w:val="18"/>
              </w:rPr>
              <w:t>项目名称</w:t>
            </w:r>
          </w:p>
        </w:tc>
        <w:tc>
          <w:tcPr>
            <w:tcW w:w="613"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项目支出合计</w:t>
            </w:r>
          </w:p>
        </w:tc>
        <w:tc>
          <w:tcPr>
            <w:tcW w:w="581"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工资福利支出</w:t>
            </w:r>
          </w:p>
        </w:tc>
        <w:tc>
          <w:tcPr>
            <w:tcW w:w="532"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商品和服务支出</w:t>
            </w:r>
          </w:p>
        </w:tc>
        <w:tc>
          <w:tcPr>
            <w:tcW w:w="419"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对个人和家庭的补助</w:t>
            </w:r>
          </w:p>
        </w:tc>
        <w:tc>
          <w:tcPr>
            <w:tcW w:w="532"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债务利息及费用支出</w:t>
            </w:r>
          </w:p>
        </w:tc>
        <w:tc>
          <w:tcPr>
            <w:tcW w:w="581" w:type="dxa"/>
            <w:gridSpan w:val="2"/>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资本性支出（基本建设）</w:t>
            </w:r>
          </w:p>
        </w:tc>
        <w:tc>
          <w:tcPr>
            <w:tcW w:w="323"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资本性支出</w:t>
            </w:r>
          </w:p>
        </w:tc>
        <w:tc>
          <w:tcPr>
            <w:tcW w:w="629"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对企业补助（基本建设）</w:t>
            </w:r>
          </w:p>
        </w:tc>
        <w:tc>
          <w:tcPr>
            <w:tcW w:w="338"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对企业补助</w:t>
            </w:r>
          </w:p>
        </w:tc>
        <w:tc>
          <w:tcPr>
            <w:tcW w:w="344" w:type="dxa"/>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对社会保障基金补助</w:t>
            </w:r>
          </w:p>
        </w:tc>
        <w:tc>
          <w:tcPr>
            <w:tcW w:w="468" w:type="dxa"/>
            <w:gridSpan w:val="2"/>
            <w:vMerge w:val="restart"/>
            <w:vAlign w:val="center"/>
          </w:tcPr>
          <w:p>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03" w:type="dxa"/>
            <w:gridSpan w:val="2"/>
            <w:tcBorders>
              <w:bottom w:val="single" w:color="auto" w:sz="4" w:space="0"/>
            </w:tcBorders>
            <w:vAlign w:val="center"/>
          </w:tcPr>
          <w:p>
            <w:pPr>
              <w:widowControl/>
              <w:jc w:val="left"/>
              <w:outlineLvl w:val="1"/>
              <w:rPr>
                <w:rFonts w:hint="eastAsia" w:ascii="仿宋" w:hAnsi="仿宋" w:eastAsia="仿宋" w:cs="仿宋"/>
                <w:b/>
                <w:kern w:val="0"/>
                <w:sz w:val="18"/>
                <w:szCs w:val="18"/>
              </w:rPr>
            </w:pPr>
            <w:r>
              <w:rPr>
                <w:rFonts w:hint="eastAsia" w:ascii="仿宋" w:hAnsi="仿宋" w:eastAsia="仿宋" w:cs="仿宋"/>
                <w:b/>
                <w:kern w:val="0"/>
                <w:sz w:val="18"/>
                <w:szCs w:val="18"/>
              </w:rPr>
              <w:t>类</w:t>
            </w:r>
          </w:p>
        </w:tc>
        <w:tc>
          <w:tcPr>
            <w:tcW w:w="403" w:type="dxa"/>
            <w:tcBorders>
              <w:bottom w:val="single" w:color="auto" w:sz="4" w:space="0"/>
            </w:tcBorders>
            <w:vAlign w:val="center"/>
          </w:tcPr>
          <w:p>
            <w:pPr>
              <w:widowControl/>
              <w:jc w:val="left"/>
              <w:outlineLvl w:val="1"/>
              <w:rPr>
                <w:rFonts w:hint="eastAsia" w:ascii="仿宋" w:hAnsi="仿宋" w:eastAsia="仿宋" w:cs="仿宋"/>
                <w:b/>
                <w:kern w:val="0"/>
                <w:sz w:val="18"/>
                <w:szCs w:val="18"/>
              </w:rPr>
            </w:pPr>
            <w:r>
              <w:rPr>
                <w:rFonts w:hint="eastAsia" w:ascii="仿宋" w:hAnsi="仿宋" w:eastAsia="仿宋" w:cs="仿宋"/>
                <w:b/>
                <w:kern w:val="0"/>
                <w:sz w:val="18"/>
                <w:szCs w:val="18"/>
              </w:rPr>
              <w:t>款</w:t>
            </w:r>
          </w:p>
        </w:tc>
        <w:tc>
          <w:tcPr>
            <w:tcW w:w="403" w:type="dxa"/>
            <w:tcBorders>
              <w:bottom w:val="single" w:color="auto" w:sz="4" w:space="0"/>
            </w:tcBorders>
            <w:vAlign w:val="center"/>
          </w:tcPr>
          <w:p>
            <w:pPr>
              <w:widowControl/>
              <w:jc w:val="left"/>
              <w:outlineLvl w:val="1"/>
              <w:rPr>
                <w:rFonts w:hint="eastAsia" w:ascii="仿宋" w:hAnsi="仿宋" w:eastAsia="仿宋" w:cs="仿宋"/>
                <w:b/>
                <w:kern w:val="0"/>
                <w:sz w:val="18"/>
                <w:szCs w:val="18"/>
              </w:rPr>
            </w:pPr>
            <w:r>
              <w:rPr>
                <w:rFonts w:hint="eastAsia" w:ascii="仿宋" w:hAnsi="仿宋" w:eastAsia="仿宋" w:cs="仿宋"/>
                <w:b/>
                <w:kern w:val="0"/>
                <w:sz w:val="18"/>
                <w:szCs w:val="18"/>
              </w:rPr>
              <w:t>项</w:t>
            </w:r>
          </w:p>
        </w:tc>
        <w:tc>
          <w:tcPr>
            <w:tcW w:w="1242" w:type="dxa"/>
            <w:vMerge w:val="continue"/>
            <w:tcBorders>
              <w:bottom w:val="single" w:color="auto" w:sz="4" w:space="0"/>
            </w:tcBorders>
            <w:vAlign w:val="center"/>
          </w:tcPr>
          <w:p>
            <w:pPr>
              <w:widowControl/>
              <w:jc w:val="left"/>
              <w:outlineLvl w:val="1"/>
              <w:rPr>
                <w:rFonts w:hint="eastAsia" w:ascii="仿宋" w:hAnsi="仿宋" w:eastAsia="仿宋" w:cs="仿宋"/>
                <w:b/>
                <w:kern w:val="0"/>
                <w:sz w:val="18"/>
                <w:szCs w:val="18"/>
              </w:rPr>
            </w:pPr>
          </w:p>
        </w:tc>
        <w:tc>
          <w:tcPr>
            <w:tcW w:w="1629"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613"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581"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532"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419"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532"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581" w:type="dxa"/>
            <w:gridSpan w:val="2"/>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323"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629"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338"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344" w:type="dxa"/>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c>
          <w:tcPr>
            <w:tcW w:w="468" w:type="dxa"/>
            <w:gridSpan w:val="2"/>
            <w:vMerge w:val="continue"/>
            <w:tcBorders>
              <w:bottom w:val="single" w:color="auto" w:sz="4" w:space="0"/>
            </w:tcBorders>
          </w:tcPr>
          <w:p>
            <w:pPr>
              <w:widowControl/>
              <w:jc w:val="left"/>
              <w:outlineLvl w:val="1"/>
              <w:rPr>
                <w:rFonts w:hint="eastAsia" w:ascii="仿宋" w:hAnsi="仿宋" w:eastAsia="仿宋" w:cs="仿宋"/>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eastAsia" w:ascii="仿宋" w:hAnsi="仿宋" w:eastAsia="仿宋" w:cs="仿宋"/>
                <w:kern w:val="0"/>
                <w:sz w:val="18"/>
                <w:szCs w:val="18"/>
              </w:rPr>
            </w:pPr>
            <w:r>
              <w:rPr>
                <w:rFonts w:hint="eastAsia" w:ascii="仿宋_GB2312" w:hAnsi="宋体" w:eastAsia="仿宋_GB2312"/>
                <w:kern w:val="0"/>
                <w:sz w:val="18"/>
                <w:szCs w:val="18"/>
                <w:lang w:val="en-US" w:eastAsia="zh-CN"/>
              </w:rPr>
              <w:t>201</w:t>
            </w:r>
          </w:p>
        </w:tc>
        <w:tc>
          <w:tcPr>
            <w:tcW w:w="403" w:type="dxa"/>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1242" w:type="dxa"/>
            <w:vAlign w:val="center"/>
          </w:tcPr>
          <w:p>
            <w:pPr>
              <w:jc w:val="center"/>
              <w:rPr>
                <w:rFonts w:hint="eastAsia" w:ascii="仿宋" w:hAnsi="仿宋" w:eastAsia="仿宋" w:cs="仿宋"/>
                <w:kern w:val="0"/>
                <w:sz w:val="18"/>
                <w:szCs w:val="18"/>
              </w:rPr>
            </w:pPr>
            <w:r>
              <w:rPr>
                <w:rFonts w:hint="eastAsia" w:ascii="仿宋_GB2312" w:hAnsi="宋体" w:eastAsia="仿宋_GB2312" w:cs="宋体"/>
                <w:b w:val="0"/>
                <w:bCs w:val="0"/>
                <w:color w:val="000000"/>
                <w:sz w:val="18"/>
                <w:szCs w:val="18"/>
                <w:lang w:val="en-US" w:eastAsia="zh-CN"/>
              </w:rPr>
              <w:t>一般公共服务支出</w:t>
            </w:r>
          </w:p>
        </w:tc>
        <w:tc>
          <w:tcPr>
            <w:tcW w:w="1629" w:type="dxa"/>
            <w:vAlign w:val="center"/>
          </w:tcPr>
          <w:p>
            <w:pPr>
              <w:jc w:val="center"/>
              <w:rPr>
                <w:rFonts w:hint="eastAsia" w:ascii="仿宋" w:hAnsi="仿宋" w:eastAsia="仿宋" w:cs="仿宋"/>
                <w:kern w:val="0"/>
                <w:sz w:val="18"/>
                <w:szCs w:val="18"/>
                <w:lang w:val="en-US" w:eastAsia="zh-CN"/>
              </w:rPr>
            </w:pPr>
          </w:p>
        </w:tc>
        <w:tc>
          <w:tcPr>
            <w:tcW w:w="613" w:type="dxa"/>
            <w:vAlign w:val="center"/>
          </w:tcPr>
          <w:p>
            <w:pPr>
              <w:widowControl/>
              <w:jc w:val="center"/>
              <w:outlineLvl w:val="1"/>
              <w:rPr>
                <w:rFonts w:hint="eastAsia" w:ascii="仿宋" w:hAnsi="仿宋" w:eastAsia="仿宋" w:cs="仿宋"/>
                <w:kern w:val="0"/>
                <w:sz w:val="18"/>
                <w:szCs w:val="18"/>
                <w:lang w:val="en-US" w:eastAsia="zh-CN"/>
              </w:rPr>
            </w:pPr>
            <w:r>
              <w:rPr>
                <w:rFonts w:hint="eastAsia" w:ascii="仿宋_GB2312" w:hAnsi="宋体" w:eastAsia="仿宋_GB2312"/>
                <w:kern w:val="0"/>
                <w:sz w:val="18"/>
                <w:szCs w:val="18"/>
                <w:lang w:val="en-US" w:eastAsia="zh-CN"/>
              </w:rPr>
              <w:t>170</w:t>
            </w: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eastAsia" w:ascii="仿宋" w:hAnsi="仿宋" w:eastAsia="仿宋" w:cs="仿宋"/>
                <w:kern w:val="0"/>
                <w:sz w:val="18"/>
                <w:szCs w:val="18"/>
              </w:rPr>
            </w:pPr>
            <w:r>
              <w:rPr>
                <w:rFonts w:hint="eastAsia" w:ascii="仿宋_GB2312" w:hAnsi="宋体" w:eastAsia="仿宋_GB2312"/>
                <w:kern w:val="0"/>
                <w:sz w:val="18"/>
                <w:szCs w:val="18"/>
                <w:lang w:val="en-US" w:eastAsia="zh-CN"/>
              </w:rPr>
              <w:t>201</w:t>
            </w:r>
          </w:p>
        </w:tc>
        <w:tc>
          <w:tcPr>
            <w:tcW w:w="403" w:type="dxa"/>
            <w:vAlign w:val="center"/>
          </w:tcPr>
          <w:p>
            <w:pPr>
              <w:widowControl/>
              <w:jc w:val="center"/>
              <w:outlineLvl w:val="1"/>
              <w:rPr>
                <w:rFonts w:hint="eastAsia" w:ascii="仿宋" w:hAnsi="仿宋" w:eastAsia="仿宋" w:cs="仿宋"/>
                <w:kern w:val="0"/>
                <w:sz w:val="18"/>
                <w:szCs w:val="18"/>
              </w:rPr>
            </w:pPr>
            <w:r>
              <w:rPr>
                <w:rFonts w:hint="eastAsia" w:ascii="仿宋_GB2312" w:hAnsi="宋体" w:eastAsia="仿宋_GB2312"/>
                <w:kern w:val="0"/>
                <w:sz w:val="18"/>
                <w:szCs w:val="18"/>
                <w:lang w:val="en-US" w:eastAsia="zh-CN"/>
              </w:rPr>
              <w:t>03</w:t>
            </w:r>
          </w:p>
        </w:tc>
        <w:tc>
          <w:tcPr>
            <w:tcW w:w="403" w:type="dxa"/>
            <w:vAlign w:val="center"/>
          </w:tcPr>
          <w:p>
            <w:pPr>
              <w:widowControl/>
              <w:jc w:val="center"/>
              <w:outlineLvl w:val="1"/>
              <w:rPr>
                <w:rFonts w:hint="eastAsia" w:ascii="仿宋" w:hAnsi="仿宋" w:eastAsia="仿宋" w:cs="仿宋"/>
                <w:kern w:val="0"/>
                <w:sz w:val="18"/>
                <w:szCs w:val="18"/>
              </w:rPr>
            </w:pPr>
          </w:p>
        </w:tc>
        <w:tc>
          <w:tcPr>
            <w:tcW w:w="1242" w:type="dxa"/>
            <w:vAlign w:val="center"/>
          </w:tcPr>
          <w:p>
            <w:pPr>
              <w:jc w:val="center"/>
              <w:rPr>
                <w:rFonts w:hint="eastAsia" w:ascii="仿宋" w:hAnsi="仿宋" w:eastAsia="仿宋" w:cs="仿宋"/>
                <w:kern w:val="0"/>
                <w:sz w:val="18"/>
                <w:szCs w:val="18"/>
              </w:rPr>
            </w:pPr>
            <w:r>
              <w:rPr>
                <w:rFonts w:hint="eastAsia" w:ascii="仿宋_GB2312" w:hAnsi="宋体" w:eastAsia="仿宋_GB2312" w:cs="宋体"/>
                <w:b w:val="0"/>
                <w:bCs w:val="0"/>
                <w:color w:val="000000"/>
                <w:sz w:val="18"/>
                <w:szCs w:val="18"/>
                <w:lang w:val="en-US" w:eastAsia="zh-CN"/>
              </w:rPr>
              <w:t>政府办公厅（室）及相关机构事务</w:t>
            </w:r>
          </w:p>
        </w:tc>
        <w:tc>
          <w:tcPr>
            <w:tcW w:w="1629" w:type="dxa"/>
            <w:vAlign w:val="center"/>
          </w:tcPr>
          <w:p>
            <w:pPr>
              <w:jc w:val="center"/>
              <w:rPr>
                <w:rFonts w:hint="eastAsia" w:ascii="仿宋" w:hAnsi="仿宋" w:eastAsia="仿宋" w:cs="仿宋"/>
                <w:kern w:val="0"/>
                <w:sz w:val="18"/>
                <w:szCs w:val="18"/>
                <w:lang w:val="en-US" w:eastAsia="zh-CN"/>
              </w:rPr>
            </w:pPr>
          </w:p>
        </w:tc>
        <w:tc>
          <w:tcPr>
            <w:tcW w:w="613" w:type="dxa"/>
            <w:vAlign w:val="center"/>
          </w:tcPr>
          <w:p>
            <w:pPr>
              <w:widowControl/>
              <w:jc w:val="center"/>
              <w:outlineLvl w:val="1"/>
              <w:rPr>
                <w:rFonts w:hint="eastAsia" w:ascii="仿宋" w:hAnsi="仿宋" w:eastAsia="仿宋" w:cs="仿宋"/>
                <w:kern w:val="0"/>
                <w:sz w:val="18"/>
                <w:szCs w:val="18"/>
                <w:lang w:val="en-US" w:eastAsia="zh-CN"/>
              </w:rPr>
            </w:pPr>
            <w:r>
              <w:rPr>
                <w:rFonts w:hint="eastAsia" w:ascii="仿宋_GB2312" w:hAnsi="宋体" w:eastAsia="仿宋_GB2312"/>
                <w:kern w:val="0"/>
                <w:sz w:val="18"/>
                <w:szCs w:val="18"/>
                <w:lang w:val="en-US" w:eastAsia="zh-CN"/>
              </w:rPr>
              <w:t>170</w:t>
            </w: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w:t>
            </w:r>
          </w:p>
        </w:tc>
        <w:tc>
          <w:tcPr>
            <w:tcW w:w="403"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03</w:t>
            </w:r>
          </w:p>
        </w:tc>
        <w:tc>
          <w:tcPr>
            <w:tcW w:w="403"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99</w:t>
            </w:r>
          </w:p>
        </w:tc>
        <w:tc>
          <w:tcPr>
            <w:tcW w:w="1242"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其他政府办公厅（室）及相关机构事务支出</w:t>
            </w:r>
          </w:p>
        </w:tc>
        <w:tc>
          <w:tcPr>
            <w:tcW w:w="1629" w:type="dxa"/>
            <w:vAlign w:val="center"/>
          </w:tcPr>
          <w:p>
            <w:pPr>
              <w:widowControl/>
              <w:jc w:val="center"/>
              <w:outlineLvl w:val="1"/>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昌吉州政府网站和政务云平台运维项目</w:t>
            </w:r>
          </w:p>
        </w:tc>
        <w:tc>
          <w:tcPr>
            <w:tcW w:w="613"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170</w:t>
            </w:r>
          </w:p>
        </w:tc>
        <w:tc>
          <w:tcPr>
            <w:tcW w:w="581"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w:t>
            </w:r>
          </w:p>
        </w:tc>
        <w:tc>
          <w:tcPr>
            <w:tcW w:w="532"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150</w:t>
            </w: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w:t>
            </w:r>
          </w:p>
        </w:tc>
        <w:tc>
          <w:tcPr>
            <w:tcW w:w="403"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03</w:t>
            </w:r>
          </w:p>
        </w:tc>
        <w:tc>
          <w:tcPr>
            <w:tcW w:w="403"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99</w:t>
            </w:r>
          </w:p>
        </w:tc>
        <w:tc>
          <w:tcPr>
            <w:tcW w:w="1242"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其他政府办公厅（室）及相关机构事务支出</w:t>
            </w:r>
          </w:p>
        </w:tc>
        <w:tc>
          <w:tcPr>
            <w:tcW w:w="1629" w:type="dxa"/>
            <w:vAlign w:val="center"/>
          </w:tcPr>
          <w:p>
            <w:pPr>
              <w:widowControl/>
              <w:jc w:val="center"/>
              <w:outlineLvl w:val="1"/>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昌吉州政府网站媒体互联交互安全维护项目</w:t>
            </w:r>
          </w:p>
        </w:tc>
        <w:tc>
          <w:tcPr>
            <w:tcW w:w="613"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w:t>
            </w: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w:t>
            </w: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1242" w:type="dxa"/>
            <w:vAlign w:val="center"/>
          </w:tcPr>
          <w:p>
            <w:pPr>
              <w:jc w:val="center"/>
              <w:rPr>
                <w:rFonts w:hint="eastAsia" w:ascii="仿宋" w:hAnsi="仿宋" w:eastAsia="仿宋" w:cs="仿宋"/>
                <w:kern w:val="0"/>
                <w:sz w:val="18"/>
                <w:szCs w:val="18"/>
              </w:rPr>
            </w:pPr>
          </w:p>
        </w:tc>
        <w:tc>
          <w:tcPr>
            <w:tcW w:w="1629" w:type="dxa"/>
            <w:vAlign w:val="center"/>
          </w:tcPr>
          <w:p>
            <w:pPr>
              <w:jc w:val="center"/>
              <w:rPr>
                <w:rFonts w:hint="eastAsia" w:ascii="仿宋" w:hAnsi="仿宋" w:eastAsia="仿宋" w:cs="仿宋"/>
                <w:kern w:val="0"/>
                <w:sz w:val="18"/>
                <w:szCs w:val="18"/>
              </w:rPr>
            </w:pPr>
          </w:p>
        </w:tc>
        <w:tc>
          <w:tcPr>
            <w:tcW w:w="613" w:type="dxa"/>
            <w:vAlign w:val="center"/>
          </w:tcPr>
          <w:p>
            <w:pPr>
              <w:widowControl/>
              <w:jc w:val="center"/>
              <w:outlineLvl w:val="1"/>
              <w:rPr>
                <w:rFonts w:hint="eastAsia" w:ascii="仿宋" w:hAnsi="仿宋" w:eastAsia="仿宋" w:cs="仿宋"/>
                <w:kern w:val="0"/>
                <w:sz w:val="18"/>
                <w:szCs w:val="18"/>
              </w:rPr>
            </w:pP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1242" w:type="dxa"/>
            <w:vAlign w:val="center"/>
          </w:tcPr>
          <w:p>
            <w:pPr>
              <w:jc w:val="center"/>
              <w:rPr>
                <w:rFonts w:hint="eastAsia" w:ascii="仿宋" w:hAnsi="仿宋" w:eastAsia="仿宋" w:cs="仿宋"/>
                <w:kern w:val="0"/>
                <w:sz w:val="18"/>
                <w:szCs w:val="18"/>
              </w:rPr>
            </w:pPr>
          </w:p>
        </w:tc>
        <w:tc>
          <w:tcPr>
            <w:tcW w:w="1629" w:type="dxa"/>
            <w:vAlign w:val="center"/>
          </w:tcPr>
          <w:p>
            <w:pPr>
              <w:jc w:val="center"/>
              <w:rPr>
                <w:rFonts w:hint="eastAsia" w:ascii="仿宋" w:hAnsi="仿宋" w:eastAsia="仿宋" w:cs="仿宋"/>
                <w:kern w:val="0"/>
                <w:sz w:val="18"/>
                <w:szCs w:val="18"/>
              </w:rPr>
            </w:pPr>
          </w:p>
        </w:tc>
        <w:tc>
          <w:tcPr>
            <w:tcW w:w="613" w:type="dxa"/>
            <w:vAlign w:val="center"/>
          </w:tcPr>
          <w:p>
            <w:pPr>
              <w:widowControl/>
              <w:jc w:val="center"/>
              <w:outlineLvl w:val="1"/>
              <w:rPr>
                <w:rFonts w:hint="eastAsia" w:ascii="仿宋" w:hAnsi="仿宋" w:eastAsia="仿宋" w:cs="仿宋"/>
                <w:kern w:val="0"/>
                <w:sz w:val="18"/>
                <w:szCs w:val="18"/>
              </w:rPr>
            </w:pP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1242" w:type="dxa"/>
            <w:vAlign w:val="center"/>
          </w:tcPr>
          <w:p>
            <w:pPr>
              <w:widowControl/>
              <w:jc w:val="center"/>
              <w:outlineLvl w:val="1"/>
              <w:rPr>
                <w:rFonts w:hint="eastAsia" w:ascii="仿宋" w:hAnsi="仿宋" w:eastAsia="仿宋" w:cs="仿宋"/>
                <w:kern w:val="0"/>
                <w:sz w:val="18"/>
                <w:szCs w:val="18"/>
              </w:rPr>
            </w:pPr>
          </w:p>
        </w:tc>
        <w:tc>
          <w:tcPr>
            <w:tcW w:w="1629" w:type="dxa"/>
            <w:vAlign w:val="center"/>
          </w:tcPr>
          <w:p>
            <w:pPr>
              <w:widowControl/>
              <w:jc w:val="center"/>
              <w:outlineLvl w:val="1"/>
              <w:rPr>
                <w:rFonts w:hint="eastAsia" w:ascii="仿宋" w:hAnsi="仿宋" w:eastAsia="仿宋" w:cs="仿宋"/>
                <w:kern w:val="0"/>
                <w:sz w:val="18"/>
                <w:szCs w:val="18"/>
              </w:rPr>
            </w:pPr>
          </w:p>
        </w:tc>
        <w:tc>
          <w:tcPr>
            <w:tcW w:w="613" w:type="dxa"/>
            <w:vAlign w:val="center"/>
          </w:tcPr>
          <w:p>
            <w:pPr>
              <w:widowControl/>
              <w:jc w:val="center"/>
              <w:outlineLvl w:val="1"/>
              <w:rPr>
                <w:rFonts w:hint="eastAsia" w:ascii="仿宋" w:hAnsi="仿宋" w:eastAsia="仿宋" w:cs="仿宋"/>
                <w:kern w:val="0"/>
                <w:sz w:val="18"/>
                <w:szCs w:val="18"/>
              </w:rPr>
            </w:pP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1242" w:type="dxa"/>
            <w:vAlign w:val="center"/>
          </w:tcPr>
          <w:p>
            <w:pPr>
              <w:widowControl/>
              <w:jc w:val="center"/>
              <w:outlineLvl w:val="1"/>
              <w:rPr>
                <w:rFonts w:hint="eastAsia" w:ascii="仿宋" w:hAnsi="仿宋" w:eastAsia="仿宋" w:cs="仿宋"/>
                <w:kern w:val="0"/>
                <w:sz w:val="18"/>
                <w:szCs w:val="18"/>
              </w:rPr>
            </w:pPr>
          </w:p>
        </w:tc>
        <w:tc>
          <w:tcPr>
            <w:tcW w:w="1629" w:type="dxa"/>
            <w:vAlign w:val="center"/>
          </w:tcPr>
          <w:p>
            <w:pPr>
              <w:widowControl/>
              <w:jc w:val="center"/>
              <w:outlineLvl w:val="1"/>
              <w:rPr>
                <w:rFonts w:hint="eastAsia" w:ascii="仿宋" w:hAnsi="仿宋" w:eastAsia="仿宋" w:cs="仿宋"/>
                <w:kern w:val="0"/>
                <w:sz w:val="18"/>
                <w:szCs w:val="18"/>
              </w:rPr>
            </w:pPr>
          </w:p>
        </w:tc>
        <w:tc>
          <w:tcPr>
            <w:tcW w:w="613" w:type="dxa"/>
            <w:vAlign w:val="center"/>
          </w:tcPr>
          <w:p>
            <w:pPr>
              <w:widowControl/>
              <w:jc w:val="center"/>
              <w:outlineLvl w:val="1"/>
              <w:rPr>
                <w:rFonts w:hint="eastAsia" w:ascii="仿宋" w:hAnsi="仿宋" w:eastAsia="仿宋" w:cs="仿宋"/>
                <w:kern w:val="0"/>
                <w:sz w:val="18"/>
                <w:szCs w:val="18"/>
              </w:rPr>
            </w:pP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1242" w:type="dxa"/>
            <w:vAlign w:val="center"/>
          </w:tcPr>
          <w:p>
            <w:pPr>
              <w:widowControl/>
              <w:jc w:val="center"/>
              <w:outlineLvl w:val="1"/>
              <w:rPr>
                <w:rFonts w:hint="eastAsia" w:ascii="仿宋" w:hAnsi="仿宋" w:eastAsia="仿宋" w:cs="仿宋"/>
                <w:kern w:val="0"/>
                <w:sz w:val="18"/>
                <w:szCs w:val="18"/>
              </w:rPr>
            </w:pPr>
          </w:p>
        </w:tc>
        <w:tc>
          <w:tcPr>
            <w:tcW w:w="1629" w:type="dxa"/>
            <w:vAlign w:val="center"/>
          </w:tcPr>
          <w:p>
            <w:pPr>
              <w:widowControl/>
              <w:jc w:val="center"/>
              <w:outlineLvl w:val="1"/>
              <w:rPr>
                <w:rFonts w:hint="eastAsia" w:ascii="仿宋" w:hAnsi="仿宋" w:eastAsia="仿宋" w:cs="仿宋"/>
                <w:kern w:val="0"/>
                <w:sz w:val="18"/>
                <w:szCs w:val="18"/>
              </w:rPr>
            </w:pPr>
          </w:p>
        </w:tc>
        <w:tc>
          <w:tcPr>
            <w:tcW w:w="613" w:type="dxa"/>
            <w:vAlign w:val="center"/>
          </w:tcPr>
          <w:p>
            <w:pPr>
              <w:widowControl/>
              <w:jc w:val="center"/>
              <w:outlineLvl w:val="1"/>
              <w:rPr>
                <w:rFonts w:hint="eastAsia" w:ascii="仿宋" w:hAnsi="仿宋" w:eastAsia="仿宋" w:cs="仿宋"/>
                <w:kern w:val="0"/>
                <w:sz w:val="18"/>
                <w:szCs w:val="18"/>
              </w:rPr>
            </w:pP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403" w:type="dxa"/>
            <w:vAlign w:val="center"/>
          </w:tcPr>
          <w:p>
            <w:pPr>
              <w:widowControl/>
              <w:jc w:val="center"/>
              <w:outlineLvl w:val="1"/>
              <w:rPr>
                <w:rFonts w:hint="eastAsia" w:ascii="仿宋" w:hAnsi="仿宋" w:eastAsia="仿宋" w:cs="仿宋"/>
                <w:kern w:val="0"/>
                <w:sz w:val="18"/>
                <w:szCs w:val="18"/>
              </w:rPr>
            </w:pPr>
          </w:p>
        </w:tc>
        <w:tc>
          <w:tcPr>
            <w:tcW w:w="1242" w:type="dxa"/>
            <w:vAlign w:val="center"/>
          </w:tcPr>
          <w:p>
            <w:pPr>
              <w:widowControl/>
              <w:jc w:val="center"/>
              <w:outlineLvl w:val="1"/>
              <w:rPr>
                <w:rFonts w:hint="eastAsia" w:ascii="仿宋" w:hAnsi="仿宋" w:eastAsia="仿宋" w:cs="仿宋"/>
                <w:kern w:val="0"/>
                <w:sz w:val="18"/>
                <w:szCs w:val="18"/>
              </w:rPr>
            </w:pPr>
          </w:p>
        </w:tc>
        <w:tc>
          <w:tcPr>
            <w:tcW w:w="1629" w:type="dxa"/>
            <w:vAlign w:val="center"/>
          </w:tcPr>
          <w:p>
            <w:pPr>
              <w:widowControl/>
              <w:jc w:val="center"/>
              <w:outlineLvl w:val="1"/>
              <w:rPr>
                <w:rFonts w:hint="eastAsia" w:ascii="仿宋" w:hAnsi="仿宋" w:eastAsia="仿宋" w:cs="仿宋"/>
                <w:kern w:val="0"/>
                <w:sz w:val="18"/>
                <w:szCs w:val="18"/>
              </w:rPr>
            </w:pPr>
          </w:p>
        </w:tc>
        <w:tc>
          <w:tcPr>
            <w:tcW w:w="613" w:type="dxa"/>
            <w:vAlign w:val="center"/>
          </w:tcPr>
          <w:p>
            <w:pPr>
              <w:widowControl/>
              <w:jc w:val="center"/>
              <w:outlineLvl w:val="1"/>
              <w:rPr>
                <w:rFonts w:hint="eastAsia" w:ascii="仿宋" w:hAnsi="仿宋" w:eastAsia="仿宋" w:cs="仿宋"/>
                <w:kern w:val="0"/>
                <w:sz w:val="18"/>
                <w:szCs w:val="18"/>
              </w:rPr>
            </w:pPr>
          </w:p>
        </w:tc>
        <w:tc>
          <w:tcPr>
            <w:tcW w:w="581"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419" w:type="dxa"/>
            <w:vAlign w:val="center"/>
          </w:tcPr>
          <w:p>
            <w:pPr>
              <w:widowControl/>
              <w:jc w:val="center"/>
              <w:outlineLvl w:val="1"/>
              <w:rPr>
                <w:rFonts w:hint="eastAsia" w:ascii="仿宋" w:hAnsi="仿宋" w:eastAsia="仿宋" w:cs="仿宋"/>
                <w:kern w:val="0"/>
                <w:sz w:val="18"/>
                <w:szCs w:val="18"/>
              </w:rPr>
            </w:pPr>
          </w:p>
        </w:tc>
        <w:tc>
          <w:tcPr>
            <w:tcW w:w="532" w:type="dxa"/>
            <w:vAlign w:val="center"/>
          </w:tcPr>
          <w:p>
            <w:pPr>
              <w:widowControl/>
              <w:jc w:val="center"/>
              <w:outlineLvl w:val="1"/>
              <w:rPr>
                <w:rFonts w:hint="eastAsia" w:ascii="仿宋" w:hAnsi="仿宋" w:eastAsia="仿宋" w:cs="仿宋"/>
                <w:kern w:val="0"/>
                <w:sz w:val="18"/>
                <w:szCs w:val="18"/>
              </w:rPr>
            </w:pPr>
          </w:p>
        </w:tc>
        <w:tc>
          <w:tcPr>
            <w:tcW w:w="581" w:type="dxa"/>
            <w:gridSpan w:val="2"/>
            <w:vAlign w:val="center"/>
          </w:tcPr>
          <w:p>
            <w:pPr>
              <w:widowControl/>
              <w:jc w:val="center"/>
              <w:outlineLvl w:val="1"/>
              <w:rPr>
                <w:rFonts w:hint="eastAsia" w:ascii="仿宋" w:hAnsi="仿宋" w:eastAsia="仿宋" w:cs="仿宋"/>
                <w:kern w:val="0"/>
                <w:sz w:val="18"/>
                <w:szCs w:val="18"/>
              </w:rPr>
            </w:pPr>
          </w:p>
        </w:tc>
        <w:tc>
          <w:tcPr>
            <w:tcW w:w="323" w:type="dxa"/>
            <w:vAlign w:val="center"/>
          </w:tcPr>
          <w:p>
            <w:pPr>
              <w:widowControl/>
              <w:jc w:val="center"/>
              <w:outlineLvl w:val="1"/>
              <w:rPr>
                <w:rFonts w:hint="eastAsia" w:ascii="仿宋" w:hAnsi="仿宋" w:eastAsia="仿宋" w:cs="仿宋"/>
                <w:kern w:val="0"/>
                <w:sz w:val="18"/>
                <w:szCs w:val="18"/>
              </w:rPr>
            </w:pPr>
          </w:p>
        </w:tc>
        <w:tc>
          <w:tcPr>
            <w:tcW w:w="629" w:type="dxa"/>
            <w:vAlign w:val="center"/>
          </w:tcPr>
          <w:p>
            <w:pPr>
              <w:widowControl/>
              <w:jc w:val="center"/>
              <w:outlineLvl w:val="1"/>
              <w:rPr>
                <w:rFonts w:hint="eastAsia" w:ascii="仿宋" w:hAnsi="仿宋" w:eastAsia="仿宋" w:cs="仿宋"/>
                <w:kern w:val="0"/>
                <w:sz w:val="18"/>
                <w:szCs w:val="18"/>
              </w:rPr>
            </w:pPr>
          </w:p>
        </w:tc>
        <w:tc>
          <w:tcPr>
            <w:tcW w:w="338" w:type="dxa"/>
            <w:vAlign w:val="center"/>
          </w:tcPr>
          <w:p>
            <w:pPr>
              <w:widowControl/>
              <w:jc w:val="center"/>
              <w:outlineLvl w:val="1"/>
              <w:rPr>
                <w:rFonts w:hint="eastAsia" w:ascii="仿宋" w:hAnsi="仿宋" w:eastAsia="仿宋" w:cs="仿宋"/>
                <w:kern w:val="0"/>
                <w:sz w:val="18"/>
                <w:szCs w:val="18"/>
              </w:rPr>
            </w:pPr>
          </w:p>
        </w:tc>
        <w:tc>
          <w:tcPr>
            <w:tcW w:w="344" w:type="dxa"/>
            <w:vAlign w:val="center"/>
          </w:tcPr>
          <w:p>
            <w:pPr>
              <w:widowControl/>
              <w:jc w:val="center"/>
              <w:outlineLvl w:val="1"/>
              <w:rPr>
                <w:rFonts w:hint="eastAsia" w:ascii="仿宋" w:hAnsi="仿宋" w:eastAsia="仿宋" w:cs="仿宋"/>
                <w:kern w:val="0"/>
                <w:sz w:val="18"/>
                <w:szCs w:val="18"/>
              </w:rPr>
            </w:pPr>
          </w:p>
        </w:tc>
        <w:tc>
          <w:tcPr>
            <w:tcW w:w="468" w:type="dxa"/>
            <w:gridSpan w:val="2"/>
            <w:vAlign w:val="center"/>
          </w:tcPr>
          <w:p>
            <w:pPr>
              <w:widowControl/>
              <w:jc w:val="center"/>
              <w:outlineLvl w:val="1"/>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ascii="仿宋_GB2312" w:hAnsi="宋体" w:eastAsia="仿宋_GB2312"/>
                <w:kern w:val="0"/>
                <w:sz w:val="32"/>
                <w:szCs w:val="32"/>
              </w:rPr>
            </w:pPr>
          </w:p>
        </w:tc>
        <w:tc>
          <w:tcPr>
            <w:tcW w:w="403" w:type="dxa"/>
            <w:vAlign w:val="center"/>
          </w:tcPr>
          <w:p>
            <w:pPr>
              <w:widowControl/>
              <w:jc w:val="center"/>
              <w:outlineLvl w:val="1"/>
              <w:rPr>
                <w:rFonts w:ascii="仿宋_GB2312" w:hAnsi="宋体" w:eastAsia="仿宋_GB2312"/>
                <w:kern w:val="0"/>
                <w:sz w:val="32"/>
                <w:szCs w:val="32"/>
              </w:rPr>
            </w:pPr>
          </w:p>
        </w:tc>
        <w:tc>
          <w:tcPr>
            <w:tcW w:w="403" w:type="dxa"/>
            <w:vAlign w:val="center"/>
          </w:tcPr>
          <w:p>
            <w:pPr>
              <w:widowControl/>
              <w:jc w:val="center"/>
              <w:outlineLvl w:val="1"/>
              <w:rPr>
                <w:rFonts w:ascii="仿宋_GB2312" w:hAnsi="宋体" w:eastAsia="仿宋_GB2312"/>
                <w:kern w:val="0"/>
                <w:sz w:val="32"/>
                <w:szCs w:val="32"/>
              </w:rPr>
            </w:pPr>
          </w:p>
        </w:tc>
        <w:tc>
          <w:tcPr>
            <w:tcW w:w="1242" w:type="dxa"/>
            <w:vAlign w:val="center"/>
          </w:tcPr>
          <w:p>
            <w:pPr>
              <w:widowControl/>
              <w:jc w:val="center"/>
              <w:outlineLvl w:val="1"/>
              <w:rPr>
                <w:rFonts w:ascii="仿宋_GB2312" w:hAnsi="宋体" w:eastAsia="仿宋_GB2312"/>
                <w:kern w:val="0"/>
                <w:sz w:val="32"/>
                <w:szCs w:val="32"/>
              </w:rPr>
            </w:pPr>
          </w:p>
        </w:tc>
        <w:tc>
          <w:tcPr>
            <w:tcW w:w="1629" w:type="dxa"/>
            <w:vAlign w:val="center"/>
          </w:tcPr>
          <w:p>
            <w:pPr>
              <w:widowControl/>
              <w:jc w:val="center"/>
              <w:outlineLvl w:val="1"/>
              <w:rPr>
                <w:rFonts w:ascii="仿宋_GB2312" w:hAnsi="宋体" w:eastAsia="仿宋_GB2312"/>
                <w:kern w:val="0"/>
                <w:sz w:val="32"/>
                <w:szCs w:val="32"/>
              </w:rPr>
            </w:pPr>
          </w:p>
        </w:tc>
        <w:tc>
          <w:tcPr>
            <w:tcW w:w="613" w:type="dxa"/>
            <w:vAlign w:val="center"/>
          </w:tcPr>
          <w:p>
            <w:pPr>
              <w:widowControl/>
              <w:jc w:val="center"/>
              <w:outlineLvl w:val="1"/>
              <w:rPr>
                <w:rFonts w:ascii="仿宋_GB2312" w:hAnsi="宋体" w:eastAsia="仿宋_GB2312"/>
                <w:kern w:val="0"/>
                <w:sz w:val="32"/>
                <w:szCs w:val="32"/>
              </w:rPr>
            </w:pPr>
          </w:p>
        </w:tc>
        <w:tc>
          <w:tcPr>
            <w:tcW w:w="581" w:type="dxa"/>
            <w:vAlign w:val="center"/>
          </w:tcPr>
          <w:p>
            <w:pPr>
              <w:widowControl/>
              <w:jc w:val="center"/>
              <w:outlineLvl w:val="1"/>
              <w:rPr>
                <w:rFonts w:ascii="仿宋_GB2312" w:hAnsi="宋体" w:eastAsia="仿宋_GB2312"/>
                <w:kern w:val="0"/>
                <w:sz w:val="32"/>
                <w:szCs w:val="32"/>
              </w:rPr>
            </w:pPr>
          </w:p>
        </w:tc>
        <w:tc>
          <w:tcPr>
            <w:tcW w:w="532" w:type="dxa"/>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32" w:type="dxa"/>
            <w:vAlign w:val="center"/>
          </w:tcPr>
          <w:p>
            <w:pPr>
              <w:widowControl/>
              <w:jc w:val="center"/>
              <w:outlineLvl w:val="1"/>
              <w:rPr>
                <w:rFonts w:ascii="仿宋_GB2312" w:hAnsi="宋体" w:eastAsia="仿宋_GB2312"/>
                <w:kern w:val="0"/>
                <w:sz w:val="32"/>
                <w:szCs w:val="32"/>
              </w:rPr>
            </w:pPr>
          </w:p>
        </w:tc>
        <w:tc>
          <w:tcPr>
            <w:tcW w:w="581" w:type="dxa"/>
            <w:gridSpan w:val="2"/>
            <w:vAlign w:val="center"/>
          </w:tcPr>
          <w:p>
            <w:pPr>
              <w:widowControl/>
              <w:jc w:val="center"/>
              <w:outlineLvl w:val="1"/>
              <w:rPr>
                <w:rFonts w:ascii="仿宋_GB2312" w:hAnsi="宋体" w:eastAsia="仿宋_GB2312"/>
                <w:kern w:val="0"/>
                <w:sz w:val="32"/>
                <w:szCs w:val="32"/>
              </w:rPr>
            </w:pPr>
          </w:p>
        </w:tc>
        <w:tc>
          <w:tcPr>
            <w:tcW w:w="323" w:type="dxa"/>
            <w:vAlign w:val="center"/>
          </w:tcPr>
          <w:p>
            <w:pPr>
              <w:widowControl/>
              <w:jc w:val="center"/>
              <w:outlineLvl w:val="1"/>
              <w:rPr>
                <w:rFonts w:ascii="仿宋_GB2312" w:hAnsi="宋体" w:eastAsia="仿宋_GB2312"/>
                <w:kern w:val="0"/>
                <w:sz w:val="32"/>
                <w:szCs w:val="32"/>
              </w:rPr>
            </w:pPr>
          </w:p>
        </w:tc>
        <w:tc>
          <w:tcPr>
            <w:tcW w:w="629" w:type="dxa"/>
            <w:vAlign w:val="center"/>
          </w:tcPr>
          <w:p>
            <w:pPr>
              <w:widowControl/>
              <w:jc w:val="center"/>
              <w:outlineLvl w:val="1"/>
              <w:rPr>
                <w:rFonts w:ascii="仿宋_GB2312" w:hAnsi="宋体" w:eastAsia="仿宋_GB2312"/>
                <w:kern w:val="0"/>
                <w:sz w:val="32"/>
                <w:szCs w:val="32"/>
              </w:rPr>
            </w:pPr>
          </w:p>
        </w:tc>
        <w:tc>
          <w:tcPr>
            <w:tcW w:w="338" w:type="dxa"/>
            <w:vAlign w:val="center"/>
          </w:tcPr>
          <w:p>
            <w:pPr>
              <w:widowControl/>
              <w:jc w:val="center"/>
              <w:outlineLvl w:val="1"/>
              <w:rPr>
                <w:rFonts w:ascii="仿宋_GB2312" w:hAnsi="宋体" w:eastAsia="仿宋_GB2312"/>
                <w:kern w:val="0"/>
                <w:sz w:val="32"/>
                <w:szCs w:val="32"/>
              </w:rPr>
            </w:pPr>
          </w:p>
        </w:tc>
        <w:tc>
          <w:tcPr>
            <w:tcW w:w="344" w:type="dxa"/>
            <w:vAlign w:val="center"/>
          </w:tcPr>
          <w:p>
            <w:pPr>
              <w:widowControl/>
              <w:jc w:val="center"/>
              <w:outlineLvl w:val="1"/>
              <w:rPr>
                <w:rFonts w:ascii="仿宋_GB2312" w:hAnsi="宋体" w:eastAsia="仿宋_GB2312"/>
                <w:kern w:val="0"/>
                <w:sz w:val="32"/>
                <w:szCs w:val="32"/>
              </w:rPr>
            </w:pPr>
          </w:p>
        </w:tc>
        <w:tc>
          <w:tcPr>
            <w:tcW w:w="468"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ascii="仿宋_GB2312" w:hAnsi="宋体" w:eastAsia="仿宋_GB2312"/>
                <w:kern w:val="0"/>
                <w:sz w:val="32"/>
                <w:szCs w:val="32"/>
              </w:rPr>
            </w:pPr>
          </w:p>
        </w:tc>
        <w:tc>
          <w:tcPr>
            <w:tcW w:w="403" w:type="dxa"/>
            <w:vAlign w:val="center"/>
          </w:tcPr>
          <w:p>
            <w:pPr>
              <w:widowControl/>
              <w:jc w:val="center"/>
              <w:outlineLvl w:val="1"/>
              <w:rPr>
                <w:rFonts w:ascii="仿宋_GB2312" w:hAnsi="宋体" w:eastAsia="仿宋_GB2312"/>
                <w:kern w:val="0"/>
                <w:sz w:val="32"/>
                <w:szCs w:val="32"/>
              </w:rPr>
            </w:pPr>
          </w:p>
        </w:tc>
        <w:tc>
          <w:tcPr>
            <w:tcW w:w="403" w:type="dxa"/>
            <w:vAlign w:val="center"/>
          </w:tcPr>
          <w:p>
            <w:pPr>
              <w:widowControl/>
              <w:jc w:val="center"/>
              <w:outlineLvl w:val="1"/>
              <w:rPr>
                <w:rFonts w:ascii="仿宋_GB2312" w:hAnsi="宋体" w:eastAsia="仿宋_GB2312"/>
                <w:kern w:val="0"/>
                <w:sz w:val="32"/>
                <w:szCs w:val="32"/>
              </w:rPr>
            </w:pPr>
          </w:p>
        </w:tc>
        <w:tc>
          <w:tcPr>
            <w:tcW w:w="1242" w:type="dxa"/>
            <w:vAlign w:val="center"/>
          </w:tcPr>
          <w:p>
            <w:pPr>
              <w:widowControl/>
              <w:jc w:val="center"/>
              <w:outlineLvl w:val="1"/>
              <w:rPr>
                <w:rFonts w:ascii="仿宋_GB2312" w:hAnsi="宋体" w:eastAsia="仿宋_GB2312"/>
                <w:kern w:val="0"/>
                <w:sz w:val="32"/>
                <w:szCs w:val="32"/>
              </w:rPr>
            </w:pPr>
          </w:p>
        </w:tc>
        <w:tc>
          <w:tcPr>
            <w:tcW w:w="1629" w:type="dxa"/>
            <w:vAlign w:val="center"/>
          </w:tcPr>
          <w:p>
            <w:pPr>
              <w:widowControl/>
              <w:jc w:val="center"/>
              <w:outlineLvl w:val="1"/>
              <w:rPr>
                <w:rFonts w:ascii="仿宋_GB2312" w:hAnsi="宋体" w:eastAsia="仿宋_GB2312"/>
                <w:kern w:val="0"/>
                <w:sz w:val="32"/>
                <w:szCs w:val="32"/>
              </w:rPr>
            </w:pPr>
          </w:p>
        </w:tc>
        <w:tc>
          <w:tcPr>
            <w:tcW w:w="613" w:type="dxa"/>
            <w:vAlign w:val="center"/>
          </w:tcPr>
          <w:p>
            <w:pPr>
              <w:widowControl/>
              <w:jc w:val="center"/>
              <w:outlineLvl w:val="1"/>
              <w:rPr>
                <w:rFonts w:ascii="仿宋_GB2312" w:hAnsi="宋体" w:eastAsia="仿宋_GB2312"/>
                <w:kern w:val="0"/>
                <w:sz w:val="32"/>
                <w:szCs w:val="32"/>
              </w:rPr>
            </w:pPr>
          </w:p>
        </w:tc>
        <w:tc>
          <w:tcPr>
            <w:tcW w:w="581" w:type="dxa"/>
            <w:vAlign w:val="center"/>
          </w:tcPr>
          <w:p>
            <w:pPr>
              <w:widowControl/>
              <w:jc w:val="center"/>
              <w:outlineLvl w:val="1"/>
              <w:rPr>
                <w:rFonts w:ascii="仿宋_GB2312" w:hAnsi="宋体" w:eastAsia="仿宋_GB2312"/>
                <w:kern w:val="0"/>
                <w:sz w:val="32"/>
                <w:szCs w:val="32"/>
              </w:rPr>
            </w:pPr>
          </w:p>
        </w:tc>
        <w:tc>
          <w:tcPr>
            <w:tcW w:w="532" w:type="dxa"/>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32" w:type="dxa"/>
            <w:vAlign w:val="center"/>
          </w:tcPr>
          <w:p>
            <w:pPr>
              <w:widowControl/>
              <w:jc w:val="center"/>
              <w:outlineLvl w:val="1"/>
              <w:rPr>
                <w:rFonts w:ascii="仿宋_GB2312" w:hAnsi="宋体" w:eastAsia="仿宋_GB2312"/>
                <w:kern w:val="0"/>
                <w:sz w:val="32"/>
                <w:szCs w:val="32"/>
              </w:rPr>
            </w:pPr>
          </w:p>
        </w:tc>
        <w:tc>
          <w:tcPr>
            <w:tcW w:w="581" w:type="dxa"/>
            <w:gridSpan w:val="2"/>
            <w:vAlign w:val="center"/>
          </w:tcPr>
          <w:p>
            <w:pPr>
              <w:widowControl/>
              <w:jc w:val="center"/>
              <w:outlineLvl w:val="1"/>
              <w:rPr>
                <w:rFonts w:ascii="仿宋_GB2312" w:hAnsi="宋体" w:eastAsia="仿宋_GB2312"/>
                <w:kern w:val="0"/>
                <w:sz w:val="32"/>
                <w:szCs w:val="32"/>
              </w:rPr>
            </w:pPr>
          </w:p>
        </w:tc>
        <w:tc>
          <w:tcPr>
            <w:tcW w:w="323" w:type="dxa"/>
            <w:vAlign w:val="center"/>
          </w:tcPr>
          <w:p>
            <w:pPr>
              <w:widowControl/>
              <w:jc w:val="center"/>
              <w:outlineLvl w:val="1"/>
              <w:rPr>
                <w:rFonts w:ascii="仿宋_GB2312" w:hAnsi="宋体" w:eastAsia="仿宋_GB2312"/>
                <w:kern w:val="0"/>
                <w:sz w:val="32"/>
                <w:szCs w:val="32"/>
              </w:rPr>
            </w:pPr>
          </w:p>
        </w:tc>
        <w:tc>
          <w:tcPr>
            <w:tcW w:w="629" w:type="dxa"/>
            <w:vAlign w:val="center"/>
          </w:tcPr>
          <w:p>
            <w:pPr>
              <w:widowControl/>
              <w:jc w:val="center"/>
              <w:outlineLvl w:val="1"/>
              <w:rPr>
                <w:rFonts w:ascii="仿宋_GB2312" w:hAnsi="宋体" w:eastAsia="仿宋_GB2312"/>
                <w:kern w:val="0"/>
                <w:sz w:val="32"/>
                <w:szCs w:val="32"/>
              </w:rPr>
            </w:pPr>
          </w:p>
        </w:tc>
        <w:tc>
          <w:tcPr>
            <w:tcW w:w="338" w:type="dxa"/>
            <w:vAlign w:val="center"/>
          </w:tcPr>
          <w:p>
            <w:pPr>
              <w:widowControl/>
              <w:jc w:val="center"/>
              <w:outlineLvl w:val="1"/>
              <w:rPr>
                <w:rFonts w:ascii="仿宋_GB2312" w:hAnsi="宋体" w:eastAsia="仿宋_GB2312"/>
                <w:kern w:val="0"/>
                <w:sz w:val="32"/>
                <w:szCs w:val="32"/>
              </w:rPr>
            </w:pPr>
          </w:p>
        </w:tc>
        <w:tc>
          <w:tcPr>
            <w:tcW w:w="344" w:type="dxa"/>
            <w:vAlign w:val="center"/>
          </w:tcPr>
          <w:p>
            <w:pPr>
              <w:widowControl/>
              <w:jc w:val="center"/>
              <w:outlineLvl w:val="1"/>
              <w:rPr>
                <w:rFonts w:ascii="仿宋_GB2312" w:hAnsi="宋体" w:eastAsia="仿宋_GB2312"/>
                <w:kern w:val="0"/>
                <w:sz w:val="32"/>
                <w:szCs w:val="32"/>
              </w:rPr>
            </w:pPr>
          </w:p>
        </w:tc>
        <w:tc>
          <w:tcPr>
            <w:tcW w:w="468"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vAlign w:val="center"/>
          </w:tcPr>
          <w:p>
            <w:pPr>
              <w:widowControl/>
              <w:jc w:val="center"/>
              <w:outlineLvl w:val="1"/>
              <w:rPr>
                <w:rFonts w:ascii="仿宋_GB2312" w:hAnsi="宋体" w:eastAsia="仿宋_GB2312"/>
                <w:kern w:val="0"/>
                <w:sz w:val="21"/>
                <w:szCs w:val="21"/>
              </w:rPr>
            </w:pPr>
          </w:p>
        </w:tc>
        <w:tc>
          <w:tcPr>
            <w:tcW w:w="403" w:type="dxa"/>
            <w:vAlign w:val="center"/>
          </w:tcPr>
          <w:p>
            <w:pPr>
              <w:widowControl/>
              <w:jc w:val="center"/>
              <w:outlineLvl w:val="1"/>
              <w:rPr>
                <w:rFonts w:ascii="仿宋_GB2312" w:hAnsi="宋体" w:eastAsia="仿宋_GB2312"/>
                <w:kern w:val="0"/>
                <w:sz w:val="21"/>
                <w:szCs w:val="21"/>
              </w:rPr>
            </w:pPr>
          </w:p>
        </w:tc>
        <w:tc>
          <w:tcPr>
            <w:tcW w:w="403" w:type="dxa"/>
            <w:vAlign w:val="center"/>
          </w:tcPr>
          <w:p>
            <w:pPr>
              <w:widowControl/>
              <w:jc w:val="center"/>
              <w:outlineLvl w:val="1"/>
              <w:rPr>
                <w:rFonts w:ascii="仿宋_GB2312" w:hAnsi="宋体" w:eastAsia="仿宋_GB2312"/>
                <w:kern w:val="0"/>
                <w:sz w:val="21"/>
                <w:szCs w:val="21"/>
              </w:rPr>
            </w:pPr>
          </w:p>
        </w:tc>
        <w:tc>
          <w:tcPr>
            <w:tcW w:w="1242" w:type="dxa"/>
            <w:vAlign w:val="center"/>
          </w:tcPr>
          <w:p>
            <w:pPr>
              <w:widowControl/>
              <w:jc w:val="center"/>
              <w:outlineLvl w:val="1"/>
              <w:rPr>
                <w:rFonts w:ascii="仿宋_GB2312" w:hAnsi="宋体" w:eastAsia="仿宋_GB2312"/>
                <w:kern w:val="0"/>
                <w:sz w:val="21"/>
                <w:szCs w:val="21"/>
              </w:rPr>
            </w:pPr>
          </w:p>
        </w:tc>
        <w:tc>
          <w:tcPr>
            <w:tcW w:w="1629" w:type="dxa"/>
            <w:vAlign w:val="center"/>
          </w:tcPr>
          <w:p>
            <w:pPr>
              <w:widowControl/>
              <w:jc w:val="center"/>
              <w:outlineLvl w:val="1"/>
              <w:rPr>
                <w:rFonts w:ascii="仿宋_GB2312" w:hAnsi="宋体" w:eastAsia="仿宋_GB2312"/>
                <w:kern w:val="0"/>
                <w:sz w:val="21"/>
                <w:szCs w:val="21"/>
              </w:rPr>
            </w:pPr>
            <w:r>
              <w:rPr>
                <w:rFonts w:hint="eastAsia" w:ascii="仿宋_GB2312" w:hAnsi="宋体" w:eastAsia="仿宋_GB2312"/>
                <w:b/>
                <w:bCs/>
                <w:kern w:val="0"/>
                <w:sz w:val="21"/>
                <w:szCs w:val="21"/>
              </w:rPr>
              <w:t>合 计</w:t>
            </w:r>
          </w:p>
        </w:tc>
        <w:tc>
          <w:tcPr>
            <w:tcW w:w="613" w:type="dxa"/>
            <w:vAlign w:val="center"/>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170</w:t>
            </w:r>
          </w:p>
        </w:tc>
        <w:tc>
          <w:tcPr>
            <w:tcW w:w="581" w:type="dxa"/>
            <w:vAlign w:val="center"/>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20</w:t>
            </w:r>
          </w:p>
        </w:tc>
        <w:tc>
          <w:tcPr>
            <w:tcW w:w="532" w:type="dxa"/>
            <w:vAlign w:val="center"/>
          </w:tcPr>
          <w:p>
            <w:pPr>
              <w:widowControl/>
              <w:jc w:val="center"/>
              <w:outlineLvl w:val="1"/>
              <w:rPr>
                <w:rFonts w:hint="default" w:ascii="仿宋_GB2312" w:hAnsi="宋体" w:eastAsia="仿宋_GB2312"/>
                <w:kern w:val="0"/>
                <w:sz w:val="21"/>
                <w:szCs w:val="21"/>
                <w:lang w:val="en-US" w:eastAsia="zh-CN"/>
              </w:rPr>
            </w:pPr>
            <w:r>
              <w:rPr>
                <w:rFonts w:hint="eastAsia" w:ascii="仿宋_GB2312" w:hAnsi="宋体" w:eastAsia="仿宋_GB2312"/>
                <w:kern w:val="0"/>
                <w:sz w:val="21"/>
                <w:szCs w:val="21"/>
                <w:lang w:val="en-US" w:eastAsia="zh-CN"/>
              </w:rPr>
              <w:t>150</w:t>
            </w:r>
          </w:p>
        </w:tc>
        <w:tc>
          <w:tcPr>
            <w:tcW w:w="419" w:type="dxa"/>
            <w:vAlign w:val="center"/>
          </w:tcPr>
          <w:p>
            <w:pPr>
              <w:widowControl/>
              <w:jc w:val="center"/>
              <w:outlineLvl w:val="1"/>
              <w:rPr>
                <w:rFonts w:ascii="仿宋_GB2312" w:hAnsi="宋体" w:eastAsia="仿宋_GB2312"/>
                <w:kern w:val="0"/>
                <w:sz w:val="21"/>
                <w:szCs w:val="21"/>
              </w:rPr>
            </w:pPr>
          </w:p>
        </w:tc>
        <w:tc>
          <w:tcPr>
            <w:tcW w:w="532" w:type="dxa"/>
            <w:vAlign w:val="center"/>
          </w:tcPr>
          <w:p>
            <w:pPr>
              <w:widowControl/>
              <w:jc w:val="center"/>
              <w:outlineLvl w:val="1"/>
              <w:rPr>
                <w:rFonts w:ascii="仿宋_GB2312" w:hAnsi="宋体" w:eastAsia="仿宋_GB2312"/>
                <w:kern w:val="0"/>
                <w:sz w:val="21"/>
                <w:szCs w:val="21"/>
              </w:rPr>
            </w:pPr>
          </w:p>
        </w:tc>
        <w:tc>
          <w:tcPr>
            <w:tcW w:w="581" w:type="dxa"/>
            <w:gridSpan w:val="2"/>
            <w:vAlign w:val="center"/>
          </w:tcPr>
          <w:p>
            <w:pPr>
              <w:widowControl/>
              <w:jc w:val="center"/>
              <w:outlineLvl w:val="1"/>
              <w:rPr>
                <w:rFonts w:ascii="仿宋_GB2312" w:hAnsi="宋体" w:eastAsia="仿宋_GB2312"/>
                <w:kern w:val="0"/>
                <w:sz w:val="21"/>
                <w:szCs w:val="21"/>
              </w:rPr>
            </w:pPr>
          </w:p>
        </w:tc>
        <w:tc>
          <w:tcPr>
            <w:tcW w:w="323" w:type="dxa"/>
            <w:vAlign w:val="center"/>
          </w:tcPr>
          <w:p>
            <w:pPr>
              <w:widowControl/>
              <w:jc w:val="center"/>
              <w:outlineLvl w:val="1"/>
              <w:rPr>
                <w:rFonts w:ascii="仿宋_GB2312" w:hAnsi="宋体" w:eastAsia="仿宋_GB2312"/>
                <w:kern w:val="0"/>
                <w:sz w:val="21"/>
                <w:szCs w:val="21"/>
              </w:rPr>
            </w:pPr>
          </w:p>
        </w:tc>
        <w:tc>
          <w:tcPr>
            <w:tcW w:w="629" w:type="dxa"/>
            <w:vAlign w:val="center"/>
          </w:tcPr>
          <w:p>
            <w:pPr>
              <w:widowControl/>
              <w:jc w:val="center"/>
              <w:outlineLvl w:val="1"/>
              <w:rPr>
                <w:rFonts w:ascii="仿宋_GB2312" w:hAnsi="宋体" w:eastAsia="仿宋_GB2312"/>
                <w:kern w:val="0"/>
                <w:sz w:val="21"/>
                <w:szCs w:val="21"/>
              </w:rPr>
            </w:pPr>
          </w:p>
        </w:tc>
        <w:tc>
          <w:tcPr>
            <w:tcW w:w="338" w:type="dxa"/>
            <w:vAlign w:val="center"/>
          </w:tcPr>
          <w:p>
            <w:pPr>
              <w:widowControl/>
              <w:jc w:val="center"/>
              <w:outlineLvl w:val="1"/>
              <w:rPr>
                <w:rFonts w:ascii="仿宋_GB2312" w:hAnsi="宋体" w:eastAsia="仿宋_GB2312"/>
                <w:kern w:val="0"/>
                <w:sz w:val="21"/>
                <w:szCs w:val="21"/>
              </w:rPr>
            </w:pPr>
          </w:p>
        </w:tc>
        <w:tc>
          <w:tcPr>
            <w:tcW w:w="344" w:type="dxa"/>
            <w:vAlign w:val="center"/>
          </w:tcPr>
          <w:p>
            <w:pPr>
              <w:widowControl/>
              <w:jc w:val="center"/>
              <w:outlineLvl w:val="1"/>
              <w:rPr>
                <w:rFonts w:ascii="仿宋_GB2312" w:hAnsi="宋体" w:eastAsia="仿宋_GB2312"/>
                <w:kern w:val="0"/>
                <w:sz w:val="21"/>
                <w:szCs w:val="21"/>
              </w:rPr>
            </w:pPr>
          </w:p>
        </w:tc>
        <w:tc>
          <w:tcPr>
            <w:tcW w:w="468" w:type="dxa"/>
            <w:gridSpan w:val="2"/>
            <w:vAlign w:val="center"/>
          </w:tcPr>
          <w:p>
            <w:pPr>
              <w:widowControl/>
              <w:jc w:val="center"/>
              <w:outlineLvl w:val="1"/>
              <w:rPr>
                <w:rFonts w:ascii="仿宋_GB2312" w:hAnsi="宋体" w:eastAsia="仿宋_GB2312"/>
                <w:kern w:val="0"/>
                <w:sz w:val="21"/>
                <w:szCs w:val="21"/>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2.17</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2.17</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0.17</w:t>
            </w: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 w:hAnsi="仿宋" w:eastAsia="仿宋" w:cs="仿宋"/>
          <w:b/>
          <w:bCs/>
          <w:sz w:val="24"/>
          <w:szCs w:val="24"/>
        </w:rPr>
        <w:t>昌吉州人民政府电子政务办公室</w:t>
      </w:r>
      <w:r>
        <w:rPr>
          <w:rFonts w:hint="eastAsia" w:ascii="仿宋" w:hAnsi="仿宋" w:eastAsia="仿宋" w:cs="仿宋"/>
          <w:b/>
          <w:bCs/>
          <w:kern w:val="0"/>
          <w:sz w:val="24"/>
          <w:szCs w:val="24"/>
        </w:rPr>
        <w:t>2022年没有使用政府性基金预算拨款安排的支出，政府性基金预算支出情况表为空表。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昌吉州政府电子政务办公室</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314.96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314.96万元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276.26万元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14.41万元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11.32万元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12.97万元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昌吉州政府电子政务办公室</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314.96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314.96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5.95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val="en-US" w:eastAsia="zh-CN"/>
        </w:rPr>
        <w:t>一</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val="en-US" w:eastAsia="zh-CN"/>
        </w:rPr>
        <w:t>虽然人员经费中人员工资与津补贴有进一步增长，但是取消了伙食补助费科目，大幅减小了预算开支；二是住房公积金在住房保障支出中单独列支；三是依据八项规定公用经费预算也有一定程度的压减</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昌吉州政府电子政务办公室</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314.96</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144.96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46</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5.95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val="en-US" w:eastAsia="zh-CN"/>
        </w:rPr>
        <w:t>一</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val="en-US" w:eastAsia="zh-CN"/>
        </w:rPr>
        <w:t>虽然人员经费中人员工资与津补贴有进一步增长，但是取消了伙食补助费科目，大幅减小了预算开支；二是住房公积金在住房保障支出中单独列支；三是依据八项规定公用经费预算也有一定程度的压减</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170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项目预算严格按照项目立项依据执行</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昌吉州政府电子政务办公室</w:t>
      </w: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314.96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314.96</w:t>
      </w:r>
      <w:r>
        <w:rPr>
          <w:rFonts w:hint="eastAsia" w:ascii="仿宋_GB2312" w:hAnsi="宋体" w:eastAsia="仿宋_GB2312" w:cs="宋体"/>
          <w:kern w:val="0"/>
          <w:sz w:val="32"/>
          <w:szCs w:val="32"/>
        </w:rPr>
        <w:t>万元。</w:t>
      </w:r>
    </w:p>
    <w:p>
      <w:pPr>
        <w:spacing w:line="560" w:lineRule="exact"/>
        <w:ind w:firstLine="640" w:firstLineChars="200"/>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276.26</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政府办公厅（室）及相关机构事务；社会保障和就业支出14.41万元，主要用于行政事业单位养老支出；卫生健康支出11.32万元，主要用于行政事业单位医疗；住房保障支出12.97万元，主要用于住房改革支出。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昌吉州政府电子政务办公室</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314.96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144.96</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比上年预算减少</w:t>
      </w:r>
      <w:r>
        <w:rPr>
          <w:rFonts w:hint="eastAsia" w:ascii="仿宋_GB2312" w:hAnsi="宋体" w:eastAsia="仿宋_GB2312" w:cs="宋体"/>
          <w:kern w:val="0"/>
          <w:sz w:val="32"/>
          <w:szCs w:val="32"/>
          <w:lang w:val="en-US" w:eastAsia="zh-CN"/>
        </w:rPr>
        <w:t>5.95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val="en-US" w:eastAsia="zh-CN"/>
        </w:rPr>
        <w:t>一</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val="en-US" w:eastAsia="zh-CN"/>
        </w:rPr>
        <w:t>虽然人员经费中人员工资与津补贴有进一步增长，但是取消了伙食补助费科目，大幅减小了预算开支；二是住房公积金在住房保障支出中单独列支；三是依据八项规定公用经费预算也有一定程度的压减</w:t>
      </w:r>
      <w:r>
        <w:rPr>
          <w:rFonts w:hint="eastAsia" w:ascii="仿宋_GB2312" w:hAnsi="宋体" w:eastAsia="仿宋_GB2312" w:cs="宋体"/>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170</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项目预算严格按照项目立项依据执行</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w:t>
      </w:r>
      <w:r>
        <w:rPr>
          <w:rFonts w:hint="eastAsia" w:ascii="仿宋_GB2312" w:hAnsi="仿宋_GB2312" w:eastAsia="仿宋_GB2312" w:cs="仿宋_GB2312"/>
          <w:sz w:val="32"/>
          <w:szCs w:val="32"/>
          <w:lang w:val="en-US" w:eastAsia="zh-CN"/>
        </w:rPr>
        <w:t>支出276.26</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88</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社会保障和就业支出14.41万元，占5%。</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3.卫生健康支出11.32万元，占4%。</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4.住房保障支出12.97万元，占5%。</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宋体" w:eastAsia="仿宋_GB2312" w:cs="宋体"/>
          <w:kern w:val="0"/>
          <w:sz w:val="32"/>
          <w:szCs w:val="32"/>
          <w:lang w:val="en-US" w:eastAsia="zh-CN"/>
        </w:rPr>
        <w:t>一般公共服务支出（类）政府办公厅（室）及相关机构事务（款）事业运行（项）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106.26</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20.04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虽然人员经费中人员工资与津补贴有进一步增长，但是取消了伙食补助费科目，大幅减小了预算开支，另外，依据八项规定公用经费预算也有一定程度的压减</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lang w:val="en-US" w:eastAsia="zh-CN"/>
        </w:rPr>
        <w:t>一般公共服务支出（类）政府办公厅（室）及相关机构事务（款）</w:t>
      </w:r>
      <w:r>
        <w:rPr>
          <w:rFonts w:hint="eastAsia" w:ascii="仿宋_GB2312" w:hAnsi="仿宋_GB2312" w:eastAsia="仿宋_GB2312" w:cs="仿宋_GB2312"/>
          <w:kern w:val="0"/>
          <w:sz w:val="32"/>
          <w:szCs w:val="32"/>
          <w:lang w:val="en-US" w:eastAsia="zh-CN"/>
        </w:rPr>
        <w:t>其他政府办公厅（室）及相关机构事务支出（项）:2022年预算数为170万，比上年预算增加0万元，增长0%，主要原因是</w:t>
      </w:r>
      <w:r>
        <w:rPr>
          <w:rFonts w:hint="eastAsia" w:ascii="仿宋_GB2312" w:hAnsi="宋体" w:eastAsia="仿宋_GB2312" w:cs="宋体"/>
          <w:kern w:val="0"/>
          <w:sz w:val="32"/>
          <w:szCs w:val="32"/>
          <w:lang w:val="en-US" w:eastAsia="zh-CN"/>
        </w:rPr>
        <w:t>项目预算严格按照项目立项依据执行</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社会保障和就业支出（类）行政事业单位养老支出（款）机关事业单位基本养老保险缴费支出（项）：2022年预算数为14.41万元，比上年预算增加0.81万元，增长6%，主要原因是在职人员养老保险缴费随工资水平逐年增加。</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4.卫生健康支出（类）行政事业单位医疗（款）事业单位医疗（项）：2022年预算数为8.56万元，比上年预算增加0.49万元，增长6%，主要原因是在职人员医疗支出随工资水平逐年增加。</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5.卫生健康支出（类）行政事业单位医疗（款）</w:t>
      </w:r>
      <w:r>
        <w:rPr>
          <w:rFonts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：2022年预算数为2.7，比上年增加0.15万元，增长6%，主要原因是在职人员医疗支出随工资水平逐年增加。</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6.卫生健康支出（类）行政事业单位医疗（款）其他行政事业单位医疗支出（项）：2022年预算数为0.06，比上年减少0.33万元，减少85%，主要原因是退休新增1人，相应费用核减。</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7.住房保障支出（类）住房改革支出（款）住房公积金（项）：2022年预算数为12.97，比上年增加12.97万元，增长100%，主要原因是新设项目将住房公积金从事业运行中调整到住房保障支出中进行列支</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val="en-US" w:eastAsia="zh-CN"/>
        </w:rPr>
        <w:t>昌吉州政府电子政务办公室</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144.96</w:t>
      </w:r>
      <w:r>
        <w:rPr>
          <w:rFonts w:hint="eastAsia" w:ascii="仿宋_GB2312" w:hAnsi="宋体" w:eastAsia="仿宋_GB2312" w:cs="宋体"/>
          <w:spacing w:val="-6"/>
          <w:kern w:val="0"/>
          <w:sz w:val="32"/>
          <w:szCs w:val="32"/>
        </w:rPr>
        <w:t>万元， 其中：</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130.14</w:t>
      </w:r>
      <w:r>
        <w:rPr>
          <w:rFonts w:hint="eastAsia" w:ascii="仿宋_GB2312" w:hAnsi="宋体" w:eastAsia="仿宋_GB2312" w:cs="宋体"/>
          <w:kern w:val="0"/>
          <w:sz w:val="32"/>
          <w:szCs w:val="32"/>
        </w:rPr>
        <w:t>万元，主要包括：</w:t>
      </w:r>
      <w:r>
        <w:rPr>
          <w:rFonts w:hint="eastAsia" w:ascii="仿宋_GB2312" w:hAnsi="宋体" w:eastAsia="仿宋_GB2312" w:cs="宋体"/>
          <w:kern w:val="0"/>
          <w:sz w:val="32"/>
          <w:szCs w:val="32"/>
          <w:lang w:val="en-US" w:eastAsia="zh-CN"/>
        </w:rPr>
        <w:t>基本工资43.16万元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津贴补贴9.89万元、奖金3.53万元、绩效工资34.49万元、机关事业单位基本养老保险缴费14.41万元、城镇职工基本医疗保险缴费8.56万元、公务员医疗补助缴费2.7万元、其他社会保险缴费0.44万元、住房公积金12.97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14.82</w:t>
      </w:r>
      <w:r>
        <w:rPr>
          <w:rFonts w:hint="eastAsia" w:ascii="仿宋_GB2312" w:hAnsi="宋体" w:eastAsia="仿宋_GB2312" w:cs="宋体"/>
          <w:kern w:val="0"/>
          <w:sz w:val="32"/>
          <w:szCs w:val="32"/>
        </w:rPr>
        <w:t>万元，主要包括：</w:t>
      </w:r>
      <w:r>
        <w:rPr>
          <w:rFonts w:hint="eastAsia" w:ascii="仿宋_GB2312" w:hAnsi="宋体" w:eastAsia="仿宋_GB2312" w:cs="宋体"/>
          <w:kern w:val="0"/>
          <w:sz w:val="32"/>
          <w:szCs w:val="32"/>
          <w:lang w:val="en-US" w:eastAsia="zh-CN"/>
        </w:rPr>
        <w:t>办公费1.15万元、印刷费0.08万元、水费0.31万元、电费3.59万元、邮电费0.04万元、取暖费1万元、差旅费2.27万元、维修（护）费0.13万元、公务接待费0.17万元、工会经费1.7万元、福利费1.53万元、公务用车运行维护费2万元、其他商品和服务支出0.85万元</w:t>
      </w:r>
      <w:r>
        <w:rPr>
          <w:rFonts w:hint="eastAsia" w:ascii="仿宋_GB2312" w:hAnsi="宋体" w:eastAsia="仿宋_GB2312" w:cs="宋体"/>
          <w:kern w:val="0"/>
          <w:sz w:val="32"/>
          <w:szCs w:val="32"/>
        </w:rPr>
        <w:t>。</w:t>
      </w:r>
    </w:p>
    <w:p>
      <w:pPr>
        <w:spacing w:line="560" w:lineRule="exact"/>
        <w:ind w:firstLine="643" w:firstLineChars="200"/>
        <w:rPr>
          <w:rFonts w:ascii="仿宋_GB2312" w:hAnsi="黑体" w:eastAsia="仿宋_GB2312"/>
          <w:b/>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黑体" w:eastAsia="仿宋_GB2312"/>
          <w:b w:val="0"/>
          <w:bCs/>
          <w:sz w:val="32"/>
          <w:szCs w:val="32"/>
        </w:rPr>
      </w:pPr>
      <w:r>
        <w:rPr>
          <w:rFonts w:hint="eastAsia" w:ascii="仿宋_GB2312" w:hAnsi="黑体" w:eastAsia="仿宋_GB2312"/>
          <w:b w:val="0"/>
          <w:bCs/>
          <w:sz w:val="32"/>
          <w:szCs w:val="32"/>
        </w:rPr>
        <w:t>项目</w:t>
      </w:r>
      <w:r>
        <w:rPr>
          <w:rFonts w:ascii="仿宋_GB2312" w:hAnsi="黑体" w:eastAsia="仿宋_GB2312"/>
          <w:b w:val="0"/>
          <w:bCs/>
          <w:sz w:val="32"/>
          <w:szCs w:val="32"/>
        </w:rPr>
        <w:t>名称</w:t>
      </w:r>
      <w:r>
        <w:rPr>
          <w:rFonts w:hint="eastAsia" w:ascii="仿宋_GB2312" w:hAnsi="黑体" w:eastAsia="仿宋_GB2312"/>
          <w:b w:val="0"/>
          <w:bCs/>
          <w:sz w:val="32"/>
          <w:szCs w:val="32"/>
        </w:rPr>
        <w:t>：</w:t>
      </w:r>
      <w:r>
        <w:rPr>
          <w:rFonts w:hint="eastAsia" w:ascii="仿宋_GB2312" w:hAnsi="宋体" w:eastAsia="仿宋_GB2312" w:cs="宋体"/>
          <w:b w:val="0"/>
          <w:bCs/>
          <w:kern w:val="0"/>
          <w:sz w:val="32"/>
          <w:szCs w:val="32"/>
        </w:rPr>
        <w:t>电子政务办公室全媒体政务互动交流平台运行费项目</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w:t>
      </w:r>
      <w:r>
        <w:rPr>
          <w:rFonts w:hint="eastAsia" w:ascii="仿宋_GB2312" w:hAnsi="宋体" w:eastAsia="仿宋_GB2312" w:cs="宋体"/>
          <w:bCs/>
          <w:kern w:val="0"/>
          <w:sz w:val="32"/>
          <w:szCs w:val="32"/>
        </w:rPr>
        <w:t>国务院办公厅关于加强政府网站信息内容建设的意见》</w:t>
      </w:r>
      <w:r>
        <w:rPr>
          <w:rFonts w:hint="eastAsia" w:ascii="仿宋_GB2312" w:hAnsi="宋体" w:eastAsia="仿宋_GB2312" w:cs="宋体"/>
          <w:kern w:val="0"/>
          <w:sz w:val="32"/>
          <w:szCs w:val="32"/>
        </w:rPr>
        <w:t>国办发〔2014〕57号；</w:t>
      </w:r>
      <w:r>
        <w:rPr>
          <w:rFonts w:hint="eastAsia" w:ascii="仿宋_GB2312" w:hAnsi="黑体" w:eastAsia="仿宋_GB2312"/>
          <w:sz w:val="32"/>
          <w:szCs w:val="32"/>
        </w:rPr>
        <w:t>《</w:t>
      </w:r>
      <w:r>
        <w:rPr>
          <w:rFonts w:hint="eastAsia" w:ascii="仿宋_GB2312" w:hAnsi="宋体" w:eastAsia="仿宋_GB2312" w:cs="宋体"/>
          <w:bCs/>
          <w:kern w:val="0"/>
          <w:sz w:val="32"/>
          <w:szCs w:val="32"/>
        </w:rPr>
        <w:t>国务院办公厅关于印发政府网站发展指引的通知》</w:t>
      </w:r>
      <w:r>
        <w:rPr>
          <w:rFonts w:hint="eastAsia" w:ascii="仿宋_GB2312" w:hAnsi="宋体" w:eastAsia="仿宋_GB2312" w:cs="宋体"/>
          <w:kern w:val="0"/>
          <w:sz w:val="32"/>
          <w:szCs w:val="32"/>
        </w:rPr>
        <w:t xml:space="preserve">国办发〔2017〕47号； </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：昌吉回族自治州人民政府电子政务办公室</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网站维护运行成本8万元、系统设备成本10万元、空调机组设备成本2万元。</w:t>
      </w:r>
    </w:p>
    <w:p>
      <w:pPr>
        <w:spacing w:line="560" w:lineRule="exact"/>
        <w:ind w:firstLine="640" w:firstLineChars="200"/>
        <w:rPr>
          <w:rFonts w:hint="eastAsia" w:ascii="仿宋_GB2312" w:hAnsi="宋体" w:eastAsia="仿宋_GB2312" w:cs="宋体"/>
          <w:b w:val="0"/>
          <w:bCs/>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2021年1-12月</w:t>
      </w:r>
    </w:p>
    <w:p>
      <w:pPr>
        <w:spacing w:line="560" w:lineRule="exact"/>
        <w:ind w:firstLine="640" w:firstLineChars="200"/>
        <w:rPr>
          <w:rFonts w:ascii="仿宋_GB2312" w:hAnsi="宋体" w:eastAsia="仿宋_GB2312" w:cs="宋体"/>
          <w:b w:val="0"/>
          <w:bCs/>
          <w:kern w:val="0"/>
          <w:sz w:val="32"/>
          <w:szCs w:val="32"/>
        </w:rPr>
      </w:pPr>
      <w:r>
        <w:rPr>
          <w:rFonts w:hint="eastAsia" w:ascii="仿宋_GB2312" w:hAnsi="宋体" w:eastAsia="仿宋_GB2312" w:cs="宋体"/>
          <w:b w:val="0"/>
          <w:bCs/>
          <w:kern w:val="0"/>
          <w:sz w:val="32"/>
          <w:szCs w:val="32"/>
        </w:rPr>
        <w:t>项目名称：昌吉州政府网站和政务云平台运维费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：《关于印发“互联网+政务服务”技术体系建设指南的通知》（国办函【2016】108号）  《昌吉回族自治州人民政府电子政务软硬件平台建设实施方案（2018-2020）》</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150万元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：昌吉回族自治州人民政府电子政务办公室</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政府网站运营维护费42万元、云平台维护成本45万元、机房维护成本60万元、其他维护成本3万元。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昌吉州人民政府电子政务办公室</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2.17</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0.17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0.09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无因公出国境业务支出</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无购置公车申请</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车辆年久相关运行支出相应增加</w:t>
      </w:r>
      <w:r>
        <w:rPr>
          <w:rFonts w:hint="eastAsia" w:ascii="仿宋_GB2312" w:hAnsi="宋体" w:eastAsia="仿宋_GB2312" w:cs="宋体"/>
          <w:kern w:val="0"/>
          <w:sz w:val="32"/>
          <w:szCs w:val="32"/>
        </w:rPr>
        <w:t>；公务接待费减少</w:t>
      </w:r>
      <w:r>
        <w:rPr>
          <w:rFonts w:hint="eastAsia" w:ascii="仿宋_GB2312" w:hAnsi="宋体" w:eastAsia="仿宋_GB2312" w:cs="宋体"/>
          <w:kern w:val="0"/>
          <w:sz w:val="32"/>
          <w:szCs w:val="32"/>
          <w:lang w:val="en-US" w:eastAsia="zh-CN"/>
        </w:rPr>
        <w:t>0.01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%，主要原因是中央八项规定压减公用支出。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lang w:val="en-US" w:eastAsia="zh-CN"/>
        </w:rPr>
        <w:t>昌吉州政府电子政务办公室</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黑体" w:eastAsia="仿宋_GB2312"/>
          <w:sz w:val="32"/>
          <w:szCs w:val="32"/>
        </w:rPr>
        <w:t>昌吉州人民政府电子政务办公室</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黑体" w:eastAsia="仿宋_GB2312"/>
          <w:sz w:val="32"/>
          <w:szCs w:val="32"/>
        </w:rPr>
        <w:t>昌吉州人民政府电子政务办公室</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14.82</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1.34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压减公用经费支出</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黑体" w:eastAsia="仿宋_GB2312"/>
          <w:sz w:val="32"/>
          <w:szCs w:val="32"/>
          <w:highlight w:val="none"/>
        </w:rPr>
        <w:t>昌吉州人民政府电子政务办公室</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113.36</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53.75</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59.61</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2022年度本单位面向中小企业预留政府采购项目预算金额</w:t>
      </w:r>
      <w:r>
        <w:rPr>
          <w:rFonts w:hint="eastAsia" w:ascii="仿宋_GB2312" w:hAnsi="仿宋_GB2312" w:eastAsia="仿宋_GB2312" w:cs="仿宋_GB2312"/>
          <w:sz w:val="32"/>
          <w:highlight w:val="none"/>
          <w:lang w:val="en-US" w:eastAsia="zh-CN"/>
        </w:rPr>
        <w:t>113.36</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113.36</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黑体" w:eastAsia="仿宋_GB2312"/>
          <w:sz w:val="32"/>
          <w:szCs w:val="32"/>
        </w:rPr>
        <w:t>昌吉州人民政府电子政务办公室</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车辆1辆，价值28.96万元；其中：一般公务用车1辆，价值28.96万元</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仿宋_GB2312" w:eastAsia="仿宋_GB2312" w:cs="仿宋_GB2312"/>
          <w:kern w:val="0"/>
          <w:sz w:val="32"/>
          <w:szCs w:val="32"/>
          <w:highlight w:val="none"/>
          <w:lang w:val="en-US" w:eastAsia="zh-CN"/>
        </w:rPr>
        <w:t>13.48</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4311.43</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套，单位价值100万元以上大型设备</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170</w:t>
      </w:r>
      <w:r>
        <w:rPr>
          <w:rFonts w:hint="eastAsia" w:ascii="仿宋_GB2312" w:hAnsi="仿宋_GB2312" w:eastAsia="仿宋_GB2312" w:cs="仿宋_GB2312"/>
          <w:kern w:val="0"/>
          <w:sz w:val="32"/>
          <w:szCs w:val="32"/>
        </w:rPr>
        <w:t>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420"/>
        <w:gridCol w:w="1339"/>
        <w:gridCol w:w="136"/>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highlight w:val="none"/>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57"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昌吉回族自治州人民政府电子政务办公室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昌吉州政府网站媒体互联交互安全维护项目</w:t>
            </w:r>
          </w:p>
        </w:tc>
      </w:tr>
      <w:tr>
        <w:tblPrEx>
          <w:tblLayout w:type="fixed"/>
          <w:tblCellMar>
            <w:top w:w="0" w:type="dxa"/>
            <w:left w:w="0" w:type="dxa"/>
            <w:bottom w:w="0" w:type="dxa"/>
            <w:right w:w="0" w:type="dxa"/>
          </w:tblCellMar>
        </w:tblPrEx>
        <w:trPr>
          <w:trHeight w:val="540"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652"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60"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目标1：维护全州网站及服务器数量达到80台；目标2：通过项目实施，提升政民互动的时效性，增强政府工作的透明度和公信力。</w:t>
            </w:r>
          </w:p>
        </w:tc>
      </w:tr>
      <w:tr>
        <w:tblPrEx>
          <w:tblLayout w:type="fixed"/>
          <w:tblCellMar>
            <w:top w:w="0" w:type="dxa"/>
            <w:left w:w="0" w:type="dxa"/>
            <w:bottom w:w="0" w:type="dxa"/>
            <w:right w:w="0" w:type="dxa"/>
          </w:tblCellMar>
        </w:tblPrEx>
        <w:trPr>
          <w:trHeight w:val="480"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借助维护团队维护好州政府网站</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=1个</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维护州政府网站服务器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80个</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州政府网站正常运行率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98%</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系统维护及时率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96%</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系统升级改造时限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2022年12月31日</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网站维护运行成本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8万元</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系统设备成本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10万元</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空调机组设备成本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2万元</w:t>
            </w:r>
          </w:p>
        </w:tc>
      </w:tr>
      <w:tr>
        <w:tblPrEx>
          <w:tblLayout w:type="fixed"/>
          <w:tblCellMar>
            <w:top w:w="0" w:type="dxa"/>
            <w:left w:w="0" w:type="dxa"/>
            <w:bottom w:w="0" w:type="dxa"/>
            <w:right w:w="0" w:type="dxa"/>
          </w:tblCellMar>
        </w:tblPrEx>
        <w:trPr>
          <w:trHeight w:val="440"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提升政民互动的时效性，增强政府工作的透明度和公信力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提高</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长期为党政共建共用、信息资源共享提供保障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长期</w:t>
            </w:r>
          </w:p>
        </w:tc>
      </w:tr>
      <w:tr>
        <w:tblPrEx>
          <w:tblLayout w:type="fixed"/>
          <w:tblCellMar>
            <w:top w:w="0" w:type="dxa"/>
            <w:left w:w="0" w:type="dxa"/>
            <w:bottom w:w="0" w:type="dxa"/>
            <w:right w:w="0" w:type="dxa"/>
          </w:tblCellMar>
        </w:tblPrEx>
        <w:trPr>
          <w:trHeight w:val="440"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网站使用人员满意度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98%</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highlight w:val="none"/>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857"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昌吉回族自治州人民政府电子政务办公室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昌吉州政府网站和政务云平台运维项目</w:t>
            </w:r>
          </w:p>
        </w:tc>
      </w:tr>
      <w:tr>
        <w:tblPrEx>
          <w:tblLayout w:type="fixed"/>
          <w:tblCellMar>
            <w:top w:w="0" w:type="dxa"/>
            <w:left w:w="0" w:type="dxa"/>
            <w:bottom w:w="0" w:type="dxa"/>
            <w:right w:w="0" w:type="dxa"/>
          </w:tblCellMar>
        </w:tblPrEx>
        <w:trPr>
          <w:trHeight w:val="540"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652"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560"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目标1：维护网站和应用平台个数达70个、政务云平台服务器达1500个；目标2：保障政务云平台系统维护率90%。</w:t>
            </w:r>
          </w:p>
        </w:tc>
      </w:tr>
      <w:tr>
        <w:tblPrEx>
          <w:tblLayout w:type="fixed"/>
          <w:tblCellMar>
            <w:top w:w="0" w:type="dxa"/>
            <w:left w:w="0" w:type="dxa"/>
            <w:bottom w:w="0" w:type="dxa"/>
            <w:right w:w="0" w:type="dxa"/>
          </w:tblCellMar>
        </w:tblPrEx>
        <w:trPr>
          <w:trHeight w:val="480"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39"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420" w:type="dxa"/>
            <w:vMerge w:val="restart"/>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39" w:type="dxa"/>
            <w:vMerge w:val="restart"/>
            <w:tcBorders>
              <w:top w:val="single" w:color="auto" w:sz="4" w:space="0"/>
              <w:left w:val="single" w:color="auto" w:sz="4" w:space="0"/>
              <w:right w:val="single" w:color="auto"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57" w:type="dxa"/>
            <w:gridSpan w:val="4"/>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做好全州政府网站和各单位应用系统的网络和平台各类应用系统的支撑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70个</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left w:val="single" w:color="auto"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政务云平台服务器台数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1500个</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left w:val="single" w:color="auto" w:sz="4" w:space="0"/>
              <w:bottom w:val="single" w:color="auto"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运维人员人数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=2人</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政务云平台正常运行率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98%</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系统维护及时率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90%</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项目完成时限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2022年12月31日</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政府网站运维费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=42万元</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云平台运维成本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45万元</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机房维护成本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60万元</w:t>
            </w:r>
          </w:p>
        </w:tc>
      </w:tr>
      <w:tr>
        <w:tblPrEx>
          <w:tblLayout w:type="fixed"/>
          <w:tblCellMar>
            <w:top w:w="0" w:type="dxa"/>
            <w:left w:w="0" w:type="dxa"/>
            <w:bottom w:w="0" w:type="dxa"/>
            <w:right w:w="0" w:type="dxa"/>
          </w:tblCellMar>
        </w:tblPrEx>
        <w:trPr>
          <w:trHeight w:val="440"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提高电子政务建设步伐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提高</w:t>
            </w: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电子政务应用和发展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长期坚持</w:t>
            </w:r>
          </w:p>
        </w:tc>
      </w:tr>
      <w:tr>
        <w:tblPrEx>
          <w:tblLayout w:type="fixed"/>
          <w:tblCellMar>
            <w:top w:w="0" w:type="dxa"/>
            <w:left w:w="0" w:type="dxa"/>
            <w:bottom w:w="0" w:type="dxa"/>
            <w:right w:w="0" w:type="dxa"/>
          </w:tblCellMar>
        </w:tblPrEx>
        <w:trPr>
          <w:trHeight w:val="440" w:hRule="atLeast"/>
        </w:trPr>
        <w:tc>
          <w:tcPr>
            <w:tcW w:w="1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57"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网站使用人员满意度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eastAsia="宋体" w:cs="宋体"/>
                <w:color w:val="000000"/>
                <w:sz w:val="18"/>
                <w:szCs w:val="18"/>
              </w:rPr>
              <w:t>≧</w:t>
            </w:r>
            <w:r>
              <w:rPr>
                <w:rFonts w:hint="eastAsia" w:ascii="宋体" w:hAnsi="宋体" w:cs="宋体"/>
                <w:color w:val="000000"/>
                <w:sz w:val="18"/>
                <w:szCs w:val="18"/>
                <w:lang w:val="en-US" w:eastAsia="zh-CN"/>
              </w:rPr>
              <w:t>98%</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560" w:lineRule="exact"/>
        <w:ind w:firstLine="2560" w:firstLineChars="800"/>
        <w:jc w:val="both"/>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指一般公共预算。</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单位支出预算的组成部分，是为完成特定事业发展目标，在基本支出预算之外编制的年度项目支出计划。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等支出；公</w:t>
      </w:r>
      <w:r>
        <w:rPr>
          <w:rFonts w:hint="eastAsia" w:ascii="仿宋_GB2312" w:eastAsia="仿宋_GB2312"/>
          <w:spacing w:val="-11"/>
          <w:sz w:val="32"/>
          <w:szCs w:val="32"/>
        </w:rPr>
        <w:t>务接待费指单位按规定开支的各类公务接待支出。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指单位的公用经费，包括办公及印刷费、邮电费、差旅费、会议费、福利费、日常维修费、一般设备购置费、办公用房水电费、办公用房</w:t>
      </w:r>
      <w:r>
        <w:rPr>
          <w:rFonts w:hint="eastAsia" w:ascii="仿宋_GB2312" w:eastAsia="仿宋_GB2312"/>
          <w:spacing w:val="-11"/>
          <w:sz w:val="32"/>
          <w:szCs w:val="32"/>
        </w:rPr>
        <w:t>取暖费、公务用车运行维护费及其他费用。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2240" w:firstLineChars="7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昌吉回族自治州人民政府电子政务办公室</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B14F6A"/>
    <w:rsid w:val="00C12D75"/>
    <w:rsid w:val="00CE4C77"/>
    <w:rsid w:val="00D85033"/>
    <w:rsid w:val="00F91EEB"/>
    <w:rsid w:val="03314A76"/>
    <w:rsid w:val="091639C4"/>
    <w:rsid w:val="0E194932"/>
    <w:rsid w:val="0F746597"/>
    <w:rsid w:val="14710560"/>
    <w:rsid w:val="167F26FB"/>
    <w:rsid w:val="17C60D18"/>
    <w:rsid w:val="21EB1452"/>
    <w:rsid w:val="2F401BBF"/>
    <w:rsid w:val="31D847D5"/>
    <w:rsid w:val="330F3880"/>
    <w:rsid w:val="3741771C"/>
    <w:rsid w:val="420C5AA2"/>
    <w:rsid w:val="42F64242"/>
    <w:rsid w:val="45800EDD"/>
    <w:rsid w:val="47372D94"/>
    <w:rsid w:val="480B478E"/>
    <w:rsid w:val="4D86256E"/>
    <w:rsid w:val="56962983"/>
    <w:rsid w:val="58E91D53"/>
    <w:rsid w:val="5CE45EDB"/>
    <w:rsid w:val="631729B2"/>
    <w:rsid w:val="63BB1712"/>
    <w:rsid w:val="64B823E4"/>
    <w:rsid w:val="66670F11"/>
    <w:rsid w:val="696F74AA"/>
    <w:rsid w:val="6A527BDE"/>
    <w:rsid w:val="6FED3FAA"/>
    <w:rsid w:val="732C1812"/>
    <w:rsid w:val="7B970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uiPriority w:val="0"/>
    <w:rPr>
      <w:rFonts w:ascii="方正仿宋_GBK" w:hAnsi="方正仿宋_GBK" w:eastAsia="方正仿宋_GBK" w:cs="方正仿宋_GBK"/>
      <w:sz w:val="32"/>
      <w:szCs w:val="32"/>
      <w:lang w:val="zh-CN" w:bidi="zh-CN"/>
    </w:rPr>
  </w:style>
  <w:style w:type="paragraph" w:customStyle="1" w:styleId="14">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1471</Words>
  <Characters>8387</Characters>
  <Lines>69</Lines>
  <Paragraphs>19</Paragraphs>
  <TotalTime>35</TotalTime>
  <ScaleCrop>false</ScaleCrop>
  <LinksUpToDate>false</LinksUpToDate>
  <CharactersWithSpaces>9839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2022-04-14T04:19:12Z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