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昌吉州中级人民法院2022年部门预算公开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昌吉州中级人民法院</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昌吉州中级人民法院</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昌吉州中级人民法院概况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560" w:lineRule="exact"/>
        <w:ind w:firstLine="640" w:firstLineChars="200"/>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sz w:val="32"/>
          <w:szCs w:val="32"/>
        </w:rPr>
        <w:t>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对其中确有错误的，提审或指令下级人民法院再审；依法审判由昌吉州人民检察院按照审判监督程序提出的抗诉案件；对下级人民法院行使案件指定管辖权；监督下级人民法院的审判工作；依法行使司法执行权和司法决定权；依法决定国家赔偿；开展与法院工作有关的调查研究，针对案件审理中发现的突出问题提出司法建议；在审判工作中宣传法制、教育公民自学遵守宪法和法律；监督指导全州法院的执行工作；监督指导全州法院的司法警察工作。</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昌吉州中级人民法院</w:t>
      </w:r>
      <w:r>
        <w:rPr>
          <w:rFonts w:hint="eastAsia" w:ascii="仿宋_GB2312" w:hAnsi="黑体" w:eastAsia="仿宋_GB2312" w:cs="宋体"/>
          <w:bCs/>
          <w:kern w:val="0"/>
          <w:sz w:val="32"/>
          <w:szCs w:val="32"/>
        </w:rPr>
        <w:t>无下属预算单位，下设17个科室，分别是：</w:t>
      </w:r>
      <w:r>
        <w:rPr>
          <w:rFonts w:hint="eastAsia" w:ascii="仿宋_GB2312" w:hAnsi="宋体" w:eastAsia="仿宋_GB2312"/>
          <w:sz w:val="32"/>
          <w:szCs w:val="32"/>
        </w:rPr>
        <w:t>办公室、政治部、立案一庭、立案二庭、刑事审判第一庭、刑事审判第二庭、民事审判第一庭、民事审判第二庭、民事审判第三庭、行政审判庭、审判监督庭、执行局、法律政策研究室、司法警察支队、信息技术处、纪检监察处、审判管理办公室</w:t>
      </w:r>
      <w:r>
        <w:rPr>
          <w:rFonts w:hint="eastAsia" w:ascii="仿宋_GB2312" w:hAnsi="宋体" w:eastAsia="仿宋_GB2312" w:cs="宋体"/>
          <w:kern w:val="0"/>
          <w:sz w:val="32"/>
          <w:szCs w:val="32"/>
        </w:rPr>
        <w:t>。</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昌吉州中级人民法院</w:t>
      </w:r>
      <w:r>
        <w:rPr>
          <w:rFonts w:hint="eastAsia" w:ascii="仿宋_GB2312" w:hAnsi="宋体" w:eastAsia="仿宋_GB2312" w:cs="宋体"/>
          <w:kern w:val="0"/>
          <w:sz w:val="32"/>
          <w:szCs w:val="32"/>
        </w:rPr>
        <w:t>编制数162个，实有人数225人，其中：在职143人，减少7人； 退休81人，增加6人；离休1人，增加0人。</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昌吉州中级人民法院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3645.10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3645.10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2966.58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269.31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193.58</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215.63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3645.10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3645.10　</w:t>
            </w: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编制部门（单位）：昌吉州中级人民法院                            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204</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公共安全支出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70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法院</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案件审判</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23.27</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23.27</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公务中医疗补助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公务中医疗补助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住房保障支出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3645.10</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3645.10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编制部门（单位）：昌吉州中级人民法院                        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55"/>
        <w:gridCol w:w="1823"/>
        <w:gridCol w:w="1824"/>
        <w:gridCol w:w="1870"/>
      </w:tblGrid>
      <w:tr>
        <w:tblPrEx>
          <w:tblLayout w:type="fixed"/>
          <w:tblCellMar>
            <w:top w:w="0" w:type="dxa"/>
            <w:left w:w="108" w:type="dxa"/>
            <w:bottom w:w="0" w:type="dxa"/>
            <w:right w:w="108" w:type="dxa"/>
          </w:tblCellMar>
        </w:tblPrEx>
        <w:trPr>
          <w:trHeight w:val="345" w:hRule="atLeast"/>
        </w:trPr>
        <w:tc>
          <w:tcPr>
            <w:tcW w:w="390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1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7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7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204</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公共安全支出</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8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204</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法院</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8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8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案件审判</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7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23.27</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23.27</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公务中医疗补助</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公务中医疗补助</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住房保障支出</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55" w:type="dxa"/>
            <w:tcBorders>
              <w:top w:val="nil"/>
              <w:left w:val="nil"/>
              <w:bottom w:val="single" w:color="auto" w:sz="4" w:space="0"/>
              <w:right w:val="single" w:color="auto" w:sz="4" w:space="0"/>
            </w:tcBorders>
            <w:vAlign w:val="center"/>
          </w:tcPr>
          <w:p>
            <w:pPr>
              <w:jc w:val="cente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82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3645.10</w:t>
            </w:r>
          </w:p>
        </w:tc>
        <w:tc>
          <w:tcPr>
            <w:tcW w:w="18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3625.10</w:t>
            </w:r>
          </w:p>
        </w:tc>
        <w:tc>
          <w:tcPr>
            <w:tcW w:w="18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bl>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rPr>
        <w:t>昌吉州中级人民法院</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rPr>
              <w:t>3645.10</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rPr>
              <w:t>3645.10</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2966.58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2966.58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269.31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269.31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193.58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193.58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215.63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215.63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cs="宋体"/>
                <w:kern w:val="0"/>
                <w:sz w:val="18"/>
                <w:szCs w:val="18"/>
              </w:rPr>
              <w:t>3645.10</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3645.10</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3645.10</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昌吉州中级人民法院</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公共安全支出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法院</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2996.58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2946.58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案件审判</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269.31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23.27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23.27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193.58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公务中医疗补助</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公务中医疗补助</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住房保障支出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3645.10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3625.10</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jc w:val="center"/>
        <w:tblInd w:w="0"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jc w:val="center"/>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jc w:val="center"/>
        </w:trPr>
        <w:tc>
          <w:tcPr>
            <w:tcW w:w="522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昌吉州中级人民法院</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jc w:val="center"/>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jc w:val="center"/>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工资福利支出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3146.02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3146.02</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699.87</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699.87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795.10</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795.10</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奖金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57.18</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57.18</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246.04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城镇职工基本医疗保险缴费支出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146.09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公务员医疗补助缴费支出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46.13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215.63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938.62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938.62</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358.01</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358.01</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办公费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125.01</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125.01</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印刷费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咨询费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水费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电费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25</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25</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邮电费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取暖费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46.98</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46.98</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物业管理费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维修(护)费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17</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17</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公务接待费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劳务费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委托业务费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工会经费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29.03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29.03</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福利费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26.13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26.13</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公务用车维护费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28.01</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28.01</w:t>
            </w: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121.07</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121.07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离休费</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21.83</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21.83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生活补助</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2.64</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2.64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医疗补助</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86.41</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86.41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奖励金</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10.19</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10.19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283" w:hRule="atLeast"/>
          <w:jc w:val="center"/>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sz w:val="18"/>
                <w:szCs w:val="18"/>
              </w:rPr>
            </w:pPr>
            <w:r>
              <w:rPr>
                <w:rFonts w:hint="eastAsia" w:ascii="仿宋_GB2312" w:hAnsi="宋体" w:eastAsia="仿宋_GB2312" w:cs="宋体"/>
                <w:b/>
                <w:bCs/>
                <w:color w:val="000000"/>
                <w:sz w:val="18"/>
                <w:szCs w:val="18"/>
              </w:rPr>
              <w:t>3625.10</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sz w:val="18"/>
                <w:szCs w:val="18"/>
              </w:rPr>
            </w:pPr>
            <w:r>
              <w:rPr>
                <w:rFonts w:hint="eastAsia" w:ascii="仿宋_GB2312" w:hAnsi="宋体" w:eastAsia="仿宋_GB2312" w:cs="宋体"/>
                <w:b/>
                <w:bCs/>
                <w:color w:val="000000"/>
                <w:sz w:val="18"/>
                <w:szCs w:val="18"/>
              </w:rPr>
              <w:t>3267.09</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sz w:val="18"/>
                <w:szCs w:val="18"/>
              </w:rPr>
            </w:pPr>
            <w:r>
              <w:rPr>
                <w:rFonts w:hint="eastAsia" w:ascii="仿宋_GB2312" w:hAnsi="宋体" w:eastAsia="仿宋_GB2312" w:cs="宋体"/>
                <w:b/>
                <w:bCs/>
                <w:color w:val="000000"/>
                <w:sz w:val="18"/>
                <w:szCs w:val="18"/>
              </w:rPr>
              <w:t>358.01</w:t>
            </w:r>
          </w:p>
        </w:tc>
      </w:tr>
    </w:tbl>
    <w:p>
      <w:pPr>
        <w:widowControl/>
        <w:outlineLvl w:val="1"/>
        <w:rPr>
          <w:rFonts w:ascii="仿宋_GB2312" w:hAnsi="宋体" w:eastAsia="仿宋_GB2312"/>
          <w:b/>
          <w:kern w:val="0"/>
          <w:sz w:val="28"/>
          <w:szCs w:val="32"/>
        </w:rPr>
      </w:pPr>
    </w:p>
    <w:tbl>
      <w:tblPr>
        <w:tblStyle w:val="6"/>
        <w:tblpPr w:leftFromText="180" w:rightFromText="180" w:vertAnchor="text" w:horzAnchor="page" w:tblpX="1292" w:tblpY="76"/>
        <w:tblOverlap w:val="never"/>
        <w:tblW w:w="9540" w:type="dxa"/>
        <w:tblInd w:w="0" w:type="dxa"/>
        <w:tblLayout w:type="fixed"/>
        <w:tblCellMar>
          <w:top w:w="0" w:type="dxa"/>
          <w:left w:w="108" w:type="dxa"/>
          <w:bottom w:w="0" w:type="dxa"/>
          <w:right w:w="108" w:type="dxa"/>
        </w:tblCellMar>
      </w:tblPr>
      <w:tblGrid>
        <w:gridCol w:w="10"/>
        <w:gridCol w:w="505"/>
        <w:gridCol w:w="415"/>
        <w:gridCol w:w="397"/>
        <w:gridCol w:w="828"/>
        <w:gridCol w:w="1406"/>
        <w:gridCol w:w="733"/>
        <w:gridCol w:w="560"/>
        <w:gridCol w:w="530"/>
        <w:gridCol w:w="639"/>
        <w:gridCol w:w="639"/>
        <w:gridCol w:w="378"/>
        <w:gridCol w:w="200"/>
        <w:gridCol w:w="418"/>
        <w:gridCol w:w="578"/>
        <w:gridCol w:w="419"/>
        <w:gridCol w:w="419"/>
        <w:gridCol w:w="387"/>
        <w:gridCol w:w="79"/>
      </w:tblGrid>
      <w:tr>
        <w:tblPrEx>
          <w:tblLayout w:type="fixed"/>
          <w:tblCellMar>
            <w:top w:w="0" w:type="dxa"/>
            <w:left w:w="108" w:type="dxa"/>
            <w:bottom w:w="0" w:type="dxa"/>
            <w:right w:w="108" w:type="dxa"/>
          </w:tblCellMar>
        </w:tblPrEx>
        <w:trPr>
          <w:gridBefore w:val="1"/>
          <w:gridAfter w:val="1"/>
          <w:wBefore w:w="10" w:type="dxa"/>
          <w:wAfter w:w="79" w:type="dxa"/>
          <w:trHeight w:val="375" w:hRule="atLeast"/>
        </w:trPr>
        <w:tc>
          <w:tcPr>
            <w:tcW w:w="9451" w:type="dxa"/>
            <w:gridSpan w:val="17"/>
            <w:tcBorders>
              <w:top w:val="nil"/>
              <w:left w:val="nil"/>
              <w:bottom w:val="nil"/>
              <w:right w:val="nil"/>
            </w:tcBorders>
            <w:vAlign w:val="center"/>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p>
            <w:pPr>
              <w:widowControl/>
              <w:ind w:firstLine="2240" w:firstLineChars="700"/>
              <w:jc w:val="both"/>
              <w:rPr>
                <w:rFonts w:hint="eastAsia" w:ascii="方正小标宋_GBK" w:hAnsi="方正小标宋_GBK" w:eastAsia="方正小标宋_GBK" w:cs="方正小标宋_GBK"/>
                <w:color w:val="000000"/>
                <w:kern w:val="0"/>
                <w:sz w:val="32"/>
                <w:szCs w:val="32"/>
              </w:rPr>
            </w:pPr>
          </w:p>
          <w:p>
            <w:pPr>
              <w:widowControl/>
              <w:ind w:firstLine="2240" w:firstLineChars="700"/>
              <w:jc w:val="both"/>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79" w:type="dxa"/>
          <w:trHeight w:val="405" w:hRule="atLeast"/>
        </w:trPr>
        <w:tc>
          <w:tcPr>
            <w:tcW w:w="5374"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昌吉州中级人民法院</w:t>
            </w:r>
          </w:p>
        </w:tc>
        <w:tc>
          <w:tcPr>
            <w:tcW w:w="165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1"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7"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0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3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5"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28"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0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3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20"/>
                <w:szCs w:val="20"/>
              </w:rPr>
              <w:t>204</w:t>
            </w:r>
          </w:p>
        </w:tc>
        <w:tc>
          <w:tcPr>
            <w:tcW w:w="415" w:type="dxa"/>
            <w:vAlign w:val="center"/>
          </w:tcPr>
          <w:p>
            <w:pPr>
              <w:jc w:val="center"/>
              <w:rPr>
                <w:rFonts w:ascii="仿宋_GB2312" w:hAnsi="宋体" w:eastAsia="仿宋_GB2312" w:cs="宋体"/>
                <w:color w:val="000000"/>
                <w:sz w:val="18"/>
                <w:szCs w:val="18"/>
              </w:rPr>
            </w:pPr>
          </w:p>
        </w:tc>
        <w:tc>
          <w:tcPr>
            <w:tcW w:w="397" w:type="dxa"/>
            <w:vAlign w:val="center"/>
          </w:tcPr>
          <w:p>
            <w:pPr>
              <w:jc w:val="center"/>
              <w:rPr>
                <w:rFonts w:ascii="仿宋_GB2312" w:hAnsi="宋体" w:eastAsia="仿宋_GB2312" w:cs="宋体"/>
                <w:color w:val="000000"/>
                <w:sz w:val="18"/>
                <w:szCs w:val="18"/>
              </w:rPr>
            </w:pPr>
          </w:p>
        </w:tc>
        <w:tc>
          <w:tcPr>
            <w:tcW w:w="828" w:type="dxa"/>
            <w:vAlign w:val="center"/>
          </w:tcPr>
          <w:p>
            <w:pPr>
              <w:rPr>
                <w:rFonts w:ascii="仿宋_GB2312" w:hAnsi="宋体" w:eastAsia="仿宋_GB2312" w:cs="宋体"/>
                <w:color w:val="000000"/>
                <w:sz w:val="18"/>
                <w:szCs w:val="18"/>
              </w:rPr>
            </w:pPr>
          </w:p>
        </w:tc>
        <w:tc>
          <w:tcPr>
            <w:tcW w:w="1406" w:type="dxa"/>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公共安全支出</w:t>
            </w:r>
          </w:p>
        </w:tc>
        <w:tc>
          <w:tcPr>
            <w:tcW w:w="733"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0" w:type="dxa"/>
          </w:tcPr>
          <w:p>
            <w:pPr>
              <w:widowControl/>
              <w:jc w:val="center"/>
              <w:outlineLvl w:val="1"/>
              <w:rPr>
                <w:rFonts w:ascii="仿宋_GB2312" w:hAnsi="宋体" w:eastAsia="仿宋_GB2312"/>
                <w:kern w:val="0"/>
                <w:sz w:val="18"/>
                <w:szCs w:val="18"/>
              </w:rPr>
            </w:pPr>
          </w:p>
        </w:tc>
        <w:tc>
          <w:tcPr>
            <w:tcW w:w="53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39" w:type="dxa"/>
          </w:tcPr>
          <w:p>
            <w:pPr>
              <w:widowControl/>
              <w:jc w:val="center"/>
              <w:outlineLvl w:val="1"/>
              <w:rPr>
                <w:rFonts w:ascii="仿宋_GB2312" w:hAnsi="宋体" w:eastAsia="仿宋_GB2312"/>
                <w:kern w:val="0"/>
                <w:sz w:val="18"/>
                <w:szCs w:val="18"/>
              </w:rPr>
            </w:pPr>
          </w:p>
        </w:tc>
        <w:tc>
          <w:tcPr>
            <w:tcW w:w="639" w:type="dxa"/>
          </w:tcPr>
          <w:p>
            <w:pPr>
              <w:widowControl/>
              <w:jc w:val="left"/>
              <w:outlineLvl w:val="1"/>
              <w:rPr>
                <w:rFonts w:ascii="仿宋_GB2312" w:hAnsi="宋体" w:eastAsia="仿宋_GB2312"/>
                <w:b/>
                <w:kern w:val="0"/>
                <w:sz w:val="18"/>
                <w:szCs w:val="18"/>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rPr>
              <w:t>204</w:t>
            </w:r>
          </w:p>
        </w:tc>
        <w:tc>
          <w:tcPr>
            <w:tcW w:w="415"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rPr>
              <w:t>05</w:t>
            </w:r>
          </w:p>
        </w:tc>
        <w:tc>
          <w:tcPr>
            <w:tcW w:w="397" w:type="dxa"/>
            <w:vAlign w:val="center"/>
          </w:tcPr>
          <w:p>
            <w:pPr>
              <w:jc w:val="center"/>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法院</w:t>
            </w:r>
          </w:p>
        </w:tc>
        <w:tc>
          <w:tcPr>
            <w:tcW w:w="733" w:type="dxa"/>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w:t>
            </w:r>
          </w:p>
        </w:tc>
        <w:tc>
          <w:tcPr>
            <w:tcW w:w="560" w:type="dxa"/>
          </w:tcPr>
          <w:p>
            <w:pPr>
              <w:jc w:val="center"/>
              <w:rPr>
                <w:rFonts w:ascii="仿宋_GB2312" w:hAnsi="宋体" w:eastAsia="仿宋_GB2312" w:cs="宋体"/>
                <w:color w:val="000000"/>
                <w:sz w:val="20"/>
                <w:szCs w:val="20"/>
              </w:rPr>
            </w:pPr>
          </w:p>
        </w:tc>
        <w:tc>
          <w:tcPr>
            <w:tcW w:w="530" w:type="dxa"/>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w:t>
            </w:r>
          </w:p>
        </w:tc>
        <w:tc>
          <w:tcPr>
            <w:tcW w:w="639" w:type="dxa"/>
          </w:tcPr>
          <w:p>
            <w:pPr>
              <w:widowControl/>
              <w:jc w:val="left"/>
              <w:outlineLvl w:val="1"/>
              <w:rPr>
                <w:rFonts w:ascii="仿宋_GB2312" w:hAnsi="宋体" w:eastAsia="仿宋_GB2312"/>
                <w:b/>
                <w:kern w:val="0"/>
                <w:sz w:val="18"/>
                <w:szCs w:val="18"/>
              </w:rPr>
            </w:pPr>
          </w:p>
        </w:tc>
        <w:tc>
          <w:tcPr>
            <w:tcW w:w="639" w:type="dxa"/>
          </w:tcPr>
          <w:p>
            <w:pPr>
              <w:widowControl/>
              <w:jc w:val="left"/>
              <w:outlineLvl w:val="1"/>
              <w:rPr>
                <w:rFonts w:ascii="仿宋_GB2312" w:hAnsi="宋体" w:eastAsia="仿宋_GB2312"/>
                <w:b/>
                <w:kern w:val="0"/>
                <w:sz w:val="18"/>
                <w:szCs w:val="18"/>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15"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397"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828"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案件审判</w:t>
            </w:r>
          </w:p>
        </w:tc>
        <w:tc>
          <w:tcPr>
            <w:tcW w:w="140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人民陪审员经费</w:t>
            </w:r>
          </w:p>
        </w:tc>
        <w:tc>
          <w:tcPr>
            <w:tcW w:w="733"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0" w:type="dxa"/>
          </w:tcPr>
          <w:p>
            <w:pPr>
              <w:widowControl/>
              <w:jc w:val="center"/>
              <w:outlineLvl w:val="1"/>
              <w:rPr>
                <w:rFonts w:ascii="仿宋_GB2312" w:hAnsi="宋体" w:eastAsia="仿宋_GB2312"/>
                <w:kern w:val="0"/>
                <w:sz w:val="18"/>
                <w:szCs w:val="18"/>
              </w:rPr>
            </w:pPr>
          </w:p>
        </w:tc>
        <w:tc>
          <w:tcPr>
            <w:tcW w:w="53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tcPr>
          <w:p>
            <w:pPr>
              <w:widowControl/>
              <w:jc w:val="center"/>
              <w:outlineLvl w:val="1"/>
              <w:rPr>
                <w:rFonts w:ascii="仿宋_GB2312" w:hAnsi="宋体" w:eastAsia="仿宋_GB2312"/>
                <w:kern w:val="0"/>
                <w:sz w:val="32"/>
                <w:szCs w:val="32"/>
              </w:rPr>
            </w:pPr>
          </w:p>
        </w:tc>
        <w:tc>
          <w:tcPr>
            <w:tcW w:w="733" w:type="dxa"/>
          </w:tcPr>
          <w:p>
            <w:pPr>
              <w:widowControl/>
              <w:jc w:val="right"/>
              <w:outlineLvl w:val="1"/>
              <w:rPr>
                <w:rFonts w:ascii="仿宋_GB2312" w:hAnsi="宋体" w:eastAsia="仿宋_GB2312"/>
                <w:kern w:val="0"/>
                <w:sz w:val="32"/>
                <w:szCs w:val="32"/>
              </w:rPr>
            </w:pP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tcPr>
          <w:p>
            <w:pPr>
              <w:widowControl/>
              <w:jc w:val="center"/>
              <w:outlineLvl w:val="1"/>
              <w:rPr>
                <w:rFonts w:ascii="仿宋_GB2312" w:hAnsi="宋体" w:eastAsia="仿宋_GB2312"/>
                <w:kern w:val="0"/>
                <w:sz w:val="32"/>
                <w:szCs w:val="32"/>
              </w:rPr>
            </w:pPr>
          </w:p>
        </w:tc>
        <w:tc>
          <w:tcPr>
            <w:tcW w:w="415"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28" w:type="dxa"/>
          </w:tcPr>
          <w:p>
            <w:pPr>
              <w:widowControl/>
              <w:jc w:val="center"/>
              <w:outlineLvl w:val="1"/>
              <w:rPr>
                <w:rFonts w:ascii="仿宋_GB2312" w:hAnsi="宋体" w:eastAsia="仿宋_GB2312"/>
                <w:kern w:val="0"/>
                <w:sz w:val="32"/>
                <w:szCs w:val="32"/>
              </w:rPr>
            </w:pPr>
          </w:p>
        </w:tc>
        <w:tc>
          <w:tcPr>
            <w:tcW w:w="140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33" w:type="dxa"/>
            <w:vAlign w:val="center"/>
          </w:tcPr>
          <w:p>
            <w:pPr>
              <w:widowControl/>
              <w:jc w:val="right"/>
              <w:outlineLvl w:val="1"/>
              <w:rPr>
                <w:rFonts w:hint="eastAsia" w:ascii="仿宋_GB2312" w:hAnsi="宋体" w:eastAsia="仿宋_GB2312"/>
                <w:kern w:val="0"/>
                <w:szCs w:val="21"/>
              </w:rPr>
            </w:pPr>
          </w:p>
          <w:p>
            <w:pPr>
              <w:widowControl/>
              <w:jc w:val="right"/>
              <w:outlineLvl w:val="1"/>
              <w:rPr>
                <w:rFonts w:ascii="仿宋_GB2312" w:hAnsi="宋体" w:eastAsia="仿宋_GB2312"/>
                <w:kern w:val="0"/>
                <w:szCs w:val="21"/>
              </w:rPr>
            </w:pPr>
            <w:r>
              <w:rPr>
                <w:rFonts w:hint="eastAsia" w:ascii="仿宋_GB2312" w:hAnsi="宋体" w:eastAsia="仿宋_GB2312"/>
                <w:kern w:val="0"/>
                <w:szCs w:val="21"/>
              </w:rPr>
              <w:t>20</w:t>
            </w:r>
          </w:p>
        </w:tc>
        <w:tc>
          <w:tcPr>
            <w:tcW w:w="560" w:type="dxa"/>
          </w:tcPr>
          <w:p>
            <w:pPr>
              <w:widowControl/>
              <w:jc w:val="right"/>
              <w:outlineLvl w:val="1"/>
              <w:rPr>
                <w:rFonts w:ascii="仿宋_GB2312" w:hAnsi="宋体" w:eastAsia="仿宋_GB2312"/>
                <w:kern w:val="0"/>
                <w:sz w:val="32"/>
                <w:szCs w:val="32"/>
              </w:rPr>
            </w:pPr>
          </w:p>
        </w:tc>
        <w:tc>
          <w:tcPr>
            <w:tcW w:w="530" w:type="dxa"/>
          </w:tcPr>
          <w:p>
            <w:pPr>
              <w:widowControl/>
              <w:outlineLvl w:val="1"/>
              <w:rPr>
                <w:rFonts w:hint="eastAsia" w:ascii="仿宋_GB2312" w:hAnsi="宋体" w:eastAsia="仿宋_GB2312"/>
                <w:kern w:val="0"/>
                <w:szCs w:val="21"/>
              </w:rPr>
            </w:pPr>
          </w:p>
          <w:p>
            <w:pPr>
              <w:widowControl/>
              <w:outlineLvl w:val="1"/>
              <w:rPr>
                <w:rFonts w:ascii="仿宋_GB2312" w:hAnsi="宋体" w:eastAsia="仿宋_GB2312"/>
                <w:kern w:val="0"/>
                <w:szCs w:val="21"/>
              </w:rPr>
            </w:pPr>
            <w:r>
              <w:rPr>
                <w:rFonts w:hint="eastAsia" w:ascii="仿宋_GB2312" w:hAnsi="宋体" w:eastAsia="仿宋_GB2312"/>
                <w:kern w:val="0"/>
                <w:szCs w:val="21"/>
              </w:rPr>
              <w:t>20</w:t>
            </w:r>
          </w:p>
        </w:tc>
        <w:tc>
          <w:tcPr>
            <w:tcW w:w="639" w:type="dxa"/>
          </w:tcPr>
          <w:p>
            <w:pPr>
              <w:widowControl/>
              <w:jc w:val="right"/>
              <w:outlineLvl w:val="1"/>
              <w:rPr>
                <w:rFonts w:ascii="仿宋_GB2312" w:hAnsi="宋体" w:eastAsia="仿宋_GB2312"/>
                <w:kern w:val="0"/>
                <w:szCs w:val="21"/>
              </w:rPr>
            </w:pPr>
          </w:p>
        </w:tc>
        <w:tc>
          <w:tcPr>
            <w:tcW w:w="639"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6"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ind w:firstLine="1920" w:firstLineChars="600"/>
        <w:jc w:val="both"/>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编制部门（单位）：昌吉州中级人民法院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19.84</w:t>
            </w:r>
          </w:p>
        </w:tc>
        <w:tc>
          <w:tcPr>
            <w:tcW w:w="1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p>
        </w:tc>
        <w:tc>
          <w:tcPr>
            <w:tcW w:w="155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w:t>
            </w:r>
          </w:p>
        </w:tc>
        <w:tc>
          <w:tcPr>
            <w:tcW w:w="1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p>
        </w:tc>
        <w:tc>
          <w:tcPr>
            <w:tcW w:w="155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w:t>
            </w:r>
          </w:p>
        </w:tc>
        <w:tc>
          <w:tcPr>
            <w:tcW w:w="171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2.94</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71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编制部门（单位）：昌吉州中级人民法院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r>
        <w:rPr>
          <w:rFonts w:hint="eastAsia" w:ascii="仿宋_GB2312" w:hAnsi="宋体" w:eastAsia="仿宋_GB2312"/>
          <w:b/>
          <w:kern w:val="0"/>
          <w:sz w:val="28"/>
          <w:szCs w:val="32"/>
        </w:rPr>
        <w:t>备注：我单位无政府性基金预算，此表为空表。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一、关于昌吉州中级人民法院2022年收支预算情况的总体说明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按照全口径预算的原则，昌吉州中级人民法院2022年所有收入和支出均纳入部门（单位）预算管理。收支总预算3645.10万元。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收入预算包括：一般公共预算3645.10万元。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支出预算包括：公共安全支出2966.58万元,社会保障支出和就业支出269.31万元，卫生健康支出193.58万元，住房保障支出215.63万元。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昌吉州中级人民法院收入预算3645.10万元，其中：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一般公共预算3645.10万元，占100%，比上年预算减少557.26万元，下降13.26%，主要原因是：在职人员减少7人，人员经费减少，2021年500万涉密项目项目为一次性项目，2022年项目支出减少500万元；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昌吉州中级人民法院2022年支出预算3645.10元，其中：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基本支出3625.10万元，占99.46%，比上年预算减少57.26万元，下降1.50%，主要原因是：在职人员减少7人，人员经费减少。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项目支出20万元，占:0.54%，比上年预算减少500万元，下降96.15%，主要原因是上年500万元涉密项目资金为一次性项目，本年无此项预算安排。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2022年财政拨款收支总预算3645.10万元。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收入预算包括：一般公共预算拨款3645.10万元。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公共安全支出2966.58万元,</w:t>
      </w:r>
      <w:r>
        <w:rPr>
          <w:rFonts w:hint="eastAsia" w:ascii="仿宋_GB2312" w:hAnsi="宋体" w:eastAsia="仿宋_GB2312" w:cs="宋体"/>
          <w:spacing w:val="-6"/>
          <w:kern w:val="0"/>
          <w:sz w:val="32"/>
          <w:szCs w:val="32"/>
        </w:rPr>
        <w:t xml:space="preserve"> 主要用于中级人民法院人员支出、运转经费支出及项目支出；</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社会保障支出和就业支出269.31万元，</w:t>
      </w:r>
      <w:r>
        <w:rPr>
          <w:rFonts w:hint="eastAsia" w:ascii="仿宋_GB2312" w:hAnsi="宋体" w:eastAsia="仿宋_GB2312" w:cs="宋体"/>
          <w:spacing w:val="-6"/>
          <w:kern w:val="0"/>
          <w:sz w:val="32"/>
          <w:szCs w:val="32"/>
        </w:rPr>
        <w:t>主要用于中级人民法院人员养老保险支出；</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卫生健康支出193.58万元</w:t>
      </w:r>
      <w:r>
        <w:rPr>
          <w:rFonts w:hint="eastAsia" w:ascii="仿宋_GB2312" w:hAnsi="宋体" w:eastAsia="仿宋_GB2312" w:cs="宋体"/>
          <w:spacing w:val="-6"/>
          <w:kern w:val="0"/>
          <w:sz w:val="32"/>
          <w:szCs w:val="32"/>
        </w:rPr>
        <w:t>，主要用于中级人民法院人员医保类支出；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住房保障支出215.63万元</w:t>
      </w:r>
      <w:r>
        <w:rPr>
          <w:rFonts w:hint="eastAsia" w:ascii="仿宋_GB2312" w:hAnsi="宋体" w:eastAsia="仿宋_GB2312" w:cs="宋体"/>
          <w:spacing w:val="-6"/>
          <w:kern w:val="0"/>
          <w:sz w:val="32"/>
          <w:szCs w:val="32"/>
        </w:rPr>
        <w:t>，主要用于中级人民法院人员住房公积金支出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昌吉州中级人民法院</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rPr>
        <w:t>3645.1</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3625.1</w:t>
      </w:r>
      <w:r>
        <w:rPr>
          <w:rFonts w:hint="eastAsia" w:ascii="仿宋_GB2312" w:hAnsi="仿宋_GB2312" w:eastAsia="仿宋_GB2312" w:cs="仿宋_GB2312"/>
          <w:kern w:val="0"/>
          <w:sz w:val="32"/>
          <w:szCs w:val="32"/>
        </w:rPr>
        <w:t>万元，比上年预算增减少</w:t>
      </w:r>
      <w:r>
        <w:rPr>
          <w:rFonts w:hint="eastAsia" w:ascii="仿宋_GB2312" w:hAnsi="宋体" w:eastAsia="仿宋_GB2312" w:cs="宋体"/>
          <w:kern w:val="0"/>
          <w:sz w:val="32"/>
          <w:szCs w:val="32"/>
        </w:rPr>
        <w:t>57.26万元，下降1.50%，主要原因是：在职人员减少7人，人员经费、运转经费减少</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项目支出20万元，比上年预算减少500万元，下降96.15%。主要原因是：</w:t>
      </w:r>
      <w:r>
        <w:rPr>
          <w:rFonts w:hint="eastAsia" w:ascii="仿宋_GB2312" w:hAnsi="宋体" w:eastAsia="仿宋_GB2312" w:cs="宋体"/>
          <w:kern w:val="0"/>
          <w:sz w:val="32"/>
          <w:szCs w:val="32"/>
        </w:rPr>
        <w:t>2021年500万元涉密项目为一次性项目，本年无此项预算安排。</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1.公共安全支出（类）法院（款）行政运行（项）支出2946.58万元，占80.83%。</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公共安全支出（类）法院（款）</w:t>
      </w:r>
      <w:r>
        <w:rPr>
          <w:rFonts w:hint="eastAsia" w:ascii="仿宋_GB2312" w:hAnsi="宋体" w:eastAsia="仿宋_GB2312" w:cs="宋体"/>
          <w:kern w:val="0"/>
          <w:sz w:val="32"/>
          <w:szCs w:val="32"/>
        </w:rPr>
        <w:t>案件审判（项）支出20万元</w:t>
      </w:r>
      <w:r>
        <w:rPr>
          <w:rFonts w:hint="eastAsia" w:ascii="仿宋_GB2312" w:eastAsia="仿宋_GB2312"/>
          <w:sz w:val="32"/>
          <w:szCs w:val="32"/>
        </w:rPr>
        <w:t>，占0.54%。</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3.社会保障和就业支出（类）行政事业单位养老支出（款）行政单位离退休（项）支出23.27万元</w:t>
      </w:r>
      <w:r>
        <w:rPr>
          <w:rFonts w:hint="eastAsia" w:ascii="仿宋_GB2312" w:eastAsia="仿宋_GB2312"/>
          <w:sz w:val="32"/>
          <w:szCs w:val="32"/>
        </w:rPr>
        <w:t>，占0.63%。</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4.社会保障和就业支出（类）行政事业单位养老支出（款）机关事业单位养老保险缴费（项）支出246.04万元</w:t>
      </w:r>
      <w:r>
        <w:rPr>
          <w:rFonts w:hint="eastAsia" w:ascii="仿宋_GB2312" w:eastAsia="仿宋_GB2312"/>
          <w:sz w:val="32"/>
          <w:szCs w:val="32"/>
        </w:rPr>
        <w:t>，占6.74%。</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5、卫生健康支出（类）行政事业单位医疗（款）行政单位医疗（项）支出146.09万元</w:t>
      </w:r>
      <w:r>
        <w:rPr>
          <w:rFonts w:hint="eastAsia" w:ascii="仿宋_GB2312" w:eastAsia="仿宋_GB2312"/>
          <w:sz w:val="32"/>
          <w:szCs w:val="32"/>
        </w:rPr>
        <w:t>，占4%。</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6、卫生健康支出（类）行政事业单位医疗（款）公务员医疗补助（项）支出46.13万元</w:t>
      </w:r>
      <w:r>
        <w:rPr>
          <w:rFonts w:hint="eastAsia" w:ascii="仿宋_GB2312" w:eastAsia="仿宋_GB2312"/>
          <w:sz w:val="32"/>
          <w:szCs w:val="32"/>
        </w:rPr>
        <w:t>，占1.26%。</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7、卫生健康支出（类）行政事业单位医疗（款）其他行政事业单位医疗支出（项）支出1.36万元</w:t>
      </w:r>
      <w:r>
        <w:rPr>
          <w:rFonts w:hint="eastAsia" w:ascii="仿宋_GB2312" w:eastAsia="仿宋_GB2312"/>
          <w:sz w:val="32"/>
          <w:szCs w:val="32"/>
        </w:rPr>
        <w:t>，占0.03%。</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8、住房保障支出（类）住房改革支出（款）住房公积金（项）支出215.63万元</w:t>
      </w:r>
      <w:r>
        <w:rPr>
          <w:rFonts w:hint="eastAsia" w:ascii="仿宋_GB2312" w:eastAsia="仿宋_GB2312"/>
          <w:sz w:val="32"/>
          <w:szCs w:val="32"/>
        </w:rPr>
        <w:t>，占5.91%。</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1.公共安全支出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法院（款</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w:t>
      </w:r>
      <w:r>
        <w:rPr>
          <w:rFonts w:ascii="仿宋_GB2312" w:hAnsi="宋体" w:eastAsia="仿宋_GB2312" w:cs="宋体"/>
          <w:kern w:val="0"/>
          <w:sz w:val="32"/>
          <w:szCs w:val="32"/>
        </w:rPr>
        <w:t>运行（</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2022年</w:t>
      </w:r>
      <w:r>
        <w:rPr>
          <w:rFonts w:ascii="仿宋_GB2312" w:hAnsi="宋体" w:eastAsia="仿宋_GB2312" w:cs="宋体"/>
          <w:kern w:val="0"/>
          <w:sz w:val="32"/>
          <w:szCs w:val="32"/>
        </w:rPr>
        <w:t>预算数为</w:t>
      </w:r>
      <w:r>
        <w:rPr>
          <w:rFonts w:hint="eastAsia" w:ascii="仿宋_GB2312" w:eastAsia="仿宋_GB2312"/>
          <w:sz w:val="32"/>
          <w:szCs w:val="32"/>
        </w:rPr>
        <w:t>2946.58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比上年预算数减少245.68万元，</w:t>
      </w:r>
      <w:r>
        <w:rPr>
          <w:rFonts w:hint="eastAsia" w:ascii="仿宋_GB2312" w:hAnsi="仿宋_GB2312" w:eastAsia="仿宋_GB2312" w:cs="仿宋_GB2312"/>
          <w:kern w:val="0"/>
          <w:sz w:val="32"/>
          <w:szCs w:val="32"/>
        </w:rPr>
        <w:t>下降7.69</w:t>
      </w:r>
      <w:r>
        <w:rPr>
          <w:rFonts w:hint="eastAsia" w:ascii="仿宋_GB2312" w:hAnsi="宋体" w:eastAsia="仿宋_GB2312" w:cs="宋体"/>
          <w:kern w:val="0"/>
          <w:sz w:val="32"/>
          <w:szCs w:val="32"/>
        </w:rPr>
        <w:t>%，主要原因是：在职人员减少7人，人员经费、运转经费减少。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2、公共安全支出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法院</w:t>
      </w:r>
      <w:r>
        <w:rPr>
          <w:rFonts w:ascii="仿宋_GB2312" w:hAnsi="宋体" w:eastAsia="仿宋_GB2312" w:cs="宋体"/>
          <w:kern w:val="0"/>
          <w:sz w:val="32"/>
          <w:szCs w:val="32"/>
        </w:rPr>
        <w:t>（</w:t>
      </w:r>
      <w:r>
        <w:rPr>
          <w:rFonts w:hint="eastAsia" w:ascii="仿宋_GB2312" w:hAnsi="宋体" w:eastAsia="仿宋_GB2312" w:cs="宋体"/>
          <w:kern w:val="0"/>
          <w:sz w:val="32"/>
          <w:szCs w:val="32"/>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案件审判</w:t>
      </w:r>
      <w:r>
        <w:rPr>
          <w:rFonts w:ascii="仿宋_GB2312" w:hAnsi="宋体" w:eastAsia="仿宋_GB2312" w:cs="宋体"/>
          <w:kern w:val="0"/>
          <w:sz w:val="32"/>
          <w:szCs w:val="32"/>
        </w:rPr>
        <w:t>（</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2022年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20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比上年预算数增加0万元，增长0%，主要原因是：人民陪审员项目为持续性项目，本年延续预算安排。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3、社会保障和就业支出(类)行政事业单位养老支出(款)行政单位离退休(项)23.27万元，比上年预算数增加23.27万元，增长100%，主要原因是：支出功能分类科目发生变化。</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社会保障和就业支出(类)行政事业单位养老支出(款)机关事业单位基本养老保险缴费支出(项)246.04万元，比上年预算数增加11.41万元，增长4.86%，主要原因是：人员工资上调，社保缴费基数上调，基本养老保险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5、卫生健康支出(类)行政单位医疗(款)行政单位医疗(项)146.09万元，比上年预算数减少47.35万元，</w:t>
      </w:r>
      <w:r>
        <w:rPr>
          <w:rFonts w:hint="eastAsia" w:ascii="仿宋_GB2312" w:hAnsi="仿宋_GB2312" w:eastAsia="仿宋_GB2312" w:cs="仿宋_GB2312"/>
          <w:kern w:val="0"/>
          <w:sz w:val="32"/>
          <w:szCs w:val="32"/>
        </w:rPr>
        <w:t>下降24.47</w:t>
      </w:r>
      <w:r>
        <w:rPr>
          <w:rFonts w:hint="eastAsia" w:ascii="仿宋_GB2312" w:hAnsi="宋体" w:eastAsia="仿宋_GB2312" w:cs="宋体"/>
          <w:kern w:val="0"/>
          <w:sz w:val="32"/>
          <w:szCs w:val="32"/>
        </w:rPr>
        <w:t>%，主要原因是：在职人员减少7人，医保缴费比例变更，人员经医保经费减少。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6、卫生健康支出(类)行政单位医疗(款)公务员医疗补助(项)46.13万元，比上年预算数减少15.9万元，下降25.63%，主要原因是：在职人员减少7人，医保缴费比例变更，人员经医保经费减少。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7、卫生健康支出(类)行政单位医疗(款)其他行政事业单位医疗支出(项)1.36万元，比上年预算数增加0万元，增长0%，主要原因是：支出功能分类科目发生变化。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8、住房保障支出（类）住房改革支出（款）住房公积金（项）支出215.63万元，比上年预算数增加215.63万元，增长100%，主要原因是：支出功能分类科目发生变化。</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昌吉州中级人民法院</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rPr>
        <w:t>3625.10</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人员经费3267.09万元，主要包括：基本工资699.87</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、津贴补贴795.10</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、奖金57.18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、机关事业单位基本养老保险缴费246.04</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、职工基本医疗保险缴费146.09</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、公务员医疗补助缴费46.13</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、其他社会保障缴费1.36</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、住房公积金215.63</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、其他工资福利支出938.62</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、离休费21.83</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、生活补助2.64</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、医疗费补助86.41</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、奖励金10.19</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358.01万元，主要包括：办公费125.01万元、印刷费3万元、咨询费2万元、水费6万元、电费25万元、邮电费2万元、取暖费46.98万元、物业管理费14万元、维修（护）费17万元、公务接待费2.94万元、劳务费12万元、委托业务费2万元、工会经费29.03万元、福利费26.13万元、公务用车运行维护费16.9万元、其他商品和服务支出28.01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spacing w:val="-6"/>
          <w:kern w:val="0"/>
          <w:sz w:val="32"/>
          <w:szCs w:val="32"/>
        </w:rPr>
        <w:t>2022年一般公共预算项目支出情况说明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人民陪审员业务经费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 xml:space="preserve">《关于进一步加强人民陪审员经费管理的通知》新财行【2005】314号 </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年度项目经费20万元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昌吉州中级人民法院</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：印刷资料、表彰先进、对陪审员的培训、发放交通补助、发放生活补助、学习用书等支出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2022年1月1日-2022年12月31日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昌吉州中级人民法院2022年一般公共预算“三公”经费数为19.84万元，其中：因公出国（境）费0万元，公务用车购置0万元，公务用车运行费16.9万元，公务接待费2.94万元。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减少45.65万元，下降69.70%，其中：因公出国（境）费增加0万元，增长0%，主要原因是:未安排因公出国（境）预算；公务用车购置费增加0万元，增长0%，主要原因是未安排公务用车购置预算；公务用车运行费减少45.65万元，下降72.98%，主要原因是:厉行节约，压缩三公经费支出；公务接待费增加0万元，增长0%，主要原因是压缩三公经费支出，与上年持平。</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rPr>
        <w:t>昌吉州中级人民法院</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昌吉州中级人民法院</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昌吉州中级人民法院</w:t>
      </w:r>
      <w:r>
        <w:rPr>
          <w:rFonts w:hint="eastAsia" w:ascii="仿宋_GB2312" w:hAnsi="仿宋_GB2312" w:eastAsia="仿宋_GB2312" w:cs="仿宋_GB2312"/>
          <w:kern w:val="0"/>
          <w:sz w:val="32"/>
          <w:szCs w:val="32"/>
        </w:rPr>
        <w:t>机关运行经费财政拨款预算358.01万元，比上年预算减少23.83万元，下降6.24%。主要原因是：</w:t>
      </w:r>
      <w:r>
        <w:rPr>
          <w:rFonts w:hint="eastAsia" w:ascii="仿宋_GB2312" w:hAnsi="宋体" w:eastAsia="仿宋_GB2312" w:cs="宋体"/>
          <w:kern w:val="0"/>
          <w:sz w:val="32"/>
          <w:szCs w:val="32"/>
        </w:rPr>
        <w:t>在职人员减少7人，运行经费减少</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昌吉州中级人民法院</w:t>
      </w:r>
      <w:r>
        <w:rPr>
          <w:rFonts w:hint="eastAsia" w:ascii="仿宋_GB2312" w:hAnsi="仿宋_GB2312" w:eastAsia="仿宋_GB2312" w:cs="仿宋_GB2312"/>
          <w:kern w:val="0"/>
          <w:sz w:val="32"/>
          <w:szCs w:val="32"/>
        </w:rPr>
        <w:t>政府采购预算194.9万元，其中：政府采购货物预算59.9万元，政府采购工程预算0万元，政府采购服务预算135万元。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2022年度本部门（单位）面向中小企业预留政府采购项目预算金额194.9.9万元，其中：面向小微企业预留政府采购项目预算金额5万元。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昌吉州中级人民法院</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宋体" w:eastAsia="仿宋_GB2312" w:cs="宋体"/>
          <w:kern w:val="0"/>
          <w:sz w:val="32"/>
          <w:szCs w:val="32"/>
        </w:rPr>
        <w:t>19373.33</w:t>
      </w:r>
      <w:r>
        <w:rPr>
          <w:rFonts w:hint="eastAsia" w:ascii="仿宋_GB2312" w:hAnsi="仿宋_GB2312" w:eastAsia="仿宋_GB2312" w:cs="仿宋_GB2312"/>
          <w:kern w:val="0"/>
          <w:sz w:val="32"/>
          <w:szCs w:val="32"/>
        </w:rPr>
        <w:t>平方米，价值6809.20万元。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2.车辆31辆，价值852.20万元；其中：一般公务用车16辆，价值395.60万元；执法执勤用车15辆，价值456.60万元；其他车辆0辆，价值0万元。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3.办公家具价值332.87万元。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4.其他资产价值2741.52万元。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单位价值50万元以上大型设备2台（套），单位价值100万元以上大型设备2台（套）。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2022年，本年度预算绩效管理的财政拨款项目1个，涉及预算金额20万元。具体情况见下表（按项目分别填报）：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b/>
                <w:color w:val="000000"/>
                <w:kern w:val="0"/>
                <w:sz w:val="18"/>
                <w:szCs w:val="18"/>
              </w:rPr>
              <w:t>昌吉州中级人民法院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人民陪审员业务经费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目标1.培训参加人数300人次；全年表彰县市数量7县（市）；全年培训场次</w:t>
            </w:r>
            <w:r>
              <w:rPr>
                <w:rFonts w:hint="eastAsia" w:ascii="宋体" w:hAnsi="宋体" w:cs="宋体"/>
                <w:color w:val="000000"/>
                <w:sz w:val="18"/>
                <w:szCs w:val="18"/>
              </w:rPr>
              <w:tab/>
            </w:r>
            <w:r>
              <w:rPr>
                <w:rFonts w:hint="eastAsia" w:ascii="宋体" w:hAnsi="宋体" w:cs="宋体"/>
                <w:color w:val="000000"/>
                <w:sz w:val="18"/>
                <w:szCs w:val="18"/>
              </w:rPr>
              <w:t>2场；人民陪审员培训合格率95%；人民陪审员培训出勤率95%；陪审员费用报销及时率100%。目标2.提高人民陪审员业务水平，保证公正审判，不断提高司法公信力。持续提高陪审员的履职能力和业务水平，保证审判质量。</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培训参加人数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&gt;=300人次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全年表彰县市数量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=7县（市）</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全年培训场次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&gt;=2场</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人民陪审员培训合格率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人民陪审员培训出勤率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开展人民陪审员业务完成时间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12月31日</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陪审员费用报销及时率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人民陪审员业务经费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&lt;=15万元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全年培训经费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&lt;=5万元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提高人民陪审员业务水平，保证公正审判，不断提高司法公信力。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有效提高</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持续提高陪审员的履职能力和业务水平，保证审判质量。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持续提高</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受训人员满意度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&gt;=95%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w:t>
      </w:r>
      <w:bookmarkStart w:id="0" w:name="_GoBack"/>
      <w:bookmarkEnd w:id="0"/>
      <w:r>
        <w:rPr>
          <w:rFonts w:hint="eastAsia" w:ascii="仿宋_GB2312" w:eastAsia="仿宋_GB2312"/>
          <w:sz w:val="32"/>
          <w:szCs w:val="32"/>
        </w:rPr>
        <w:t>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昌吉州中级人民法院</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宋体" w:hAnsi="宋体"/>
        <w:sz w:val="28"/>
        <w:szCs w:val="28"/>
      </w:rP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D477F"/>
    <w:rsid w:val="002E5250"/>
    <w:rsid w:val="00333BAA"/>
    <w:rsid w:val="003923D8"/>
    <w:rsid w:val="004265FD"/>
    <w:rsid w:val="00432BE1"/>
    <w:rsid w:val="0047118F"/>
    <w:rsid w:val="004D477F"/>
    <w:rsid w:val="0059437A"/>
    <w:rsid w:val="0090107A"/>
    <w:rsid w:val="00944B81"/>
    <w:rsid w:val="00AF3F7E"/>
    <w:rsid w:val="00B141E5"/>
    <w:rsid w:val="00C12D75"/>
    <w:rsid w:val="00C761A2"/>
    <w:rsid w:val="00CE4C77"/>
    <w:rsid w:val="00D81F4B"/>
    <w:rsid w:val="00D85033"/>
    <w:rsid w:val="00F91EEB"/>
    <w:rsid w:val="02CD5980"/>
    <w:rsid w:val="0430641F"/>
    <w:rsid w:val="0AA6526A"/>
    <w:rsid w:val="0FCB0350"/>
    <w:rsid w:val="13123517"/>
    <w:rsid w:val="176C213B"/>
    <w:rsid w:val="1C9B03D4"/>
    <w:rsid w:val="1CE149CB"/>
    <w:rsid w:val="2D6F6A58"/>
    <w:rsid w:val="3949119F"/>
    <w:rsid w:val="4244776E"/>
    <w:rsid w:val="4B5C5926"/>
    <w:rsid w:val="500631AE"/>
    <w:rsid w:val="6C025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uiPriority w:val="99"/>
    <w:rPr>
      <w:sz w:val="18"/>
      <w:szCs w:val="18"/>
    </w:rPr>
  </w:style>
  <w:style w:type="character" w:customStyle="1" w:styleId="12">
    <w:name w:val="标题 2 Char"/>
    <w:basedOn w:val="8"/>
    <w:link w:val="2"/>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27</Pages>
  <Words>1874</Words>
  <Characters>10684</Characters>
  <Lines>89</Lines>
  <Paragraphs>25</Paragraphs>
  <TotalTime>3</TotalTime>
  <ScaleCrop>false</ScaleCrop>
  <LinksUpToDate>false</LinksUpToDate>
  <CharactersWithSpaces>12533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2022-04-14T04:16:27Z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AB0CD91E33F844E99CDB19FBD912C214</vt:lpwstr>
  </property>
</Properties>
</file>