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宋体"/>
          <w:b/>
          <w:bCs/>
          <w:kern w:val="0"/>
          <w:sz w:val="44"/>
          <w:szCs w:val="44"/>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line="600" w:lineRule="exact"/>
        <w:jc w:val="center"/>
        <w:outlineLvl w:val="1"/>
        <w:rPr>
          <w:rFonts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中共昌吉回族自治州委员会机构编制委员会</w:t>
      </w:r>
    </w:p>
    <w:p>
      <w:pPr>
        <w:widowControl/>
        <w:spacing w:before="100" w:beforeAutospacing="1" w:after="100" w:afterAutospacing="1" w:line="600" w:lineRule="exact"/>
        <w:jc w:val="center"/>
        <w:outlineLvl w:val="1"/>
        <w:rPr>
          <w:rFonts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办公室</w:t>
      </w:r>
      <w:r>
        <w:rPr>
          <w:rFonts w:hint="eastAsia" w:ascii="方正小标宋简体" w:hAnsi="方正小标宋简体" w:eastAsia="方正小标宋简体" w:cs="方正小标宋简体"/>
          <w:kern w:val="0"/>
          <w:sz w:val="44"/>
          <w:szCs w:val="44"/>
        </w:rPr>
        <w:t>2022</w:t>
      </w:r>
      <w:r>
        <w:rPr>
          <w:rFonts w:hint="eastAsia" w:ascii="方正小标宋简体" w:hAnsi="方正小标宋简体" w:eastAsia="方正小标宋简体" w:cs="方正小标宋简体"/>
          <w:b/>
          <w:bCs/>
          <w:kern w:val="0"/>
          <w:sz w:val="44"/>
          <w:szCs w:val="44"/>
        </w:rPr>
        <w:t>年部门预算公开</w:t>
      </w:r>
    </w:p>
    <w:p>
      <w:pPr>
        <w:rPr>
          <w:rFonts w:ascii="宋体" w:hAnsi="宋体" w:cs="宋体"/>
          <w:b/>
          <w:bCs/>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6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560" w:lineRule="exact"/>
        <w:ind w:firstLine="883" w:firstLineChars="200"/>
        <w:outlineLvl w:val="1"/>
        <w:rPr>
          <w:rFonts w:ascii="宋体" w:hAnsi="宋体"/>
          <w:b/>
          <w:kern w:val="0"/>
          <w:sz w:val="44"/>
          <w:szCs w:val="44"/>
        </w:rPr>
      </w:pPr>
    </w:p>
    <w:p>
      <w:pPr>
        <w:widowControl/>
        <w:spacing w:line="560" w:lineRule="exact"/>
        <w:ind w:firstLine="643" w:firstLineChars="200"/>
        <w:outlineLvl w:val="1"/>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中共昌吉回族自治州委员会机构编制委员会办</w:t>
      </w:r>
    </w:p>
    <w:p>
      <w:pPr>
        <w:widowControl/>
        <w:spacing w:line="560" w:lineRule="exact"/>
        <w:outlineLvl w:val="1"/>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公室单位概况</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widowControl/>
        <w:spacing w:line="560" w:lineRule="exact"/>
        <w:ind w:firstLine="643" w:firstLineChars="200"/>
        <w:outlineLvl w:val="1"/>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2022年部门预算公开表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收支总体情况表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收入总体情况表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支出总体情况表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560" w:lineRule="exact"/>
        <w:ind w:firstLine="643" w:firstLineChars="200"/>
        <w:outlineLvl w:val="1"/>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2022年部门预算情况说明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2022年收支预算情况的总体说明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2022年收入预算情况说明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2022年支出预算情况说明</w:t>
      </w:r>
    </w:p>
    <w:p>
      <w:pPr>
        <w:widowControl/>
        <w:spacing w:line="560" w:lineRule="exact"/>
        <w:ind w:firstLine="640" w:firstLineChars="200"/>
        <w:outlineLvl w:val="1"/>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四、关于中共昌吉回族自治州委员会机构编制委员会办公室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2022年一般公共预算当年拨款情况说明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2022年一般公共预算基本支出情况说明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2022年一般公共预算项目支出情况说明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2022年一般公共预算“三公”经费预算情况说明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2022年政府性基金预算拨款情况说明</w:t>
      </w:r>
    </w:p>
    <w:p>
      <w:pPr>
        <w:widowControl/>
        <w:spacing w:line="560" w:lineRule="exact"/>
        <w:ind w:firstLine="640" w:firstLineChars="200"/>
        <w:outlineLvl w:val="1"/>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widowControl/>
        <w:spacing w:line="560" w:lineRule="exact"/>
        <w:ind w:firstLine="643" w:firstLineChars="200"/>
        <w:outlineLvl w:val="1"/>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widowControl/>
        <w:spacing w:line="560" w:lineRule="exact"/>
        <w:jc w:val="center"/>
        <w:outlineLvl w:val="1"/>
        <w:rPr>
          <w:rFonts w:ascii="仿宋_GB2312" w:hAnsi="仿宋_GB2312" w:eastAsia="仿宋_GB2312" w:cs="仿宋_GB2312"/>
          <w:kern w:val="0"/>
          <w:sz w:val="32"/>
          <w:szCs w:val="32"/>
        </w:rPr>
      </w:pPr>
    </w:p>
    <w:p>
      <w:pPr>
        <w:widowControl/>
        <w:spacing w:line="560" w:lineRule="exact"/>
        <w:jc w:val="center"/>
        <w:outlineLvl w:val="1"/>
        <w:rPr>
          <w:rFonts w:ascii="仿宋_GB2312" w:hAnsi="仿宋_GB2312" w:eastAsia="仿宋_GB2312" w:cs="仿宋_GB2312"/>
          <w:kern w:val="0"/>
          <w:sz w:val="32"/>
          <w:szCs w:val="32"/>
        </w:rPr>
      </w:pPr>
    </w:p>
    <w:p>
      <w:pPr>
        <w:widowControl/>
        <w:spacing w:line="560" w:lineRule="exact"/>
        <w:jc w:val="center"/>
        <w:outlineLvl w:val="1"/>
        <w:rPr>
          <w:rFonts w:ascii="仿宋_GB2312" w:hAnsi="仿宋_GB2312" w:eastAsia="仿宋_GB2312" w:cs="仿宋_GB2312"/>
          <w:kern w:val="0"/>
          <w:sz w:val="32"/>
          <w:szCs w:val="32"/>
        </w:rPr>
      </w:pPr>
    </w:p>
    <w:p>
      <w:pPr>
        <w:widowControl/>
        <w:spacing w:line="560" w:lineRule="exact"/>
        <w:outlineLvl w:val="1"/>
        <w:rPr>
          <w:rFonts w:ascii="仿宋_GB2312" w:hAnsi="仿宋_GB2312" w:eastAsia="仿宋_GB2312" w:cs="仿宋_GB2312"/>
          <w:kern w:val="0"/>
          <w:sz w:val="32"/>
          <w:szCs w:val="32"/>
        </w:rPr>
      </w:pPr>
    </w:p>
    <w:p>
      <w:pPr>
        <w:widowControl/>
        <w:spacing w:line="540" w:lineRule="exact"/>
        <w:outlineLvl w:val="1"/>
        <w:rPr>
          <w:rFonts w:ascii="黑体" w:hAnsi="黑体" w:eastAsia="黑体" w:cs="黑体"/>
          <w:b/>
          <w:bCs/>
          <w:color w:val="000000"/>
          <w:kern w:val="0"/>
          <w:sz w:val="36"/>
          <w:szCs w:val="36"/>
        </w:rPr>
      </w:pPr>
      <w:r>
        <w:rPr>
          <w:rFonts w:hint="eastAsia" w:ascii="黑体" w:hAnsi="黑体" w:eastAsia="黑体" w:cs="黑体"/>
          <w:b/>
          <w:bCs/>
          <w:color w:val="000000"/>
          <w:kern w:val="0"/>
          <w:sz w:val="36"/>
          <w:szCs w:val="36"/>
        </w:rPr>
        <w:t>第一部分 中共昌吉回族自治州委员会机构编制委员会</w:t>
      </w:r>
    </w:p>
    <w:p>
      <w:pPr>
        <w:widowControl/>
        <w:spacing w:line="540" w:lineRule="exact"/>
        <w:jc w:val="center"/>
        <w:outlineLvl w:val="1"/>
        <w:rPr>
          <w:rFonts w:ascii="黑体" w:hAnsi="黑体" w:eastAsia="黑体" w:cs="黑体"/>
          <w:b/>
          <w:kern w:val="0"/>
          <w:sz w:val="36"/>
          <w:szCs w:val="36"/>
        </w:rPr>
      </w:pPr>
      <w:r>
        <w:rPr>
          <w:rFonts w:hint="eastAsia" w:ascii="黑体" w:hAnsi="黑体" w:eastAsia="黑体" w:cs="黑体"/>
          <w:b/>
          <w:bCs/>
          <w:color w:val="000000"/>
          <w:kern w:val="0"/>
          <w:sz w:val="36"/>
          <w:szCs w:val="36"/>
        </w:rPr>
        <w:t>办公室</w:t>
      </w:r>
      <w:r>
        <w:rPr>
          <w:rFonts w:hint="eastAsia" w:ascii="黑体" w:hAnsi="黑体" w:eastAsia="黑体" w:cs="黑体"/>
          <w:b/>
          <w:kern w:val="0"/>
          <w:sz w:val="36"/>
          <w:szCs w:val="36"/>
        </w:rPr>
        <w:t>概况</w:t>
      </w:r>
    </w:p>
    <w:p>
      <w:pPr>
        <w:widowControl/>
        <w:spacing w:line="540" w:lineRule="exact"/>
        <w:jc w:val="center"/>
        <w:outlineLvl w:val="1"/>
        <w:rPr>
          <w:rFonts w:ascii="宋体" w:hAnsi="宋体"/>
          <w:b/>
          <w:kern w:val="0"/>
          <w:sz w:val="32"/>
          <w:szCs w:val="32"/>
        </w:rPr>
      </w:pPr>
    </w:p>
    <w:p>
      <w:pPr>
        <w:widowControl/>
        <w:spacing w:line="540" w:lineRule="exact"/>
        <w:jc w:val="left"/>
        <w:rPr>
          <w:rFonts w:ascii="仿宋_GB2312" w:hAnsi="仿宋_GB2312" w:eastAsia="仿宋_GB2312" w:cs="仿宋_GB2312"/>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贯彻执行党和国家以及自治区关于行政管理体制改革、机构改革、事业单位分类改革和机构编制管理的方针、政策和法律、法规、规章、制度，研究自治州行政管理体制改革、机构改革、事业单位分类改革和机构编制管理有关问题，提出意见和建议。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研究拟订自治州党政机构改革方案、事业单位改革方案并组织实施。审核自治州党政机构、人大和政协机关、法院和检察院机关、各民主党派、人民团体和群众团体机关、各类开发区（园区）管理机构以及自治州党委、政府直属事业单位“三定”规定，负责自治州各部门“三定”规定的具体解释工作；审核自治州各部门所属事业单位机构改革方案。</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3.指导协调县（市）、乡（镇）行政管理体制改革、机构改革、事业单位改革工作。指导县（市）拟订党政机构改革方案和事业单位改革方案，跟踪督促改革进展情况，协调解决改革共性问题。</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统一管理自治州各级党政机构、人大和政协机关、法院和检察院机关、各民主党派、人民团体和群众团体机关、各类开发区（园区）管理机构以及各级各类事业单位职能职责配置、机构设置、人员编制和领导职数核定工作。审核并提出州本级各部门、各单位职能配置和职责调整意见，协调州本级各部门之间以及各部门与县（市）之间的职责分工；审核并提出州本级各部门、各单位机构设置、人员编制和领导职数调整意见；审核县（市）党政机构、有关人民团体和群众团体机关以及事业单位的机构设置。总量管理各县（市）机构、人员编制和领导职数；研究拟订自治州各类事业单位机构编制标准。</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监督检查各县（市）、各部门、各类开发区（园区）贯彻执行机构编制法律法规和有关机构编制政策、规定情况。监督检查州本级各部门、各类开发区（园区）管理机构“三定”规定执行情况；监督检查各县（市）党政机构改革方案和事业单位改革方案执行情况，监督检查各县（市）、各类开发区（园区）机构设置、编制总额和领导职数配备的执行情况；监督检查自治州各级各类事业单位机构编制事项的执行情况；受理违反机构编制法规、纪律的检举和投诉，进行调查核实并提出处理意见；指导各县（市）机构编制部门开展监督检查工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自治州事业单位登记管理工作。依法对州本级及授权登记的事业单位进行法人登记，组织实施年度报告公开工作，管理维护网上登记管理信息系统，依法保护事业单位有关登记事项的合法权益，依法处理违反《事业单位登记管理暂行条例》和《事业单位登记管理暂行条例实施细则》的行为。指导和监督检查县（市）事业单位登记管理工作。负责州本级党政机构、人大和政协机关、法院和检察院机关、各民主党派、人民团体和群众团体机关、各类开发区（园区）管理机构统一社会信用代码赋码发证工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7.负责自治州机构编制统计工作。负责自治州各级各类机构编制统计、汇总、分析和上报工作，负责自治州机构编制实名制管理工作。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8.完成自治州党委和自治州党委机构编制委员会交办的其他任务。</w:t>
      </w:r>
    </w:p>
    <w:p>
      <w:pPr>
        <w:spacing w:line="540" w:lineRule="exact"/>
        <w:ind w:firstLine="640" w:firstLineChars="200"/>
        <w:rPr>
          <w:rFonts w:ascii="仿宋_GB2312" w:hAnsi="宋体" w:eastAsia="仿宋_GB2312" w:cs="宋体"/>
          <w:bCs/>
          <w:kern w:val="0"/>
          <w:sz w:val="32"/>
          <w:szCs w:val="32"/>
        </w:rPr>
      </w:pPr>
      <w:r>
        <w:rPr>
          <w:rFonts w:hint="eastAsia" w:ascii="仿宋_GB2312" w:hAnsi="仿宋_GB2312" w:eastAsia="仿宋_GB2312" w:cs="仿宋_GB2312"/>
          <w:sz w:val="32"/>
          <w:szCs w:val="32"/>
        </w:rPr>
        <w:t>9.职能调整。对应自治区党委机构编制委员会办公室职责调整，自治州党委机构编制委员会办公室不再承担“统筹推进自治州本级行政审批制度改革工作，指导监督各县（市）、各部门行政审批制度改革工作”的职责。</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昌吉州党委编办无下属预算单位，下设五个科室，分别是：综合科（组织人事科）、行政科、事业科、监督检查科、事业单位登记管理科。</w:t>
      </w:r>
      <w:r>
        <w:rPr>
          <w:rFonts w:hint="eastAsia" w:ascii="仿宋_GB2312" w:hAnsi="仿宋_GB2312" w:eastAsia="仿宋_GB2312" w:cs="仿宋_GB2312"/>
          <w:sz w:val="32"/>
          <w:szCs w:val="32"/>
        </w:rPr>
        <w:t>所属事业单位州机构编制服务中心</w:t>
      </w:r>
      <w:r>
        <w:rPr>
          <w:rFonts w:hint="eastAsia" w:ascii="仿宋_GB2312" w:hAnsi="仿宋_GB2312" w:eastAsia="仿宋_GB2312" w:cs="仿宋_GB2312"/>
          <w:color w:val="000000"/>
          <w:kern w:val="0"/>
          <w:sz w:val="32"/>
          <w:szCs w:val="32"/>
        </w:rPr>
        <w:t>(副县级)，未单独核算。</w:t>
      </w:r>
    </w:p>
    <w:p>
      <w:pPr>
        <w:spacing w:line="54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昌吉州党委编办列行政编制21名、工勤编制2名，实有人数24人，其中：在职人员20人，增加2人；昌吉州机构编制服务中心核定事业编制12名，实有人数10人，其中：在职人员10名；退休人员4名；离休人员0人。</w:t>
      </w:r>
    </w:p>
    <w:p>
      <w:pPr>
        <w:pStyle w:val="2"/>
        <w:rPr>
          <w:highlight w:val="yellow"/>
        </w:rPr>
      </w:pPr>
    </w:p>
    <w:p>
      <w:pPr>
        <w:widowControl/>
        <w:spacing w:line="480" w:lineRule="exact"/>
        <w:jc w:val="left"/>
        <w:rPr>
          <w:rFonts w:ascii="仿宋_GB2312" w:hAnsi="宋体" w:eastAsia="仿宋_GB2312" w:cs="宋体"/>
          <w:kern w:val="0"/>
          <w:sz w:val="32"/>
          <w:szCs w:val="32"/>
          <w:highlight w:val="yellow"/>
        </w:rPr>
      </w:pPr>
    </w:p>
    <w:p>
      <w:pPr>
        <w:widowControl/>
        <w:spacing w:line="280" w:lineRule="exact"/>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2022年部门预算公开表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                     </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519.02</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401.58</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519.02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36"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44.09</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34.33</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39.03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519.02</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519.02</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                           </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1097"/>
        <w:gridCol w:w="462"/>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109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46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46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kern w:val="0"/>
                <w:sz w:val="20"/>
                <w:szCs w:val="20"/>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401.58</w:t>
            </w:r>
          </w:p>
        </w:tc>
        <w:tc>
          <w:tcPr>
            <w:tcW w:w="1097" w:type="dxa"/>
            <w:tcBorders>
              <w:top w:val="nil"/>
              <w:left w:val="nil"/>
              <w:bottom w:val="single" w:color="auto" w:sz="4" w:space="0"/>
              <w:right w:val="single" w:color="auto" w:sz="4" w:space="0"/>
            </w:tcBorders>
            <w:shd w:val="clear" w:color="000000" w:fill="FFFFFF"/>
            <w:noWrap/>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401.58</w:t>
            </w:r>
          </w:p>
        </w:tc>
        <w:tc>
          <w:tcPr>
            <w:tcW w:w="462"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36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其他共产党事务</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401.58</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401.58</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36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01</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行政运行</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254.38</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254.38</w:t>
            </w:r>
          </w:p>
        </w:tc>
        <w:tc>
          <w:tcPr>
            <w:tcW w:w="46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36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02</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一般行政管理事务</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63.00</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63.00</w:t>
            </w:r>
          </w:p>
        </w:tc>
        <w:tc>
          <w:tcPr>
            <w:tcW w:w="46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36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50</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事业运行</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84.20</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84.20</w:t>
            </w:r>
          </w:p>
        </w:tc>
        <w:tc>
          <w:tcPr>
            <w:tcW w:w="46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kern w:val="0"/>
                <w:sz w:val="20"/>
                <w:szCs w:val="20"/>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44.09</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44.09</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44.09</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44.09</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仿宋_GB2312" w:eastAsia="仿宋_GB2312" w:cs="仿宋_GB2312"/>
                <w:color w:val="000000"/>
                <w:sz w:val="20"/>
                <w:szCs w:val="20"/>
              </w:rPr>
              <w:t>01</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0.40</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0.40</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05</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机关事业单位基本养老保险缴费</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43.69</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43.69</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80"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kern w:val="0"/>
                <w:sz w:val="20"/>
                <w:szCs w:val="20"/>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34.33</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34.33</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34.33</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34.33</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01</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18.03</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18.03</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02</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7.90</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7.90</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03</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8.19</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8.19</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99</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仿宋_GB2312" w:hAnsi="仿宋_GB2312" w:eastAsia="仿宋_GB2312" w:cs="仿宋_GB2312"/>
                <w:color w:val="000000"/>
                <w:kern w:val="0"/>
                <w:sz w:val="20"/>
                <w:szCs w:val="20"/>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0.20</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kern w:val="0"/>
                <w:sz w:val="20"/>
                <w:szCs w:val="20"/>
              </w:rPr>
              <w:t>0.20</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20"/>
                <w:szCs w:val="20"/>
              </w:rPr>
              <w:t>住房保障支出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39.03</w:t>
            </w:r>
          </w:p>
        </w:tc>
        <w:tc>
          <w:tcPr>
            <w:tcW w:w="1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39.03</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20"/>
                <w:szCs w:val="20"/>
              </w:rPr>
              <w:t>住房改革支出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39.03</w:t>
            </w:r>
          </w:p>
        </w:tc>
        <w:tc>
          <w:tcPr>
            <w:tcW w:w="1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39.03</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39.03</w:t>
            </w:r>
          </w:p>
        </w:tc>
        <w:tc>
          <w:tcPr>
            <w:tcW w:w="1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39.03</w:t>
            </w:r>
          </w:p>
        </w:tc>
        <w:tc>
          <w:tcPr>
            <w:tcW w:w="4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519.02</w:t>
            </w:r>
          </w:p>
        </w:tc>
        <w:tc>
          <w:tcPr>
            <w:tcW w:w="1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519.02</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              </w:t>
      </w:r>
    </w:p>
    <w:tbl>
      <w:tblPr>
        <w:tblStyle w:val="7"/>
        <w:tblW w:w="9423" w:type="dxa"/>
        <w:tblInd w:w="-240" w:type="dxa"/>
        <w:tblLayout w:type="fixed"/>
        <w:tblCellMar>
          <w:top w:w="0" w:type="dxa"/>
          <w:left w:w="108" w:type="dxa"/>
          <w:bottom w:w="0" w:type="dxa"/>
          <w:right w:w="108" w:type="dxa"/>
        </w:tblCellMar>
      </w:tblPr>
      <w:tblGrid>
        <w:gridCol w:w="623"/>
        <w:gridCol w:w="465"/>
        <w:gridCol w:w="420"/>
        <w:gridCol w:w="2300"/>
        <w:gridCol w:w="1855"/>
        <w:gridCol w:w="1856"/>
        <w:gridCol w:w="1904"/>
      </w:tblGrid>
      <w:tr>
        <w:tblPrEx>
          <w:tblLayout w:type="fixed"/>
          <w:tblCellMar>
            <w:top w:w="0" w:type="dxa"/>
            <w:left w:w="108" w:type="dxa"/>
            <w:bottom w:w="0" w:type="dxa"/>
            <w:right w:w="108" w:type="dxa"/>
          </w:tblCellMar>
        </w:tblPrEx>
        <w:trPr>
          <w:trHeight w:val="345" w:hRule="atLeast"/>
        </w:trPr>
        <w:tc>
          <w:tcPr>
            <w:tcW w:w="380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50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0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300"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201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rPr>
            </w:pPr>
            <w:r>
              <w:rPr>
                <w:rFonts w:hint="eastAsia" w:ascii="仿宋_GB2312" w:hAnsi="宋体" w:eastAsia="仿宋_GB2312" w:cs="宋体"/>
                <w:kern w:val="0"/>
                <w:sz w:val="20"/>
                <w:szCs w:val="20"/>
              </w:rPr>
              <w:t>一般公共服务支出</w:t>
            </w: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rPr>
            </w:pPr>
          </w:p>
        </w:tc>
        <w:tc>
          <w:tcPr>
            <w:tcW w:w="185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sz w:val="20"/>
                <w:szCs w:val="20"/>
              </w:rPr>
              <w:t>201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sz w:val="20"/>
                <w:szCs w:val="20"/>
              </w:rPr>
              <w:t>36</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rPr>
            </w:pPr>
            <w:r>
              <w:rPr>
                <w:rFonts w:hint="eastAsia" w:ascii="仿宋_GB2312" w:hAnsi="宋体" w:eastAsia="仿宋_GB2312" w:cs="宋体"/>
                <w:color w:val="000000"/>
                <w:sz w:val="20"/>
                <w:szCs w:val="20"/>
              </w:rPr>
              <w:t>其他共产党事务</w:t>
            </w: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rPr>
            </w:pPr>
          </w:p>
        </w:tc>
        <w:tc>
          <w:tcPr>
            <w:tcW w:w="185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01</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仿宋_GB2312" w:eastAsia="仿宋_GB2312" w:cs="仿宋_GB2312"/>
                <w:color w:val="000000"/>
                <w:kern w:val="0"/>
                <w:sz w:val="20"/>
                <w:szCs w:val="20"/>
              </w:rPr>
              <w:t>行政运行</w:t>
            </w: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仿宋_GB2312" w:eastAsia="仿宋_GB2312" w:cs="仿宋_GB2312"/>
                <w:color w:val="000000"/>
                <w:kern w:val="0"/>
                <w:sz w:val="20"/>
                <w:szCs w:val="20"/>
              </w:rPr>
              <w:t>254.38</w:t>
            </w:r>
          </w:p>
        </w:tc>
        <w:tc>
          <w:tcPr>
            <w:tcW w:w="185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仿宋_GB2312" w:eastAsia="仿宋_GB2312" w:cs="仿宋_GB2312"/>
                <w:color w:val="000000"/>
                <w:kern w:val="0"/>
                <w:sz w:val="20"/>
                <w:szCs w:val="20"/>
              </w:rPr>
              <w:t>254.38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02</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20"/>
                <w:szCs w:val="20"/>
              </w:rPr>
              <w:t>一般行政管理事务</w:t>
            </w: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20"/>
                <w:szCs w:val="20"/>
              </w:rPr>
              <w:t>63.00</w:t>
            </w:r>
          </w:p>
        </w:tc>
        <w:tc>
          <w:tcPr>
            <w:tcW w:w="185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63.00</w:t>
            </w: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50</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仿宋_GB2312" w:eastAsia="仿宋_GB2312" w:cs="仿宋_GB2312"/>
                <w:color w:val="000000"/>
                <w:kern w:val="0"/>
                <w:sz w:val="20"/>
                <w:szCs w:val="20"/>
              </w:rPr>
              <w:t>事业运行</w:t>
            </w: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仿宋_GB2312" w:eastAsia="仿宋_GB2312" w:cs="仿宋_GB2312"/>
                <w:color w:val="000000"/>
                <w:kern w:val="0"/>
                <w:sz w:val="20"/>
                <w:szCs w:val="20"/>
              </w:rPr>
              <w:t>84.20</w:t>
            </w:r>
          </w:p>
        </w:tc>
        <w:tc>
          <w:tcPr>
            <w:tcW w:w="185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仿宋_GB2312" w:eastAsia="仿宋_GB2312" w:cs="仿宋_GB2312"/>
                <w:color w:val="000000"/>
                <w:kern w:val="0"/>
                <w:sz w:val="20"/>
                <w:szCs w:val="20"/>
              </w:rPr>
              <w:t>84.20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kern w:val="0"/>
                <w:sz w:val="20"/>
                <w:szCs w:val="20"/>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color w:val="000000"/>
                <w:sz w:val="20"/>
                <w:szCs w:val="20"/>
              </w:rPr>
              <w:t>44.09</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color w:val="000000"/>
                <w:sz w:val="20"/>
                <w:szCs w:val="20"/>
              </w:rPr>
              <w:t>44.09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05</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44.09</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44.09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05</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sz w:val="20"/>
                <w:szCs w:val="20"/>
              </w:rPr>
              <w:t>01</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行政单位离退休</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0.40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0.40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05</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05</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0"/>
                <w:szCs w:val="20"/>
              </w:rPr>
              <w:t>机关事业单位基本养老保险缴费</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43.69</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43.69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宋体" w:eastAsia="仿宋_GB2312" w:cs="宋体"/>
                <w:kern w:val="0"/>
                <w:sz w:val="20"/>
                <w:szCs w:val="20"/>
              </w:rPr>
              <w:t>卫生健康支出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34.33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34.33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11</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0"/>
                <w:szCs w:val="20"/>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34.33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34.33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11</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01</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行政单位医疗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18.03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18.03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11</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02</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7.90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7.90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11</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03</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0"/>
                <w:szCs w:val="20"/>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8.19</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8.19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11</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99</w:t>
            </w: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0"/>
                <w:szCs w:val="20"/>
              </w:rPr>
              <w:t>其他行政事业单位医疗支出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0.20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0.20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221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20"/>
                <w:szCs w:val="20"/>
              </w:rPr>
              <w:t>住房保障支出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39.03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39.03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221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02</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20"/>
                <w:szCs w:val="20"/>
              </w:rPr>
              <w:t>住房改革支出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39.03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39.03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221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02</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01</w:t>
            </w:r>
          </w:p>
        </w:tc>
        <w:tc>
          <w:tcPr>
            <w:tcW w:w="23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住房公积金</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39.03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rPr>
              <w:t>39.03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65"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519.02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456.02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63.00</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w:t>
      </w:r>
      <w:r>
        <w:rPr>
          <w:rFonts w:hint="eastAsia" w:ascii="仿宋_GB2312" w:hAnsi="宋体" w:eastAsia="仿宋_GB2312"/>
          <w:kern w:val="0"/>
          <w:szCs w:val="21"/>
        </w:rPr>
        <w:t xml:space="preserve">                                  </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519.02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color w:val="000000"/>
                <w:kern w:val="0"/>
                <w:sz w:val="20"/>
                <w:szCs w:val="20"/>
              </w:rPr>
              <w:t>401.58</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color w:val="000000"/>
                <w:kern w:val="0"/>
                <w:sz w:val="20"/>
                <w:szCs w:val="20"/>
              </w:rPr>
              <w:t>401.58</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519.02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44.09</w:t>
            </w:r>
          </w:p>
        </w:tc>
        <w:tc>
          <w:tcPr>
            <w:tcW w:w="964" w:type="dxa"/>
            <w:tcBorders>
              <w:top w:val="nil"/>
              <w:left w:val="nil"/>
              <w:bottom w:val="single" w:color="auto" w:sz="4" w:space="0"/>
              <w:right w:val="single" w:color="auto" w:sz="4" w:space="0"/>
            </w:tcBorders>
            <w:vAlign w:val="center"/>
          </w:tcPr>
          <w:p>
            <w:pPr>
              <w:pStyle w:val="2"/>
              <w:jc w:val="center"/>
              <w:rPr>
                <w:sz w:val="20"/>
                <w:szCs w:val="20"/>
              </w:rPr>
            </w:pPr>
            <w:r>
              <w:rPr>
                <w:rFonts w:hint="eastAsia" w:ascii="仿宋_GB2312" w:hAnsi="宋体" w:eastAsia="仿宋_GB2312" w:cs="宋体"/>
                <w:kern w:val="0"/>
                <w:sz w:val="20"/>
                <w:szCs w:val="20"/>
              </w:rPr>
              <w:t>44.09</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34.33</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34.33</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519.02　</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519.02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519.02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仿宋_GB2312" w:eastAsia="仿宋_GB2312" w:cs="仿宋_GB2312"/>
                <w:bCs/>
                <w:kern w:val="0"/>
                <w:sz w:val="24"/>
              </w:rPr>
              <w:t xml:space="preserve">编制部门：中共昌吉回族自治州委员会机构编制委员会办公室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_GB2312" w:hAnsi="宋体" w:eastAsia="仿宋_GB2312" w:cs="宋体"/>
                <w:kern w:val="0"/>
                <w:sz w:val="20"/>
                <w:szCs w:val="20"/>
              </w:rPr>
              <w:t>一般公共服务支出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其他共产党事务</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行政运行</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254.38</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254.38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02</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一般行政管理事务</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63.00</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63.00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50</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事业运行</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84.20</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84.20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kern w:val="0"/>
                <w:sz w:val="20"/>
                <w:szCs w:val="20"/>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44.09</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44.09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44.09</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44.09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sz w:val="20"/>
                <w:szCs w:val="20"/>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行政单位离退休</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0.40</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0.40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05</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机关事业单位基本养老保险缴费</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43.69</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43.69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kern w:val="0"/>
                <w:sz w:val="20"/>
                <w:szCs w:val="20"/>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34.33</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34.33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34.33</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34.33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行政单位医疗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18.03</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18.03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7.90</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7.90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公务员医疗补助</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8.19</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8.19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99</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0"/>
                <w:szCs w:val="20"/>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0.20</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20"/>
                <w:szCs w:val="20"/>
              </w:rPr>
              <w:t>住房保障支出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39.03</w:t>
            </w:r>
          </w:p>
        </w:tc>
        <w:tc>
          <w:tcPr>
            <w:tcW w:w="184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39.03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20"/>
                <w:szCs w:val="20"/>
              </w:rPr>
              <w:t>住房改革支出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39.03</w:t>
            </w:r>
          </w:p>
        </w:tc>
        <w:tc>
          <w:tcPr>
            <w:tcW w:w="184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39.03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住房公积金</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39.03</w:t>
            </w:r>
          </w:p>
        </w:tc>
        <w:tc>
          <w:tcPr>
            <w:tcW w:w="184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39.03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519.02</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456.02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rPr>
              <w:t>63.00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16" w:type="dxa"/>
        <w:tblInd w:w="0" w:type="dxa"/>
        <w:tblLayout w:type="fixed"/>
        <w:tblCellMar>
          <w:top w:w="0" w:type="dxa"/>
          <w:left w:w="108" w:type="dxa"/>
          <w:bottom w:w="0" w:type="dxa"/>
          <w:right w:w="108" w:type="dxa"/>
        </w:tblCellMar>
      </w:tblPr>
      <w:tblGrid>
        <w:gridCol w:w="740"/>
        <w:gridCol w:w="564"/>
        <w:gridCol w:w="2825"/>
        <w:gridCol w:w="1662"/>
        <w:gridCol w:w="1662"/>
        <w:gridCol w:w="1663"/>
      </w:tblGrid>
      <w:tr>
        <w:tblPrEx>
          <w:tblLayout w:type="fixed"/>
          <w:tblCellMar>
            <w:top w:w="0" w:type="dxa"/>
            <w:left w:w="108" w:type="dxa"/>
            <w:bottom w:w="0" w:type="dxa"/>
            <w:right w:w="108" w:type="dxa"/>
          </w:tblCellMar>
        </w:tblPrEx>
        <w:trPr>
          <w:trHeight w:val="375" w:hRule="atLeast"/>
        </w:trPr>
        <w:tc>
          <w:tcPr>
            <w:tcW w:w="9116" w:type="dxa"/>
            <w:gridSpan w:val="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285" w:hRule="atLeast"/>
        </w:trPr>
        <w:tc>
          <w:tcPr>
            <w:tcW w:w="9116" w:type="dxa"/>
            <w:gridSpan w:val="6"/>
            <w:tcBorders>
              <w:top w:val="nil"/>
              <w:left w:val="nil"/>
              <w:bottom w:val="nil"/>
              <w:right w:val="nil"/>
            </w:tcBorders>
            <w:noWrap/>
            <w:vAlign w:val="center"/>
          </w:tcPr>
          <w:tbl>
            <w:tblPr>
              <w:tblStyle w:val="7"/>
              <w:tblW w:w="9214" w:type="dxa"/>
              <w:tblInd w:w="0" w:type="dxa"/>
              <w:tblLayout w:type="fixed"/>
              <w:tblCellMar>
                <w:top w:w="0" w:type="dxa"/>
                <w:left w:w="108" w:type="dxa"/>
                <w:bottom w:w="0" w:type="dxa"/>
                <w:right w:w="108" w:type="dxa"/>
              </w:tblCellMar>
            </w:tblPr>
            <w:tblGrid>
              <w:gridCol w:w="9214"/>
            </w:tblGrid>
            <w:tr>
              <w:tblPrEx>
                <w:tblLayout w:type="fixed"/>
                <w:tblCellMar>
                  <w:top w:w="0" w:type="dxa"/>
                  <w:left w:w="108" w:type="dxa"/>
                  <w:bottom w:w="0" w:type="dxa"/>
                  <w:right w:w="108" w:type="dxa"/>
                </w:tblCellMar>
              </w:tblPrEx>
              <w:trPr>
                <w:trHeight w:val="285" w:hRule="atLeast"/>
              </w:trPr>
              <w:tc>
                <w:tcPr>
                  <w:tcW w:w="9214"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仿宋_GB2312" w:eastAsia="仿宋_GB2312" w:cs="仿宋_GB2312"/>
                      <w:bCs/>
                      <w:kern w:val="0"/>
                      <w:sz w:val="24"/>
                    </w:rPr>
                    <w:t xml:space="preserve">编制部门：中共昌吉回族自治州委员会机构编制委员会办公室       </w:t>
                  </w:r>
                  <w:r>
                    <w:rPr>
                      <w:rFonts w:hint="eastAsia" w:ascii="仿宋_GB2312" w:hAnsi="宋体" w:eastAsia="仿宋_GB2312" w:cs="宋体"/>
                      <w:color w:val="000000"/>
                      <w:kern w:val="0"/>
                      <w:sz w:val="24"/>
                    </w:rPr>
                    <w:t>单位：万元</w:t>
                  </w:r>
                </w:p>
              </w:tc>
            </w:tr>
          </w:tbl>
          <w:p>
            <w:pPr>
              <w:widowControl/>
              <w:ind w:firstLine="720" w:firstLineChars="300"/>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52" w:hRule="atLeast"/>
        </w:trPr>
        <w:tc>
          <w:tcPr>
            <w:tcW w:w="412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8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17" w:hRule="atLeast"/>
        </w:trPr>
        <w:tc>
          <w:tcPr>
            <w:tcW w:w="130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 w:val="13"/>
                <w:szCs w:val="13"/>
              </w:rPr>
              <w:t>经济分类科目编码</w:t>
            </w:r>
          </w:p>
        </w:tc>
        <w:tc>
          <w:tcPr>
            <w:tcW w:w="282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6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6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6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2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6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407.29</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基本工资</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131.15</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131.15</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02</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津贴补贴</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101.2</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101.2</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03</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奖金</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10.71</w:t>
            </w:r>
          </w:p>
        </w:tc>
        <w:tc>
          <w:tcPr>
            <w:tcW w:w="1662" w:type="dxa"/>
            <w:tcBorders>
              <w:top w:val="nil"/>
              <w:left w:val="nil"/>
              <w:bottom w:val="single" w:color="auto" w:sz="4" w:space="0"/>
              <w:right w:val="single" w:color="auto" w:sz="4" w:space="0"/>
            </w:tcBorders>
          </w:tcPr>
          <w:p>
            <w:pPr>
              <w:widowControl/>
              <w:wordWrap w:val="0"/>
              <w:ind w:right="147" w:rightChars="70"/>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10.71</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07</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绩效工资</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32.88</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32.88</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08</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机关事业单位基本养老保险缴费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43.69</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43.69</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10</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城镇职工基本医疗保险缴费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25.94</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25.94</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11</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公务员医疗补助缴费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8.19</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8.19</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12</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其他社会保障缴费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0.54</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0.54</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13</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住房公积金</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39.03</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39.03</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301</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99</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其他工资福利支出</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13.96</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13.96</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商品和服务支出</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43.14</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43.14</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办公费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14.65</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14.65</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02</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印刷费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2.52</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2.52</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07</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邮电费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11</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差旅费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13</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维修（护）费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0.65</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0.65</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16</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培训费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17</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公务接待费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24</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被装购置费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0.15</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0.15</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26</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劳务费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0.6</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0.6</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28</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工会经费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5.14</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5.14</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29</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福利费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4.63</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4.63</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31</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公务车运行维护费</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302</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99</w:t>
            </w: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其他商品和服务支出</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3.29</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3.29</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303</w:t>
            </w:r>
          </w:p>
        </w:tc>
        <w:tc>
          <w:tcPr>
            <w:tcW w:w="564"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24"/>
              </w:rPr>
            </w:pPr>
          </w:p>
        </w:tc>
        <w:tc>
          <w:tcPr>
            <w:tcW w:w="2825" w:type="dxa"/>
            <w:tcBorders>
              <w:top w:val="nil"/>
              <w:left w:val="nil"/>
              <w:bottom w:val="single" w:color="auto" w:sz="4" w:space="0"/>
              <w:right w:val="single" w:color="auto" w:sz="4" w:space="0"/>
            </w:tcBorders>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对个人和家庭的补助</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w:t>
            </w:r>
          </w:p>
        </w:tc>
        <w:tc>
          <w:tcPr>
            <w:tcW w:w="1662"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w:t>
            </w:r>
          </w:p>
        </w:tc>
        <w:tc>
          <w:tcPr>
            <w:tcW w:w="1663" w:type="dxa"/>
            <w:tcBorders>
              <w:top w:val="nil"/>
              <w:left w:val="nil"/>
              <w:bottom w:val="single" w:color="auto" w:sz="4" w:space="0"/>
              <w:right w:val="single" w:color="auto" w:sz="4" w:space="0"/>
            </w:tcBorders>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303</w:t>
            </w:r>
          </w:p>
        </w:tc>
        <w:tc>
          <w:tcPr>
            <w:tcW w:w="564" w:type="dxa"/>
            <w:tcBorders>
              <w:top w:val="nil"/>
              <w:left w:val="nil"/>
              <w:bottom w:val="single" w:color="auto" w:sz="4" w:space="0"/>
              <w:right w:val="single" w:color="auto" w:sz="4" w:space="0"/>
            </w:tcBorders>
            <w:vAlign w:val="center"/>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w:t>
            </w:r>
          </w:p>
        </w:tc>
        <w:tc>
          <w:tcPr>
            <w:tcW w:w="2825" w:type="dxa"/>
            <w:tcBorders>
              <w:top w:val="nil"/>
              <w:left w:val="nil"/>
              <w:bottom w:val="single" w:color="auto" w:sz="4" w:space="0"/>
              <w:right w:val="single" w:color="auto" w:sz="4" w:space="0"/>
            </w:tcBorders>
            <w:vAlign w:val="center"/>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离休费（采暖补贴）</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0.40</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0.40</w:t>
            </w:r>
          </w:p>
        </w:tc>
        <w:tc>
          <w:tcPr>
            <w:tcW w:w="16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303</w:t>
            </w:r>
          </w:p>
        </w:tc>
        <w:tc>
          <w:tcPr>
            <w:tcW w:w="564"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05</w:t>
            </w:r>
          </w:p>
        </w:tc>
        <w:tc>
          <w:tcPr>
            <w:tcW w:w="282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生活补助（遗属）</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0.58</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0.58</w:t>
            </w:r>
          </w:p>
        </w:tc>
        <w:tc>
          <w:tcPr>
            <w:tcW w:w="16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303</w:t>
            </w:r>
          </w:p>
        </w:tc>
        <w:tc>
          <w:tcPr>
            <w:tcW w:w="564" w:type="dxa"/>
            <w:tcBorders>
              <w:top w:val="nil"/>
              <w:left w:val="nil"/>
              <w:bottom w:val="single" w:color="auto" w:sz="4" w:space="0"/>
              <w:right w:val="single" w:color="auto" w:sz="4" w:space="0"/>
            </w:tcBorders>
            <w:vAlign w:val="center"/>
          </w:tcPr>
          <w:p>
            <w:pPr>
              <w:widowControl/>
              <w:jc w:val="lef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w:t>
            </w:r>
          </w:p>
        </w:tc>
        <w:tc>
          <w:tcPr>
            <w:tcW w:w="2825" w:type="dxa"/>
            <w:tcBorders>
              <w:top w:val="nil"/>
              <w:left w:val="nil"/>
              <w:bottom w:val="single" w:color="auto" w:sz="4" w:space="0"/>
              <w:right w:val="single" w:color="auto" w:sz="4" w:space="0"/>
            </w:tcBorders>
            <w:vAlign w:val="center"/>
          </w:tcPr>
          <w:p>
            <w:pPr>
              <w:widowControl/>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医疗费补助</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4.34</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4.34</w:t>
            </w:r>
          </w:p>
        </w:tc>
        <w:tc>
          <w:tcPr>
            <w:tcW w:w="16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303</w:t>
            </w:r>
          </w:p>
        </w:tc>
        <w:tc>
          <w:tcPr>
            <w:tcW w:w="564"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rPr>
              <w:t>09</w:t>
            </w:r>
          </w:p>
        </w:tc>
        <w:tc>
          <w:tcPr>
            <w:tcW w:w="282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rPr>
              <w:t>奖励金</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0.28</w:t>
            </w:r>
          </w:p>
        </w:tc>
        <w:tc>
          <w:tcPr>
            <w:tcW w:w="1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0.28</w:t>
            </w:r>
          </w:p>
        </w:tc>
        <w:tc>
          <w:tcPr>
            <w:tcW w:w="16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12"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456.0</w:t>
            </w:r>
            <w:r>
              <w:rPr>
                <w:rFonts w:hint="eastAsia" w:ascii="仿宋_GB2312" w:hAnsi="宋体" w:eastAsia="仿宋_GB2312" w:cs="宋体"/>
                <w:kern w:val="0"/>
                <w:sz w:val="18"/>
                <w:szCs w:val="18"/>
                <w:lang w:val="en-US" w:eastAsia="zh-CN"/>
              </w:rPr>
              <w:t>2</w:t>
            </w:r>
          </w:p>
        </w:tc>
        <w:tc>
          <w:tcPr>
            <w:tcW w:w="166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412.88</w:t>
            </w:r>
          </w:p>
        </w:tc>
        <w:tc>
          <w:tcPr>
            <w:tcW w:w="16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43.14</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10"/>
        <w:gridCol w:w="435"/>
        <w:gridCol w:w="435"/>
        <w:gridCol w:w="654"/>
        <w:gridCol w:w="1456"/>
        <w:gridCol w:w="750"/>
        <w:gridCol w:w="569"/>
        <w:gridCol w:w="536"/>
        <w:gridCol w:w="652"/>
        <w:gridCol w:w="652"/>
        <w:gridCol w:w="578"/>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仿宋_GB2312" w:eastAsia="仿宋_GB2312" w:cs="仿宋_GB2312"/>
                <w:bCs/>
                <w:kern w:val="0"/>
                <w:sz w:val="24"/>
              </w:rPr>
              <w:t xml:space="preserve">编制部门：中共昌吉回族自治州委员会机构编制委员会办公室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8"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54"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8"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54"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一般公共服务支出</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其他共产党事务支出</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4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65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机关编制业务经费项目</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4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65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政府体制改革、乡镇机构改革及事业单位改革项目</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33</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8"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654"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63</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仿宋_GB2312" w:eastAsia="仿宋_GB2312" w:cs="仿宋_GB2312"/>
          <w:bCs/>
          <w:kern w:val="0"/>
          <w:sz w:val="24"/>
        </w:rPr>
        <w:t xml:space="preserve">编制部门：中共昌吉回族自治州委员会机构编制委员会办公室       </w:t>
      </w:r>
      <w:r>
        <w:rPr>
          <w:rFonts w:hint="eastAsia" w:ascii="仿宋_GB2312" w:hAnsi="宋体" w:eastAsia="仿宋_GB2312" w:cs="宋体"/>
          <w:color w:val="000000"/>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仿宋_GB2312" w:eastAsia="仿宋_GB2312" w:cs="仿宋_GB2312"/>
          <w:bCs/>
          <w:kern w:val="0"/>
          <w:sz w:val="24"/>
        </w:rPr>
        <w:t xml:space="preserve">编制部门：中共昌吉回族自治州委员会机构编制委员会办公室       </w:t>
      </w:r>
      <w:r>
        <w:rPr>
          <w:rFonts w:hint="eastAsia" w:ascii="仿宋_GB2312" w:hAnsi="宋体" w:eastAsia="仿宋_GB2312" w:cs="宋体"/>
          <w:color w:val="000000"/>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备注：2022年我单位无政府性基金预算，此表为空表。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numPr>
          <w:ilvl w:val="0"/>
          <w:numId w:val="1"/>
        </w:numPr>
        <w:spacing w:line="560" w:lineRule="exact"/>
        <w:jc w:val="center"/>
        <w:rPr>
          <w:rFonts w:ascii="黑体" w:hAnsi="黑体" w:eastAsia="黑体" w:cs="黑体"/>
          <w:bCs/>
          <w:kern w:val="0"/>
          <w:sz w:val="32"/>
          <w:szCs w:val="32"/>
        </w:rPr>
      </w:pPr>
      <w:r>
        <w:rPr>
          <w:rFonts w:hint="eastAsia" w:ascii="黑体" w:hAnsi="黑体" w:eastAsia="黑体" w:cs="黑体"/>
          <w:kern w:val="0"/>
          <w:sz w:val="32"/>
          <w:szCs w:val="32"/>
        </w:rPr>
        <w:t xml:space="preserve"> 2022年</w:t>
      </w:r>
      <w:r>
        <w:rPr>
          <w:rFonts w:hint="eastAsia" w:ascii="黑体" w:hAnsi="黑体" w:eastAsia="黑体" w:cs="黑体"/>
          <w:bCs/>
          <w:kern w:val="0"/>
          <w:sz w:val="32"/>
          <w:szCs w:val="32"/>
        </w:rPr>
        <w:t>编制部门：中共昌吉回族自治州委员会机</w:t>
      </w:r>
    </w:p>
    <w:p>
      <w:pPr>
        <w:spacing w:line="560" w:lineRule="exact"/>
        <w:jc w:val="center"/>
        <w:rPr>
          <w:rFonts w:ascii="黑体" w:hAnsi="黑体" w:eastAsia="黑体" w:cs="黑体"/>
          <w:kern w:val="0"/>
          <w:sz w:val="32"/>
          <w:szCs w:val="32"/>
        </w:rPr>
      </w:pPr>
      <w:r>
        <w:rPr>
          <w:rFonts w:hint="eastAsia" w:ascii="黑体" w:hAnsi="黑体" w:eastAsia="黑体" w:cs="黑体"/>
          <w:bCs/>
          <w:kern w:val="0"/>
          <w:sz w:val="32"/>
          <w:szCs w:val="32"/>
        </w:rPr>
        <w:t>构编制委员会办公室</w:t>
      </w:r>
      <w:r>
        <w:rPr>
          <w:rFonts w:hint="eastAsia" w:ascii="黑体" w:hAnsi="黑体" w:eastAsia="黑体" w:cs="黑体"/>
          <w:kern w:val="0"/>
          <w:sz w:val="32"/>
          <w:szCs w:val="32"/>
        </w:rPr>
        <w:t>预算情况说明</w:t>
      </w:r>
    </w:p>
    <w:p>
      <w:pPr>
        <w:spacing w:line="560" w:lineRule="exact"/>
        <w:jc w:val="center"/>
        <w:rPr>
          <w:rFonts w:ascii="黑体" w:hAnsi="黑体" w:eastAsia="黑体"/>
          <w:kern w:val="0"/>
          <w:sz w:val="32"/>
          <w:szCs w:val="32"/>
        </w:rPr>
      </w:pPr>
    </w:p>
    <w:p>
      <w:pPr>
        <w:widowControl/>
        <w:spacing w:line="580" w:lineRule="exact"/>
        <w:ind w:firstLine="640"/>
        <w:jc w:val="left"/>
        <w:rPr>
          <w:rFonts w:ascii="黑体" w:hAnsi="黑体" w:eastAsia="黑体" w:cs="黑体"/>
          <w:bCs/>
          <w:kern w:val="0"/>
          <w:sz w:val="32"/>
          <w:szCs w:val="32"/>
        </w:rPr>
      </w:pPr>
      <w:r>
        <w:rPr>
          <w:rFonts w:hint="eastAsia" w:ascii="黑体" w:hAnsi="黑体" w:eastAsia="黑体" w:cs="黑体"/>
          <w:bCs/>
          <w:kern w:val="0"/>
          <w:sz w:val="32"/>
          <w:szCs w:val="32"/>
        </w:rPr>
        <w:t>一、关于中共昌吉回族自治州委员会机构编制委员会办公室2022年收支预算情况的总体说明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2022年所有收入和支出均纳入部门预算管理。收支总预算519.02万元。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收入预算包括：一般公共预算519.02万元。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rPr>
        <w:t>一般公共预算支出</w:t>
      </w:r>
      <w:r>
        <w:rPr>
          <w:rFonts w:hint="eastAsia" w:ascii="仿宋_GB2312" w:hAnsi="宋体" w:eastAsia="仿宋_GB2312" w:cs="宋体"/>
          <w:kern w:val="0"/>
          <w:sz w:val="32"/>
          <w:szCs w:val="32"/>
        </w:rPr>
        <w:t>519.02万元，其中：一般公共服务支出</w:t>
      </w:r>
      <w:r>
        <w:rPr>
          <w:rFonts w:hint="eastAsia" w:ascii="仿宋_GB2312" w:hAnsi="宋体" w:eastAsia="仿宋_GB2312" w:cs="宋体"/>
          <w:color w:val="000000"/>
          <w:kern w:val="0"/>
          <w:sz w:val="32"/>
          <w:szCs w:val="32"/>
        </w:rPr>
        <w:t>401.58</w:t>
      </w:r>
      <w:r>
        <w:rPr>
          <w:rFonts w:hint="eastAsia" w:ascii="仿宋_GB2312" w:hAnsi="宋体" w:eastAsia="仿宋_GB2312" w:cs="宋体"/>
          <w:kern w:val="0"/>
          <w:sz w:val="32"/>
          <w:szCs w:val="32"/>
        </w:rPr>
        <w:t>；社会保障和就业支出44.09万元；卫生健康支出34.33万元；住房保障支出39.03万元。</w:t>
      </w:r>
    </w:p>
    <w:p>
      <w:pPr>
        <w:widowControl/>
        <w:spacing w:line="580" w:lineRule="exact"/>
        <w:ind w:firstLine="640"/>
        <w:jc w:val="left"/>
        <w:rPr>
          <w:rFonts w:ascii="黑体" w:hAnsi="黑体" w:eastAsia="黑体" w:cs="黑体"/>
          <w:kern w:val="0"/>
          <w:sz w:val="32"/>
          <w:szCs w:val="32"/>
        </w:rPr>
      </w:pPr>
      <w:r>
        <w:rPr>
          <w:rFonts w:hint="eastAsia" w:ascii="黑体" w:hAnsi="黑体" w:eastAsia="黑体" w:cs="黑体"/>
          <w:kern w:val="0"/>
          <w:sz w:val="32"/>
          <w:szCs w:val="32"/>
        </w:rPr>
        <w:t>二、关于中共昌吉回族自治州委员会机构编制委员会办公室2022年收入预算情况说明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中共昌吉回族自治州委员会机构编制委员会办公室收入预算</w:t>
      </w:r>
      <w:r>
        <w:rPr>
          <w:rFonts w:hint="eastAsia" w:ascii="仿宋_GB2312" w:hAnsi="仿宋_GB2312" w:eastAsia="仿宋_GB2312" w:cs="仿宋_GB2312"/>
          <w:kern w:val="0"/>
          <w:sz w:val="32"/>
          <w:szCs w:val="32"/>
          <w:lang w:val="en-US" w:eastAsia="zh-CN"/>
        </w:rPr>
        <w:t>519.02</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一般公共预算519.02万元，占100%，比上年预算增加22.45万元，主要原因是</w:t>
      </w:r>
      <w:r>
        <w:rPr>
          <w:rFonts w:hint="eastAsia" w:ascii="仿宋_GB2312" w:hAnsi="仿宋_GB2312" w:eastAsia="仿宋_GB2312" w:cs="仿宋_GB2312"/>
          <w:kern w:val="0"/>
          <w:sz w:val="32"/>
          <w:szCs w:val="32"/>
        </w:rPr>
        <w:t xml:space="preserve">1、调标增资、社保公积金调整及增加工作人员，增加工资福利支出14.03万元；2、增加工作人员，增加运转经费4.28万元；3、增加项目支出经费63万元；4、减少其他商品服务和支出63.34万元；5、增加对个人和家庭的补助4.48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widowControl/>
        <w:spacing w:line="580" w:lineRule="exact"/>
        <w:ind w:firstLine="640"/>
        <w:jc w:val="left"/>
        <w:rPr>
          <w:rFonts w:ascii="黑体" w:hAnsi="黑体" w:eastAsia="黑体" w:cs="黑体"/>
          <w:kern w:val="0"/>
          <w:sz w:val="32"/>
          <w:szCs w:val="32"/>
        </w:rPr>
      </w:pPr>
      <w:r>
        <w:rPr>
          <w:rFonts w:hint="eastAsia" w:ascii="黑体" w:hAnsi="黑体" w:eastAsia="黑体" w:cs="黑体"/>
          <w:kern w:val="0"/>
          <w:sz w:val="32"/>
          <w:szCs w:val="32"/>
        </w:rPr>
        <w:t>三、关于中共昌吉回族自治州委员会机构编制委员会办公室2022年支出预算情况说明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2022年支出预算519.02万元，其中：</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基本支出456.02万元，占100%，比上年预算减少40.55万元，主要原因是</w:t>
      </w:r>
      <w:r>
        <w:rPr>
          <w:rFonts w:hint="eastAsia" w:ascii="仿宋_GB2312" w:hAnsi="仿宋_GB2312" w:eastAsia="仿宋_GB2312" w:cs="仿宋_GB2312"/>
          <w:kern w:val="0"/>
          <w:sz w:val="32"/>
          <w:szCs w:val="32"/>
        </w:rPr>
        <w:t xml:space="preserve">1、调标增资、社保缴费减少及增加工作人员，增加工资福利支出14.03万元；2、增加工作人员，增加运转经费4.28万元；3、减少其他商品服务和支出63.34万元；4、增加对个人和家庭的补助4.48万元。    </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项目支出63万元，占100%，比上年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增加63万元</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主要原因是开展工作业务</w:t>
      </w:r>
      <w:r>
        <w:rPr>
          <w:rFonts w:hint="eastAsia" w:ascii="仿宋_GB2312" w:hAnsi="宋体" w:eastAsia="仿宋_GB2312" w:cs="宋体"/>
          <w:kern w:val="0"/>
          <w:sz w:val="32"/>
          <w:szCs w:val="32"/>
          <w:lang w:val="en-US" w:eastAsia="zh-CN"/>
        </w:rPr>
        <w:t>的项目</w:t>
      </w:r>
      <w:r>
        <w:rPr>
          <w:rFonts w:hint="eastAsia" w:ascii="仿宋_GB2312" w:hAnsi="宋体" w:eastAsia="仿宋_GB2312" w:cs="宋体"/>
          <w:kern w:val="0"/>
          <w:sz w:val="32"/>
          <w:szCs w:val="32"/>
        </w:rPr>
        <w:t>经费</w:t>
      </w:r>
      <w:r>
        <w:rPr>
          <w:rFonts w:hint="eastAsia" w:ascii="仿宋_GB2312" w:hAnsi="宋体" w:eastAsia="仿宋_GB2312" w:cs="宋体"/>
          <w:kern w:val="0"/>
          <w:sz w:val="32"/>
          <w:szCs w:val="32"/>
          <w:lang w:eastAsia="zh-CN"/>
        </w:rPr>
        <w:t>比上年增加</w:t>
      </w:r>
      <w:r>
        <w:rPr>
          <w:rFonts w:hint="eastAsia" w:ascii="仿宋_GB2312" w:hAnsi="宋体" w:eastAsia="仿宋_GB2312" w:cs="宋体"/>
          <w:kern w:val="0"/>
          <w:sz w:val="32"/>
          <w:szCs w:val="32"/>
        </w:rPr>
        <w:t>。</w:t>
      </w:r>
    </w:p>
    <w:p>
      <w:pPr>
        <w:widowControl/>
        <w:spacing w:line="580" w:lineRule="exact"/>
        <w:ind w:firstLine="640"/>
        <w:jc w:val="left"/>
        <w:rPr>
          <w:rFonts w:ascii="黑体" w:hAnsi="黑体" w:eastAsia="黑体" w:cs="黑体"/>
          <w:bCs/>
          <w:kern w:val="0"/>
          <w:sz w:val="32"/>
          <w:szCs w:val="32"/>
        </w:rPr>
      </w:pPr>
      <w:r>
        <w:rPr>
          <w:rFonts w:hint="eastAsia" w:ascii="黑体" w:hAnsi="黑体" w:eastAsia="黑体" w:cs="黑体"/>
          <w:bCs/>
          <w:kern w:val="0"/>
          <w:sz w:val="32"/>
          <w:szCs w:val="32"/>
        </w:rPr>
        <w:t>四、关于中共昌吉回族自治州委员会机构编制委员会办公室2022年财政拨款收支预算情况的总体说明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2022年财政拨款收支总预算519.02万元。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519.02</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color w:val="FF0000"/>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：一般公共服务支出401.58；</w:t>
      </w:r>
      <w:r>
        <w:rPr>
          <w:rFonts w:hint="eastAsia" w:ascii="仿宋_GB2312" w:hAnsi="宋体" w:eastAsia="仿宋_GB2312" w:cs="宋体"/>
          <w:kern w:val="0"/>
          <w:sz w:val="32"/>
          <w:szCs w:val="32"/>
          <w:lang w:val="en-US" w:eastAsia="zh-CN"/>
        </w:rPr>
        <w:t>主要用于</w:t>
      </w:r>
      <w:r>
        <w:rPr>
          <w:rFonts w:hint="eastAsia" w:ascii="仿宋_GB2312" w:hAnsi="宋体" w:eastAsia="仿宋_GB2312" w:cs="宋体"/>
          <w:kern w:val="0"/>
          <w:sz w:val="32"/>
          <w:szCs w:val="32"/>
        </w:rPr>
        <w:t>社会保障和就业支出44.09万元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卫生健康支出34.33万元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住房保障支出39.03万元。</w:t>
      </w:r>
    </w:p>
    <w:p>
      <w:pPr>
        <w:widowControl/>
        <w:spacing w:line="580" w:lineRule="exact"/>
        <w:ind w:firstLine="480" w:firstLineChars="150"/>
        <w:jc w:val="left"/>
        <w:rPr>
          <w:rFonts w:ascii="黑体" w:hAnsi="黑体" w:eastAsia="黑体" w:cs="黑体"/>
          <w:kern w:val="0"/>
          <w:sz w:val="32"/>
          <w:szCs w:val="32"/>
        </w:rPr>
      </w:pPr>
      <w:r>
        <w:rPr>
          <w:rFonts w:hint="eastAsia" w:ascii="黑体" w:hAnsi="黑体" w:eastAsia="黑体" w:cs="黑体"/>
          <w:kern w:val="0"/>
          <w:sz w:val="32"/>
          <w:szCs w:val="32"/>
        </w:rPr>
        <w:t>五、关于中共昌吉回族自治州委员会机构编制委员会办公室2022年一般公共预算当年拨款情况说明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2022年一般公共预算拨款合计519.02万元，其中：基本支出456.02万元，上年预算减少40.55万元，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8.2%。主要原因是：</w:t>
      </w:r>
      <w:r>
        <w:rPr>
          <w:rFonts w:hint="eastAsia" w:ascii="仿宋_GB2312" w:hAnsi="仿宋_GB2312" w:eastAsia="仿宋_GB2312" w:cs="仿宋_GB2312"/>
          <w:kern w:val="0"/>
          <w:sz w:val="32"/>
          <w:szCs w:val="32"/>
        </w:rPr>
        <w:t xml:space="preserve">1、调标增资、社保缴费减少及增加工作人员，增加工资福利支出14.03万元；2、增加工作人员，增加运转经费4.28万元；3、减少其他商品服务和支出63.34万元；4、增加对个人和家庭的补助4.48万元。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项目支出63万元，比上年预算增加63万元。主要原因是开展工作业务</w:t>
      </w:r>
      <w:r>
        <w:rPr>
          <w:rFonts w:hint="eastAsia" w:ascii="仿宋_GB2312" w:hAnsi="宋体" w:eastAsia="仿宋_GB2312" w:cs="宋体"/>
          <w:kern w:val="0"/>
          <w:sz w:val="32"/>
          <w:szCs w:val="32"/>
          <w:lang w:val="en-US" w:eastAsia="zh-CN"/>
        </w:rPr>
        <w:t>的项目</w:t>
      </w:r>
      <w:r>
        <w:rPr>
          <w:rFonts w:hint="eastAsia" w:ascii="仿宋_GB2312" w:hAnsi="宋体" w:eastAsia="仿宋_GB2312" w:cs="宋体"/>
          <w:kern w:val="0"/>
          <w:sz w:val="32"/>
          <w:szCs w:val="32"/>
        </w:rPr>
        <w:t>经费</w:t>
      </w:r>
      <w:r>
        <w:rPr>
          <w:rFonts w:hint="eastAsia" w:ascii="仿宋_GB2312" w:hAnsi="宋体" w:eastAsia="仿宋_GB2312" w:cs="宋体"/>
          <w:kern w:val="0"/>
          <w:sz w:val="32"/>
          <w:szCs w:val="32"/>
          <w:lang w:eastAsia="zh-CN"/>
        </w:rPr>
        <w:t>比上年增加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1.一般公共服务支出401.58</w:t>
      </w:r>
      <w:r>
        <w:rPr>
          <w:rFonts w:hint="eastAsia" w:ascii="仿宋_GB2312" w:hAnsi="仿宋_GB2312" w:eastAsia="仿宋_GB2312" w:cs="仿宋_GB2312"/>
          <w:kern w:val="0"/>
          <w:sz w:val="32"/>
          <w:szCs w:val="32"/>
        </w:rPr>
        <w:t>万元，占77.37%。</w:t>
      </w:r>
    </w:p>
    <w:p>
      <w:pPr>
        <w:spacing w:line="58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社会保障和就业支出44.09万元，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8.49%。</w:t>
      </w:r>
    </w:p>
    <w:p>
      <w:pPr>
        <w:pStyle w:val="2"/>
        <w:ind w:left="0"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3、卫生健康支出34.33万元，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6.61%。</w:t>
      </w:r>
    </w:p>
    <w:p>
      <w:pPr>
        <w:pStyle w:val="2"/>
        <w:ind w:left="0"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4、住房保障支出39.03万元，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7.53%。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1.一般公共服务（类）财政事务（款）行政运行（项）2022年预算数为254.38万元，比上年</w:t>
      </w:r>
      <w:r>
        <w:rPr>
          <w:rFonts w:hint="eastAsia" w:ascii="仿宋_GB2312" w:hAnsi="仿宋_GB2312" w:eastAsia="仿宋_GB2312" w:cs="仿宋_GB2312"/>
          <w:kern w:val="0"/>
          <w:sz w:val="32"/>
          <w:szCs w:val="32"/>
          <w:lang w:eastAsia="zh-CN"/>
        </w:rPr>
        <w:t>预算</w:t>
      </w:r>
      <w:r>
        <w:rPr>
          <w:rFonts w:hint="eastAsia" w:ascii="仿宋_GB2312" w:hAnsi="仿宋_GB2312" w:eastAsia="仿宋_GB2312" w:cs="仿宋_GB2312"/>
          <w:kern w:val="0"/>
          <w:sz w:val="32"/>
          <w:szCs w:val="32"/>
        </w:rPr>
        <w:t>减少73.13万元，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rPr>
        <w:t>22.33%。主要原因是：</w:t>
      </w:r>
      <w:r>
        <w:rPr>
          <w:rFonts w:hint="eastAsia" w:ascii="仿宋_GB2312" w:hAnsi="仿宋_GB2312" w:eastAsia="仿宋_GB2312" w:cs="仿宋_GB2312"/>
          <w:kern w:val="0"/>
          <w:sz w:val="30"/>
          <w:szCs w:val="30"/>
        </w:rPr>
        <w:t>1</w:t>
      </w:r>
      <w:r>
        <w:rPr>
          <w:rFonts w:hint="eastAsia" w:ascii="仿宋_GB2312" w:hAnsi="宋体" w:eastAsia="仿宋_GB2312" w:cs="宋体"/>
          <w:kern w:val="0"/>
          <w:sz w:val="30"/>
          <w:szCs w:val="30"/>
        </w:rPr>
        <w:t>、</w:t>
      </w:r>
      <w:r>
        <w:rPr>
          <w:rFonts w:hint="eastAsia" w:ascii="仿宋_GB2312" w:hAnsi="仿宋_GB2312" w:eastAsia="仿宋_GB2312" w:cs="仿宋_GB2312"/>
          <w:kern w:val="0"/>
          <w:sz w:val="32"/>
          <w:szCs w:val="32"/>
        </w:rPr>
        <w:t>调标增资、社保缴费增加及取消伙食补助费，使工资福利支出比2021年减少18.55万元；2、增加工作人员增加公用经费4.28万元。3、减少其他商品服务和支出63.34万元；4、增加对个人和家庭的补助，增加4.48万元。。</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2.一般公共服务（类）财政事务（款）</w:t>
      </w:r>
      <w:r>
        <w:rPr>
          <w:rFonts w:hint="eastAsia" w:ascii="仿宋_GB2312" w:hAnsi="仿宋_GB2312" w:eastAsia="仿宋_GB2312" w:cs="仿宋_GB2312"/>
          <w:kern w:val="0"/>
          <w:sz w:val="30"/>
          <w:szCs w:val="30"/>
        </w:rPr>
        <w:t>事业运行</w:t>
      </w:r>
      <w:r>
        <w:rPr>
          <w:rFonts w:hint="eastAsia" w:ascii="仿宋_GB2312" w:hAnsi="仿宋_GB2312" w:eastAsia="仿宋_GB2312" w:cs="仿宋_GB2312"/>
          <w:kern w:val="0"/>
          <w:sz w:val="32"/>
          <w:szCs w:val="32"/>
        </w:rPr>
        <w:t>（项）2022年预算数为84.20万元，比上年</w:t>
      </w:r>
      <w:r>
        <w:rPr>
          <w:rFonts w:hint="eastAsia" w:ascii="仿宋_GB2312" w:hAnsi="仿宋_GB2312" w:eastAsia="仿宋_GB2312" w:cs="仿宋_GB2312"/>
          <w:kern w:val="0"/>
          <w:sz w:val="32"/>
          <w:szCs w:val="32"/>
          <w:lang w:eastAsia="zh-CN"/>
        </w:rPr>
        <w:t>预算</w:t>
      </w:r>
      <w:r>
        <w:rPr>
          <w:rFonts w:hint="eastAsia" w:ascii="仿宋_GB2312" w:hAnsi="仿宋_GB2312" w:eastAsia="仿宋_GB2312" w:cs="仿宋_GB2312"/>
          <w:kern w:val="0"/>
          <w:sz w:val="32"/>
          <w:szCs w:val="32"/>
        </w:rPr>
        <w:t>减少12.84万元，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rPr>
        <w:t>13.23 %，主要原因是：伙食补助费取消，调整预算功能科目。</w:t>
      </w:r>
    </w:p>
    <w:p>
      <w:pPr>
        <w:spacing w:line="580" w:lineRule="exact"/>
        <w:ind w:firstLine="60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0"/>
          <w:szCs w:val="30"/>
        </w:rPr>
        <w:t>3、</w:t>
      </w:r>
      <w:r>
        <w:rPr>
          <w:rFonts w:hint="eastAsia" w:ascii="仿宋_GB2312" w:hAnsi="宋体" w:eastAsia="仿宋_GB2312" w:cs="宋体"/>
          <w:kern w:val="0"/>
          <w:sz w:val="30"/>
          <w:szCs w:val="30"/>
        </w:rPr>
        <w:t>社会保障和就业</w:t>
      </w:r>
      <w:r>
        <w:rPr>
          <w:rFonts w:hint="eastAsia" w:ascii="仿宋_GB2312" w:hAnsi="仿宋_GB2312" w:eastAsia="仿宋_GB2312" w:cs="仿宋_GB2312"/>
          <w:sz w:val="30"/>
          <w:szCs w:val="30"/>
        </w:rPr>
        <w:t>（类）</w:t>
      </w:r>
      <w:r>
        <w:rPr>
          <w:rFonts w:hint="eastAsia" w:ascii="仿宋_GB2312" w:hAnsi="宋体" w:eastAsia="仿宋_GB2312" w:cs="宋体"/>
          <w:kern w:val="0"/>
          <w:sz w:val="32"/>
          <w:szCs w:val="32"/>
        </w:rPr>
        <w:t>行政事业单位养老支出（款）行政单位离退休（项）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0"/>
          <w:szCs w:val="30"/>
        </w:rPr>
        <w:t>43.69万元，</w:t>
      </w:r>
      <w:r>
        <w:rPr>
          <w:rFonts w:hint="eastAsia" w:ascii="仿宋_GB2312" w:hAnsi="仿宋_GB2312" w:eastAsia="仿宋_GB2312" w:cs="仿宋_GB2312"/>
          <w:kern w:val="0"/>
          <w:sz w:val="32"/>
          <w:szCs w:val="32"/>
        </w:rPr>
        <w:t>比上年</w:t>
      </w:r>
      <w:r>
        <w:rPr>
          <w:rFonts w:hint="eastAsia" w:ascii="仿宋_GB2312" w:hAnsi="仿宋_GB2312" w:eastAsia="仿宋_GB2312" w:cs="仿宋_GB2312"/>
          <w:kern w:val="0"/>
          <w:sz w:val="32"/>
          <w:szCs w:val="32"/>
          <w:lang w:eastAsia="zh-CN"/>
        </w:rPr>
        <w:t>预算</w:t>
      </w:r>
      <w:r>
        <w:rPr>
          <w:rFonts w:hint="eastAsia" w:ascii="仿宋_GB2312" w:hAnsi="仿宋_GB2312" w:eastAsia="仿宋_GB2312" w:cs="仿宋_GB2312"/>
          <w:kern w:val="0"/>
          <w:sz w:val="32"/>
          <w:szCs w:val="32"/>
        </w:rPr>
        <w:t>增加5.71万元，增长15.03%，主要原因是：调标增资及增加工作人员。</w:t>
      </w:r>
    </w:p>
    <w:p>
      <w:pPr>
        <w:spacing w:line="560" w:lineRule="exact"/>
        <w:ind w:firstLine="600" w:firstLineChars="200"/>
        <w:rPr>
          <w:rFonts w:hint="eastAsia" w:ascii="仿宋_GB2312" w:hAnsi="仿宋_GB2312" w:eastAsia="仿宋_GB2312" w:cs="仿宋_GB2312"/>
          <w:kern w:val="0"/>
          <w:sz w:val="32"/>
          <w:szCs w:val="32"/>
        </w:rPr>
      </w:pPr>
      <w:r>
        <w:rPr>
          <w:rFonts w:hint="eastAsia" w:ascii="仿宋_GB2312" w:hAnsi="宋体" w:eastAsia="仿宋_GB2312" w:cs="宋体"/>
          <w:kern w:val="0"/>
          <w:sz w:val="30"/>
          <w:szCs w:val="30"/>
        </w:rPr>
        <w:t>4、卫生健康</w:t>
      </w:r>
      <w:r>
        <w:rPr>
          <w:rFonts w:hint="eastAsia" w:ascii="仿宋_GB2312" w:hAnsi="仿宋_GB2312" w:eastAsia="仿宋_GB2312" w:cs="仿宋_GB2312"/>
          <w:sz w:val="30"/>
          <w:szCs w:val="30"/>
        </w:rPr>
        <w:t>（类）</w:t>
      </w:r>
      <w:r>
        <w:rPr>
          <w:rFonts w:hint="eastAsia" w:ascii="仿宋_GB2312" w:hAnsi="宋体" w:eastAsia="仿宋_GB2312" w:cs="宋体"/>
          <w:kern w:val="0"/>
          <w:sz w:val="32"/>
          <w:szCs w:val="32"/>
        </w:rPr>
        <w:t>行政事业单位医疗（款）行政单位医疗（项）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0"/>
          <w:szCs w:val="30"/>
          <w:lang w:val="en-US" w:eastAsia="zh-CN"/>
        </w:rPr>
        <w:t>18.03</w:t>
      </w:r>
      <w:r>
        <w:rPr>
          <w:rFonts w:hint="eastAsia" w:ascii="仿宋_GB2312" w:hAnsi="宋体" w:eastAsia="仿宋_GB2312" w:cs="宋体"/>
          <w:kern w:val="0"/>
          <w:sz w:val="30"/>
          <w:szCs w:val="30"/>
        </w:rPr>
        <w:t>万元，</w:t>
      </w:r>
      <w:r>
        <w:rPr>
          <w:rFonts w:hint="eastAsia" w:ascii="仿宋_GB2312" w:hAnsi="仿宋_GB2312" w:eastAsia="仿宋_GB2312" w:cs="仿宋_GB2312"/>
          <w:kern w:val="0"/>
          <w:sz w:val="32"/>
          <w:szCs w:val="32"/>
        </w:rPr>
        <w:t>比上年</w:t>
      </w:r>
      <w:r>
        <w:rPr>
          <w:rFonts w:hint="eastAsia" w:ascii="仿宋_GB2312" w:hAnsi="仿宋_GB2312" w:eastAsia="仿宋_GB2312" w:cs="仿宋_GB2312"/>
          <w:kern w:val="0"/>
          <w:sz w:val="32"/>
          <w:szCs w:val="32"/>
          <w:lang w:eastAsia="zh-CN"/>
        </w:rPr>
        <w:t>预算减少</w:t>
      </w:r>
      <w:r>
        <w:rPr>
          <w:rFonts w:hint="eastAsia" w:ascii="仿宋_GB2312" w:hAnsi="仿宋_GB2312" w:eastAsia="仿宋_GB2312" w:cs="仿宋_GB2312"/>
          <w:kern w:val="0"/>
          <w:sz w:val="32"/>
          <w:szCs w:val="32"/>
          <w:lang w:val="en-US" w:eastAsia="zh-CN"/>
        </w:rPr>
        <w:t>7.54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29.48</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主要原因本年将行政单位医疗与事业单位医疗进行预算分离，同时机关事业单位医疗保险比例降低了，因此此项预算有所降低。</w:t>
      </w:r>
    </w:p>
    <w:p>
      <w:pPr>
        <w:spacing w:line="560" w:lineRule="exact"/>
        <w:ind w:firstLine="640" w:firstLineChars="200"/>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、卫生健康支出（类）行政事业单位医疗（款）事业单位医疗（项）2022年预算数为</w:t>
      </w:r>
      <w:r>
        <w:rPr>
          <w:rFonts w:hint="eastAsia" w:ascii="仿宋_GB2312" w:hAnsi="宋体" w:eastAsia="仿宋_GB2312" w:cs="宋体"/>
          <w:kern w:val="0"/>
          <w:sz w:val="32"/>
          <w:szCs w:val="32"/>
          <w:lang w:val="en-US" w:eastAsia="zh-CN"/>
        </w:rPr>
        <w:t>7.90</w:t>
      </w:r>
      <w:r>
        <w:rPr>
          <w:rFonts w:hint="eastAsia" w:ascii="仿宋_GB2312" w:hAnsi="宋体" w:eastAsia="仿宋_GB2312" w:cs="宋体"/>
          <w:kern w:val="0"/>
          <w:sz w:val="32"/>
          <w:szCs w:val="32"/>
        </w:rPr>
        <w:t>万元，较上年预算增加</w:t>
      </w:r>
      <w:r>
        <w:rPr>
          <w:rFonts w:hint="eastAsia" w:ascii="仿宋_GB2312" w:hAnsi="宋体" w:eastAsia="仿宋_GB2312" w:cs="宋体"/>
          <w:kern w:val="0"/>
          <w:sz w:val="32"/>
          <w:szCs w:val="32"/>
          <w:lang w:val="en-US" w:eastAsia="zh-CN"/>
        </w:rPr>
        <w:t>7.90</w:t>
      </w:r>
      <w:r>
        <w:rPr>
          <w:rFonts w:hint="eastAsia" w:ascii="仿宋_GB2312" w:hAnsi="宋体" w:eastAsia="仿宋_GB2312" w:cs="宋体"/>
          <w:kern w:val="0"/>
          <w:sz w:val="32"/>
          <w:szCs w:val="32"/>
        </w:rPr>
        <w:t>万元，增长100%，主要原因是去年该项预算与行政单位医疗进行合并计算，本年进行分离预算。</w:t>
      </w:r>
    </w:p>
    <w:p>
      <w:pPr>
        <w:spacing w:line="580" w:lineRule="exact"/>
        <w:ind w:firstLine="600" w:firstLineChars="200"/>
        <w:rPr>
          <w:rFonts w:ascii="仿宋_GB2312" w:hAnsi="仿宋_GB2312" w:eastAsia="仿宋_GB2312" w:cs="仿宋_GB2312"/>
          <w:kern w:val="0"/>
          <w:sz w:val="32"/>
          <w:szCs w:val="32"/>
        </w:rPr>
      </w:pPr>
      <w:r>
        <w:rPr>
          <w:rFonts w:hint="eastAsia" w:ascii="仿宋_GB2312" w:hAnsi="宋体" w:eastAsia="仿宋_GB2312" w:cs="宋体"/>
          <w:kern w:val="0"/>
          <w:sz w:val="30"/>
          <w:szCs w:val="30"/>
          <w:lang w:val="en-US" w:eastAsia="zh-CN"/>
        </w:rPr>
        <w:t>6</w:t>
      </w:r>
      <w:r>
        <w:rPr>
          <w:rFonts w:hint="eastAsia" w:ascii="仿宋_GB2312" w:hAnsi="宋体" w:eastAsia="仿宋_GB2312" w:cs="宋体"/>
          <w:kern w:val="0"/>
          <w:sz w:val="30"/>
          <w:szCs w:val="30"/>
        </w:rPr>
        <w:t>、卫生健康</w:t>
      </w:r>
      <w:r>
        <w:rPr>
          <w:rFonts w:hint="eastAsia" w:ascii="仿宋_GB2312" w:hAnsi="仿宋_GB2312" w:eastAsia="仿宋_GB2312" w:cs="仿宋_GB2312"/>
          <w:sz w:val="30"/>
          <w:szCs w:val="30"/>
        </w:rPr>
        <w:t>（类）</w:t>
      </w:r>
      <w:r>
        <w:rPr>
          <w:rFonts w:hint="eastAsia" w:ascii="仿宋_GB2312" w:hAnsi="宋体" w:eastAsia="仿宋_GB2312" w:cs="宋体"/>
          <w:kern w:val="0"/>
          <w:sz w:val="32"/>
          <w:szCs w:val="32"/>
        </w:rPr>
        <w:t>行政事业单位医疗（款）公务员医疗补助（项）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0"/>
          <w:szCs w:val="30"/>
        </w:rPr>
        <w:t>8.19万元，</w:t>
      </w:r>
      <w:r>
        <w:rPr>
          <w:rFonts w:hint="eastAsia" w:ascii="仿宋_GB2312" w:hAnsi="仿宋_GB2312" w:eastAsia="仿宋_GB2312" w:cs="仿宋_GB2312"/>
          <w:kern w:val="0"/>
          <w:sz w:val="32"/>
          <w:szCs w:val="32"/>
        </w:rPr>
        <w:t>比上年</w:t>
      </w:r>
      <w:r>
        <w:rPr>
          <w:rFonts w:hint="eastAsia" w:ascii="仿宋_GB2312" w:hAnsi="仿宋_GB2312" w:eastAsia="仿宋_GB2312" w:cs="仿宋_GB2312"/>
          <w:kern w:val="0"/>
          <w:sz w:val="32"/>
          <w:szCs w:val="32"/>
          <w:lang w:eastAsia="zh-CN"/>
        </w:rPr>
        <w:t>预算</w:t>
      </w:r>
      <w:r>
        <w:rPr>
          <w:rFonts w:hint="eastAsia" w:ascii="仿宋_GB2312" w:hAnsi="仿宋_GB2312" w:eastAsia="仿宋_GB2312" w:cs="仿宋_GB2312"/>
          <w:kern w:val="0"/>
          <w:sz w:val="32"/>
          <w:szCs w:val="32"/>
        </w:rPr>
        <w:t>增加</w:t>
      </w:r>
      <w:r>
        <w:rPr>
          <w:rFonts w:hint="eastAsia" w:ascii="仿宋_GB2312" w:hAnsi="宋体" w:eastAsia="仿宋_GB2312" w:cs="宋体"/>
          <w:kern w:val="0"/>
          <w:sz w:val="30"/>
          <w:szCs w:val="30"/>
        </w:rPr>
        <w:t>0.06万元，</w:t>
      </w:r>
      <w:r>
        <w:rPr>
          <w:rFonts w:hint="eastAsia" w:ascii="仿宋_GB2312" w:hAnsi="仿宋_GB2312" w:eastAsia="仿宋_GB2312" w:cs="仿宋_GB2312"/>
          <w:kern w:val="0"/>
          <w:sz w:val="32"/>
          <w:szCs w:val="32"/>
        </w:rPr>
        <w:t>增长0.74%，主要原因是：调标增资及增加工作人员。</w:t>
      </w:r>
    </w:p>
    <w:p>
      <w:pPr>
        <w:spacing w:line="580" w:lineRule="exact"/>
        <w:ind w:firstLine="600" w:firstLineChars="200"/>
        <w:rPr>
          <w:rFonts w:ascii="仿宋_GB2312" w:hAnsi="仿宋_GB2312" w:eastAsia="仿宋_GB2312" w:cs="仿宋_GB2312"/>
          <w:kern w:val="0"/>
          <w:sz w:val="32"/>
          <w:szCs w:val="32"/>
        </w:rPr>
      </w:pPr>
      <w:r>
        <w:rPr>
          <w:rFonts w:hint="eastAsia" w:ascii="仿宋_GB2312" w:hAnsi="宋体" w:eastAsia="仿宋_GB2312" w:cs="宋体"/>
          <w:kern w:val="0"/>
          <w:sz w:val="30"/>
          <w:szCs w:val="30"/>
          <w:lang w:val="en-US" w:eastAsia="zh-CN"/>
        </w:rPr>
        <w:t>7</w:t>
      </w:r>
      <w:r>
        <w:rPr>
          <w:rFonts w:hint="eastAsia" w:ascii="仿宋_GB2312" w:hAnsi="宋体" w:eastAsia="仿宋_GB2312" w:cs="宋体"/>
          <w:kern w:val="0"/>
          <w:sz w:val="30"/>
          <w:szCs w:val="30"/>
        </w:rPr>
        <w:t>、卫生健康</w:t>
      </w:r>
      <w:r>
        <w:rPr>
          <w:rFonts w:hint="eastAsia" w:ascii="仿宋_GB2312" w:hAnsi="仿宋_GB2312" w:eastAsia="仿宋_GB2312" w:cs="仿宋_GB2312"/>
          <w:sz w:val="30"/>
          <w:szCs w:val="30"/>
        </w:rPr>
        <w:t>（类）</w:t>
      </w:r>
      <w:r>
        <w:rPr>
          <w:rFonts w:hint="eastAsia" w:ascii="仿宋_GB2312" w:hAnsi="宋体" w:eastAsia="仿宋_GB2312" w:cs="宋体"/>
          <w:kern w:val="0"/>
          <w:sz w:val="32"/>
          <w:szCs w:val="32"/>
        </w:rPr>
        <w:t>行政事业单位医疗（款）其他行政事业单位医疗支出（项）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0"/>
          <w:szCs w:val="30"/>
        </w:rPr>
        <w:t>0.20万元，</w:t>
      </w:r>
      <w:r>
        <w:rPr>
          <w:rFonts w:hint="eastAsia" w:ascii="仿宋_GB2312" w:hAnsi="仿宋_GB2312" w:eastAsia="仿宋_GB2312" w:cs="仿宋_GB2312"/>
          <w:kern w:val="0"/>
          <w:sz w:val="32"/>
          <w:szCs w:val="32"/>
        </w:rPr>
        <w:t>比上年</w:t>
      </w:r>
      <w:r>
        <w:rPr>
          <w:rFonts w:hint="eastAsia" w:ascii="仿宋_GB2312" w:hAnsi="仿宋_GB2312" w:eastAsia="仿宋_GB2312" w:cs="仿宋_GB2312"/>
          <w:kern w:val="0"/>
          <w:sz w:val="32"/>
          <w:szCs w:val="32"/>
          <w:lang w:eastAsia="zh-CN"/>
        </w:rPr>
        <w:t>预算</w:t>
      </w:r>
      <w:r>
        <w:rPr>
          <w:rFonts w:hint="eastAsia" w:ascii="仿宋_GB2312" w:hAnsi="仿宋_GB2312" w:eastAsia="仿宋_GB2312" w:cs="仿宋_GB2312"/>
          <w:kern w:val="0"/>
          <w:sz w:val="32"/>
          <w:szCs w:val="32"/>
        </w:rPr>
        <w:t>减少</w:t>
      </w:r>
      <w:r>
        <w:rPr>
          <w:rFonts w:hint="eastAsia" w:ascii="仿宋_GB2312" w:hAnsi="宋体" w:eastAsia="仿宋_GB2312" w:cs="宋体"/>
          <w:kern w:val="0"/>
          <w:sz w:val="30"/>
          <w:szCs w:val="30"/>
        </w:rPr>
        <w:t>0.14万元，</w:t>
      </w:r>
      <w:r>
        <w:rPr>
          <w:rFonts w:hint="eastAsia" w:ascii="仿宋_GB2312" w:hAnsi="宋体" w:eastAsia="仿宋_GB2312" w:cs="宋体"/>
          <w:kern w:val="0"/>
          <w:sz w:val="30"/>
          <w:szCs w:val="30"/>
          <w:lang w:eastAsia="zh-CN"/>
        </w:rPr>
        <w:t>下降</w:t>
      </w:r>
      <w:r>
        <w:rPr>
          <w:rFonts w:hint="eastAsia" w:ascii="仿宋_GB2312" w:hAnsi="仿宋_GB2312" w:eastAsia="仿宋_GB2312" w:cs="仿宋_GB2312"/>
          <w:kern w:val="0"/>
          <w:sz w:val="32"/>
          <w:szCs w:val="32"/>
        </w:rPr>
        <w:t>41.18%，主要原因是：</w:t>
      </w:r>
      <w:r>
        <w:rPr>
          <w:rFonts w:hint="eastAsia" w:ascii="仿宋_GB2312" w:hAnsi="仿宋_GB2312" w:eastAsia="仿宋_GB2312" w:cs="仿宋_GB2312"/>
          <w:kern w:val="0"/>
          <w:sz w:val="30"/>
          <w:szCs w:val="30"/>
        </w:rPr>
        <w:t>其他行政事业单位医疗支出科目</w:t>
      </w:r>
      <w:r>
        <w:rPr>
          <w:rFonts w:hint="eastAsia" w:ascii="仿宋_GB2312" w:hAnsi="仿宋_GB2312" w:eastAsia="仿宋_GB2312" w:cs="仿宋_GB2312"/>
          <w:kern w:val="0"/>
          <w:sz w:val="32"/>
          <w:szCs w:val="32"/>
        </w:rPr>
        <w:t>调整。</w:t>
      </w:r>
    </w:p>
    <w:p>
      <w:pPr>
        <w:spacing w:line="580" w:lineRule="exact"/>
        <w:ind w:firstLine="640" w:firstLineChars="200"/>
      </w:pPr>
      <w:r>
        <w:rPr>
          <w:rFonts w:hint="eastAsia" w:ascii="仿宋_GB2312" w:hAnsi="仿宋_GB2312" w:eastAsia="仿宋_GB2312" w:cs="仿宋_GB2312"/>
          <w:kern w:val="0"/>
          <w:sz w:val="32"/>
          <w:szCs w:val="32"/>
          <w:lang w:val="en-US" w:eastAsia="zh-CN"/>
        </w:rPr>
        <w:t>8</w:t>
      </w:r>
      <w:r>
        <w:rPr>
          <w:rFonts w:hint="eastAsia" w:ascii="仿宋_GB2312" w:hAnsi="宋体" w:eastAsia="仿宋_GB2312" w:cs="宋体"/>
          <w:kern w:val="0"/>
          <w:sz w:val="30"/>
          <w:szCs w:val="30"/>
        </w:rPr>
        <w:t>、住房保障</w:t>
      </w:r>
      <w:r>
        <w:rPr>
          <w:rFonts w:hint="eastAsia" w:ascii="仿宋_GB2312" w:hAnsi="仿宋_GB2312" w:eastAsia="仿宋_GB2312" w:cs="仿宋_GB2312"/>
          <w:sz w:val="30"/>
          <w:szCs w:val="30"/>
        </w:rPr>
        <w:t>（类）</w:t>
      </w:r>
      <w:r>
        <w:rPr>
          <w:rFonts w:hint="eastAsia" w:ascii="仿宋_GB2312" w:hAnsi="宋体" w:eastAsia="仿宋_GB2312" w:cs="宋体"/>
          <w:kern w:val="0"/>
          <w:sz w:val="32"/>
          <w:szCs w:val="32"/>
        </w:rPr>
        <w:t>住房改革支出（款）住房公积金（项）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0"/>
          <w:szCs w:val="30"/>
        </w:rPr>
        <w:t>39.03万元，</w:t>
      </w:r>
      <w:r>
        <w:rPr>
          <w:rFonts w:hint="eastAsia" w:ascii="仿宋_GB2312" w:hAnsi="仿宋_GB2312" w:eastAsia="仿宋_GB2312" w:cs="仿宋_GB2312"/>
          <w:kern w:val="0"/>
          <w:sz w:val="32"/>
          <w:szCs w:val="32"/>
        </w:rPr>
        <w:t>比上年</w:t>
      </w:r>
      <w:r>
        <w:rPr>
          <w:rFonts w:hint="eastAsia" w:ascii="仿宋_GB2312" w:hAnsi="仿宋_GB2312" w:eastAsia="仿宋_GB2312" w:cs="仿宋_GB2312"/>
          <w:kern w:val="0"/>
          <w:sz w:val="32"/>
          <w:szCs w:val="32"/>
          <w:lang w:eastAsia="zh-CN"/>
        </w:rPr>
        <w:t>预算</w:t>
      </w:r>
      <w:r>
        <w:rPr>
          <w:rFonts w:hint="eastAsia" w:ascii="仿宋_GB2312" w:hAnsi="仿宋_GB2312" w:eastAsia="仿宋_GB2312" w:cs="仿宋_GB2312"/>
          <w:kern w:val="0"/>
          <w:sz w:val="32"/>
          <w:szCs w:val="32"/>
        </w:rPr>
        <w:t>增加10.54</w:t>
      </w:r>
      <w:r>
        <w:rPr>
          <w:rFonts w:hint="eastAsia" w:ascii="仿宋_GB2312" w:hAnsi="宋体" w:eastAsia="仿宋_GB2312" w:cs="宋体"/>
          <w:kern w:val="0"/>
          <w:sz w:val="30"/>
          <w:szCs w:val="30"/>
        </w:rPr>
        <w:t>万元，</w:t>
      </w:r>
      <w:r>
        <w:rPr>
          <w:rFonts w:hint="eastAsia" w:ascii="仿宋_GB2312" w:hAnsi="仿宋_GB2312" w:eastAsia="仿宋_GB2312" w:cs="仿宋_GB2312"/>
          <w:kern w:val="0"/>
          <w:sz w:val="32"/>
          <w:szCs w:val="32"/>
        </w:rPr>
        <w:t>增加37%，主要原因是：调标增资住房公积金调整及增加工作人员。</w:t>
      </w:r>
    </w:p>
    <w:p>
      <w:pPr>
        <w:widowControl/>
        <w:spacing w:line="540" w:lineRule="exact"/>
        <w:ind w:firstLine="640"/>
        <w:jc w:val="left"/>
        <w:rPr>
          <w:rFonts w:ascii="黑体" w:hAnsi="黑体" w:eastAsia="黑体" w:cs="黑体"/>
          <w:kern w:val="0"/>
          <w:sz w:val="32"/>
          <w:szCs w:val="32"/>
        </w:rPr>
      </w:pPr>
      <w:r>
        <w:rPr>
          <w:rFonts w:hint="eastAsia" w:ascii="黑体" w:hAnsi="黑体" w:eastAsia="黑体" w:cs="黑体"/>
          <w:kern w:val="0"/>
          <w:sz w:val="32"/>
          <w:szCs w:val="32"/>
        </w:rPr>
        <w:t>六、关于中共昌吉回族自治州委员会机构编制委员会办公室2022年一般公共预算基本支出情况说明</w:t>
      </w:r>
    </w:p>
    <w:p>
      <w:pPr>
        <w:spacing w:line="54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2022年一般公共预算基本支出456.0</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 其中：</w:t>
      </w:r>
    </w:p>
    <w:p>
      <w:pPr>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人员经费412.8</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主要包括：基本工资131.15万元、津贴补贴101.20万元、奖金10.71万元、绩效工资32.88万元、机关事业单位基本养老保险缴费43.69万元、城镇职工基本医疗保险缴费25.94万元、公务员医疗补助缴费8.19万元、其他社会保障缴费0.54万元、住房公积金39.03万元、其他工资福利支出13.96万元、离休费0.40万元、生活补助0.58万元、医疗费补助4.34万元、奖励金0.28万元等。</w:t>
      </w:r>
    </w:p>
    <w:p>
      <w:pPr>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43.14万元，主要包括：办公费14.65万元、印刷费2.52万元、邮电费2.2万元、差旅费3万元、维修（护）费0.65万元、培训费0.5万元、公务接待费1万元、被装购置费0.15万元、劳务费0.6万元、工会经费5.14万元、福利费4.63万元、公务用车运行维护费4.8万元、其他商品和服务支出3.29万元等。</w:t>
      </w:r>
    </w:p>
    <w:p>
      <w:pPr>
        <w:widowControl/>
        <w:spacing w:line="54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七、关于中共昌吉回族自治州委员会机构编制委员会办公室2022年</w:t>
      </w:r>
      <w:r>
        <w:rPr>
          <w:rFonts w:hint="eastAsia" w:ascii="黑体" w:hAnsi="宋体" w:eastAsia="黑体" w:cs="宋体"/>
          <w:kern w:val="0"/>
          <w:sz w:val="32"/>
          <w:szCs w:val="32"/>
        </w:rPr>
        <w:t>一般公共预算</w:t>
      </w:r>
      <w:r>
        <w:rPr>
          <w:rFonts w:hint="eastAsia" w:ascii="黑体" w:hAnsi="黑体" w:eastAsia="黑体" w:cs="黑体"/>
          <w:kern w:val="0"/>
          <w:sz w:val="32"/>
          <w:szCs w:val="32"/>
        </w:rPr>
        <w:t>项目支出情况说明</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（一）项目名称：机构编制业务经费</w:t>
      </w:r>
    </w:p>
    <w:p>
      <w:pPr>
        <w:widowControl/>
        <w:spacing w:line="560" w:lineRule="atLeast"/>
        <w:ind w:firstLine="560"/>
        <w:jc w:val="left"/>
        <w:rPr>
          <w:rFonts w:ascii="仿宋_GB2312" w:hAnsi="仿宋_GB2312" w:eastAsia="仿宋_GB2312" w:cs="仿宋_GB2312"/>
          <w:sz w:val="32"/>
          <w:szCs w:val="32"/>
        </w:rPr>
      </w:pPr>
      <w:r>
        <w:rPr>
          <w:rFonts w:hint="eastAsia" w:ascii="仿宋_GB2312" w:hAnsi="微软雅黑" w:eastAsia="仿宋_GB2312" w:cs="仿宋_GB2312"/>
          <w:color w:val="313234"/>
          <w:kern w:val="0"/>
          <w:sz w:val="32"/>
          <w:szCs w:val="32"/>
          <w:shd w:val="clear" w:color="auto" w:fill="FFFFFF"/>
        </w:rPr>
        <w:t>设立的政策依据：根据《中国共产党机构编制工作条例》要求，围绕重点工作开展机构和体制机制改革，规范机构编制管理和事业单位登记管理工作，</w:t>
      </w:r>
      <w:r>
        <w:rPr>
          <w:rFonts w:hint="eastAsia" w:ascii="仿宋_GB2312" w:hAnsi="仿宋_GB2312" w:eastAsia="仿宋_GB2312" w:cs="仿宋_GB2312"/>
          <w:sz w:val="32"/>
          <w:szCs w:val="32"/>
        </w:rPr>
        <w:t>加强对自治州机构编制系统实名制信息数据的统计汇总、上报和全州机构编制管理干部的业务培训、信息培训工作，做好实名制系统平台的管理维护等。</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预算安排规模：30.00万元</w:t>
      </w:r>
    </w:p>
    <w:p>
      <w:pPr>
        <w:widowControl/>
        <w:spacing w:line="560" w:lineRule="atLeast"/>
        <w:ind w:firstLine="560"/>
        <w:jc w:val="left"/>
        <w:rPr>
          <w:rFonts w:hint="eastAsia" w:ascii="仿宋_GB2312" w:hAnsi="仿宋_GB2312" w:eastAsia="仿宋_GB2312" w:cs="仿宋_GB2312"/>
          <w:kern w:val="0"/>
          <w:sz w:val="32"/>
          <w:szCs w:val="32"/>
        </w:rPr>
      </w:pPr>
      <w:r>
        <w:rPr>
          <w:rFonts w:hint="eastAsia" w:ascii="仿宋_GB2312" w:hAnsi="微软雅黑" w:eastAsia="仿宋_GB2312" w:cs="仿宋_GB2312"/>
          <w:color w:val="313234"/>
          <w:kern w:val="0"/>
          <w:sz w:val="32"/>
          <w:szCs w:val="32"/>
          <w:shd w:val="clear" w:color="auto" w:fill="FFFFFF"/>
        </w:rPr>
        <w:t>项目承担单位：</w:t>
      </w:r>
      <w:r>
        <w:rPr>
          <w:rFonts w:hint="eastAsia" w:ascii="仿宋_GB2312" w:hAnsi="仿宋_GB2312" w:eastAsia="仿宋_GB2312" w:cs="仿宋_GB2312"/>
          <w:kern w:val="0"/>
          <w:sz w:val="32"/>
          <w:szCs w:val="32"/>
        </w:rPr>
        <w:t>中共昌吉回族自治州委员会机构编制委员会办公室</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资金分配情况：办公费17.5万元，印刷费1.5万元，邮电费 1万元，差旅费3万元，维修费1万元，培训费1万元，劳务费0.5万元，其他交通费用0.5万元，办公设备购置费4万元。</w:t>
      </w:r>
    </w:p>
    <w:p>
      <w:pPr>
        <w:widowControl/>
        <w:spacing w:line="560" w:lineRule="atLeast"/>
        <w:ind w:firstLine="560"/>
        <w:jc w:val="left"/>
        <w:rPr>
          <w:rFonts w:ascii="仿宋_GB2312" w:hAnsi="微软雅黑" w:eastAsia="仿宋_GB2312" w:cs="仿宋_GB2312"/>
          <w:color w:val="313234"/>
          <w:kern w:val="0"/>
          <w:sz w:val="32"/>
          <w:szCs w:val="32"/>
          <w:shd w:val="clear" w:color="auto" w:fill="FFFFFF"/>
        </w:rPr>
      </w:pPr>
      <w:r>
        <w:rPr>
          <w:rFonts w:hint="eastAsia" w:ascii="仿宋_GB2312" w:hAnsi="微软雅黑" w:eastAsia="仿宋_GB2312" w:cs="仿宋_GB2312"/>
          <w:color w:val="313234"/>
          <w:kern w:val="0"/>
          <w:sz w:val="32"/>
          <w:szCs w:val="32"/>
          <w:shd w:val="clear" w:color="auto" w:fill="FFFFFF"/>
        </w:rPr>
        <w:t>资金执行时间：2022年1月1日至12月31日。</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（二）项目名称：</w:t>
      </w:r>
      <w:r>
        <w:rPr>
          <w:rFonts w:hint="eastAsia" w:ascii="楷体_GB2312" w:hAnsi="楷体_GB2312" w:eastAsia="楷体_GB2312" w:cs="楷体_GB2312"/>
          <w:sz w:val="32"/>
          <w:szCs w:val="32"/>
        </w:rPr>
        <w:t>政府行政体制、乡镇机构改革及事业单位改革项目经费</w:t>
      </w:r>
    </w:p>
    <w:p>
      <w:pPr>
        <w:pStyle w:val="2"/>
        <w:spacing w:line="560" w:lineRule="exact"/>
        <w:ind w:left="0" w:firstLine="640" w:firstLineChars="200"/>
        <w:rPr>
          <w:rFonts w:ascii="仿宋" w:hAnsi="仿宋" w:eastAsia="仿宋" w:cs="仿宋"/>
          <w:sz w:val="32"/>
          <w:szCs w:val="32"/>
        </w:rPr>
      </w:pPr>
      <w:r>
        <w:rPr>
          <w:rFonts w:hint="eastAsia" w:ascii="仿宋" w:hAnsi="仿宋" w:eastAsia="仿宋" w:cs="仿宋"/>
          <w:color w:val="313234"/>
          <w:kern w:val="0"/>
          <w:sz w:val="32"/>
          <w:szCs w:val="32"/>
          <w:shd w:val="clear" w:color="auto" w:fill="FFFFFF"/>
        </w:rPr>
        <w:t>设立的政策依据：根据《中国共产党机构编制工作条例》要求，围绕重点工作开展机构和体制机制改革，规范机构编制管理，</w:t>
      </w:r>
      <w:r>
        <w:rPr>
          <w:rFonts w:hint="eastAsia" w:ascii="仿宋" w:hAnsi="仿宋" w:eastAsia="仿宋" w:cs="仿宋"/>
          <w:sz w:val="32"/>
          <w:szCs w:val="32"/>
        </w:rPr>
        <w:t>贯彻落实自治区、昌吉州机构改革部署，深化党政机构改革，推进事业单位改革试点，指导州本级各部门及各县市组织实施机构改革及事业单位改革试点工作等。</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预算安排规模：33.00万元</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项目承担单位：</w:t>
      </w:r>
      <w:r>
        <w:rPr>
          <w:rFonts w:hint="eastAsia" w:ascii="仿宋_GB2312" w:hAnsi="仿宋_GB2312" w:eastAsia="仿宋_GB2312" w:cs="仿宋_GB2312"/>
          <w:kern w:val="0"/>
          <w:sz w:val="32"/>
          <w:szCs w:val="32"/>
        </w:rPr>
        <w:t>中共昌吉回族自治州委员会机构编制委员会办公室</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资金分配情况：办公费18.5万元，印刷费1.5万元，邮电费 1万元，差旅费3万元，维修费1万元，培训费1万元，劳务费0.5万元，其他交通费用0.5万元，办公设备购置费4万元，其他商品服务支出2万元。</w:t>
      </w:r>
    </w:p>
    <w:p>
      <w:pPr>
        <w:widowControl/>
        <w:spacing w:line="560" w:lineRule="atLeast"/>
        <w:ind w:firstLine="560"/>
        <w:jc w:val="left"/>
        <w:rPr>
          <w:sz w:val="32"/>
          <w:szCs w:val="32"/>
        </w:rPr>
      </w:pPr>
      <w:r>
        <w:rPr>
          <w:rFonts w:hint="eastAsia" w:ascii="仿宋_GB2312" w:hAnsi="微软雅黑" w:eastAsia="仿宋_GB2312" w:cs="仿宋_GB2312"/>
          <w:color w:val="313234"/>
          <w:kern w:val="0"/>
          <w:sz w:val="32"/>
          <w:szCs w:val="32"/>
          <w:shd w:val="clear" w:color="auto" w:fill="FFFFFF"/>
        </w:rPr>
        <w:t>资金执行时间：2022年1月1日至12月31日。</w:t>
      </w:r>
    </w:p>
    <w:p>
      <w:pPr>
        <w:widowControl/>
        <w:spacing w:line="540" w:lineRule="exact"/>
        <w:ind w:firstLine="642"/>
        <w:jc w:val="left"/>
        <w:rPr>
          <w:rFonts w:ascii="黑体" w:hAnsi="黑体" w:eastAsia="黑体" w:cs="黑体"/>
          <w:kern w:val="0"/>
          <w:sz w:val="32"/>
          <w:szCs w:val="32"/>
        </w:rPr>
      </w:pPr>
      <w:r>
        <w:rPr>
          <w:rFonts w:hint="eastAsia" w:ascii="黑体" w:hAnsi="黑体" w:eastAsia="黑体" w:cs="黑体"/>
          <w:kern w:val="0"/>
          <w:sz w:val="32"/>
          <w:szCs w:val="32"/>
        </w:rPr>
        <w:t>八、关于中共昌吉回族自治州委员会机构编制委员会办公室2022年一般公共预算“三公”经费预算情况说明</w:t>
      </w:r>
    </w:p>
    <w:p>
      <w:pPr>
        <w:spacing w:line="54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2022年一般公共预算“三公”经费数为5.8万元，其中：因公出国（境）费0万元，公务用车购置0万元，公务用车运行费4.8万元，公务接待费1万元。</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2022年一般公共预算“三公”经费上年预算数增加1.95万元，其中：因公出国（境）费增加0万元，主要原因是</w:t>
      </w:r>
      <w:r>
        <w:rPr>
          <w:rFonts w:hint="eastAsia" w:ascii="仿宋_GB2312" w:hAnsi="仿宋_GB2312" w:eastAsia="仿宋_GB2312" w:cs="仿宋_GB2312"/>
          <w:kern w:val="0"/>
          <w:sz w:val="32"/>
          <w:szCs w:val="32"/>
        </w:rPr>
        <w:t>严格执行八项规定，压减因公出国（境）团组，本年度没有安排因公出国（境）费预算；</w:t>
      </w:r>
      <w:r>
        <w:rPr>
          <w:rFonts w:hint="eastAsia" w:ascii="仿宋_GB2312" w:hAnsi="宋体" w:eastAsia="仿宋_GB2312" w:cs="宋体"/>
          <w:kern w:val="0"/>
          <w:sz w:val="32"/>
          <w:szCs w:val="32"/>
        </w:rPr>
        <w:t>公务用车购置费为0万元，未安排预算。公务用车运行费增加0.95万元，主要原因是:公务用车老化，</w:t>
      </w:r>
      <w:r>
        <w:rPr>
          <w:rFonts w:hint="eastAsia" w:ascii="仿宋_GB2312" w:hAnsi="仿宋_GB2312" w:eastAsia="仿宋_GB2312" w:cs="仿宋_GB2312"/>
          <w:kern w:val="0"/>
          <w:sz w:val="32"/>
          <w:szCs w:val="32"/>
        </w:rPr>
        <w:t>加强对公务用车管理，严格控制车辆运行费用；</w:t>
      </w:r>
      <w:r>
        <w:rPr>
          <w:rFonts w:hint="eastAsia" w:ascii="仿宋_GB2312" w:hAnsi="宋体" w:eastAsia="仿宋_GB2312" w:cs="宋体"/>
          <w:kern w:val="0"/>
          <w:sz w:val="32"/>
          <w:szCs w:val="32"/>
        </w:rPr>
        <w:t>公务接待费增加1万元，主要原因是以前年度没有公务接待费预算，</w:t>
      </w:r>
      <w:r>
        <w:rPr>
          <w:rFonts w:hint="eastAsia" w:ascii="仿宋_GB2312" w:hAnsi="仿宋_GB2312" w:eastAsia="仿宋_GB2312" w:cs="仿宋_GB2312"/>
          <w:kern w:val="0"/>
          <w:sz w:val="32"/>
          <w:szCs w:val="32"/>
        </w:rPr>
        <w:t>严格执行中央八项规定和自治区十条规定，厉行节约，压减公务接待次数和人数。</w:t>
      </w:r>
    </w:p>
    <w:p>
      <w:pPr>
        <w:widowControl/>
        <w:spacing w:line="580" w:lineRule="exact"/>
        <w:ind w:firstLine="642"/>
        <w:jc w:val="left"/>
        <w:rPr>
          <w:rFonts w:ascii="黑体" w:hAnsi="黑体" w:eastAsia="黑体" w:cs="黑体"/>
          <w:kern w:val="0"/>
          <w:sz w:val="32"/>
          <w:szCs w:val="32"/>
        </w:rPr>
      </w:pPr>
      <w:r>
        <w:rPr>
          <w:rFonts w:hint="eastAsia" w:ascii="黑体" w:hAnsi="黑体" w:eastAsia="黑体" w:cs="黑体"/>
          <w:kern w:val="0"/>
          <w:sz w:val="32"/>
          <w:szCs w:val="32"/>
        </w:rPr>
        <w:t>九、关于中共昌吉回族自治州委员会机构编制委员会办公室2022年政府性基金预算拨款情况说明</w:t>
      </w:r>
    </w:p>
    <w:p>
      <w:pPr>
        <w:spacing w:line="58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2022年没有使用政府性基金预算拨款安排的支出，政府性基金预算支出情况表为空表。</w:t>
      </w:r>
    </w:p>
    <w:p>
      <w:pPr>
        <w:spacing w:line="58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8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80" w:lineRule="exact"/>
        <w:ind w:firstLine="668" w:firstLineChars="209"/>
        <w:rPr>
          <w:rFonts w:ascii="仿宋_GB2312" w:hAnsi="仿宋_GB2312" w:eastAsia="仿宋_GB2312" w:cs="仿宋_GB2312"/>
          <w:kern w:val="0"/>
          <w:sz w:val="32"/>
          <w:szCs w:val="32"/>
        </w:rPr>
      </w:pPr>
      <w:r>
        <w:rPr>
          <w:rFonts w:hint="eastAsia" w:ascii="仿宋_GB2312" w:hAnsi="宋体" w:eastAsia="仿宋_GB2312" w:cs="宋体"/>
          <w:kern w:val="0"/>
          <w:sz w:val="32"/>
          <w:szCs w:val="32"/>
        </w:rPr>
        <w:t>2022年，</w:t>
      </w:r>
      <w:r>
        <w:rPr>
          <w:rFonts w:hint="eastAsia" w:ascii="仿宋_GB2312" w:hAnsi="仿宋_GB2312" w:eastAsia="仿宋_GB2312" w:cs="仿宋_GB2312"/>
          <w:kern w:val="0"/>
          <w:sz w:val="32"/>
          <w:szCs w:val="32"/>
        </w:rPr>
        <w:t>中共昌吉回族自治州委员会机构编制委员会办公室本级机关运行经费财政拨款预算43.14万元，</w:t>
      </w:r>
      <w:r>
        <w:rPr>
          <w:rFonts w:hint="eastAsia" w:ascii="仿宋_GB2312" w:hAnsi="仿宋_GB2312" w:eastAsia="仿宋_GB2312" w:cs="仿宋_GB2312"/>
          <w:kern w:val="0"/>
          <w:sz w:val="32"/>
          <w:szCs w:val="32"/>
          <w:lang w:eastAsia="zh-CN"/>
        </w:rPr>
        <w:t>比</w:t>
      </w:r>
      <w:r>
        <w:rPr>
          <w:rFonts w:hint="eastAsia" w:ascii="仿宋_GB2312" w:hAnsi="宋体" w:eastAsia="仿宋_GB2312" w:cs="宋体"/>
          <w:kern w:val="0"/>
          <w:sz w:val="32"/>
          <w:szCs w:val="32"/>
        </w:rPr>
        <w:t>上年预算</w:t>
      </w:r>
      <w:r>
        <w:rPr>
          <w:rFonts w:hint="eastAsia" w:ascii="仿宋_GB2312" w:hAnsi="仿宋_GB2312" w:eastAsia="仿宋_GB2312" w:cs="仿宋_GB2312"/>
          <w:kern w:val="0"/>
          <w:sz w:val="32"/>
          <w:szCs w:val="32"/>
        </w:rPr>
        <w:t>减少62.35万元，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rPr>
        <w:t>59.11%。</w:t>
      </w:r>
      <w:r>
        <w:rPr>
          <w:rFonts w:hint="eastAsia" w:ascii="仿宋_GB2312" w:hAnsi="宋体" w:eastAsia="仿宋_GB2312" w:cs="宋体"/>
          <w:kern w:val="0"/>
          <w:sz w:val="32"/>
          <w:szCs w:val="32"/>
        </w:rPr>
        <w:t>主要原因是:</w:t>
      </w:r>
      <w:r>
        <w:rPr>
          <w:rFonts w:hint="eastAsia" w:ascii="仿宋_GB2312" w:hAnsi="仿宋_GB2312" w:eastAsia="仿宋_GB2312" w:cs="仿宋_GB2312"/>
          <w:kern w:val="0"/>
          <w:sz w:val="32"/>
          <w:szCs w:val="32"/>
        </w:rPr>
        <w:t>1、减少其他商品和服务支出62.35万元。3、加强日常经费预算管理，严格控制经费支出，节能降耗，厉行节约，力争机关运行经费人均逐年呈下降趋势。</w:t>
      </w:r>
    </w:p>
    <w:p>
      <w:pPr>
        <w:spacing w:line="58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w:t>
      </w:r>
      <w:r>
        <w:rPr>
          <w:rFonts w:hint="eastAsia" w:ascii="仿宋_GB2312" w:hAnsi="仿宋_GB2312" w:eastAsia="仿宋_GB2312" w:cs="仿宋_GB2312"/>
          <w:kern w:val="0"/>
          <w:sz w:val="32"/>
          <w:szCs w:val="32"/>
        </w:rPr>
        <w:t>中共昌吉回族自治州委员会机构编制委员会办公室及下属单位政府采购预算50.37万元，</w:t>
      </w:r>
      <w:r>
        <w:rPr>
          <w:rFonts w:hint="eastAsia" w:ascii="仿宋_GB2312" w:hAnsi="宋体" w:eastAsia="仿宋_GB2312" w:cs="宋体"/>
          <w:kern w:val="0"/>
          <w:sz w:val="32"/>
          <w:szCs w:val="32"/>
        </w:rPr>
        <w:t>其中：政府采购货物预算26.85万元，政府采购服务预算23.52万元。</w:t>
      </w:r>
    </w:p>
    <w:p>
      <w:pPr>
        <w:spacing w:line="58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2022年度本部门面向中小企业预留政府采购项目预算金额0万元，其中：面向小微企业预留政府采购项目预算金额0万元。</w:t>
      </w:r>
    </w:p>
    <w:p>
      <w:pPr>
        <w:spacing w:line="58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截至2021年底，</w:t>
      </w:r>
      <w:r>
        <w:rPr>
          <w:rFonts w:hint="eastAsia" w:ascii="仿宋_GB2312" w:hAnsi="仿宋_GB2312" w:eastAsia="仿宋_GB2312" w:cs="仿宋_GB2312"/>
          <w:kern w:val="0"/>
          <w:sz w:val="32"/>
          <w:szCs w:val="32"/>
        </w:rPr>
        <w:t>中共昌吉回族自治州委员会机构编制委员会办公室及下属各预算单位占用使用国有资产总体情况为</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1.房屋0平方米，价值 0万元。</w:t>
      </w:r>
    </w:p>
    <w:p>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2.车辆2辆，价值 40.85万元；其中：一般公务用车2辆，价值 40.85万元；执法执勤用车 0辆，价值0万元；其他车辆0辆，价值 0万元。</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3.办公家具价值10.28万元。</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4.其他资产价值55.38万元。</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部门预算未安排购置车辆经费，安排购置50万元以上大型设备0台（套），单位价值100万元以上大型设备0台（套）。</w:t>
      </w:r>
    </w:p>
    <w:p>
      <w:pPr>
        <w:spacing w:line="58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2022年度，本年度实行绩效管理的一般公共预算项目   2个，涉及预算金额63元。具体情况见下表（按项目分别填报）：</w:t>
      </w:r>
    </w:p>
    <w:p>
      <w:pPr>
        <w:pStyle w:val="2"/>
      </w:pPr>
    </w:p>
    <w:p>
      <w:pPr>
        <w:pStyle w:val="2"/>
      </w:pPr>
    </w:p>
    <w:p>
      <w:pPr>
        <w:pStyle w:val="2"/>
      </w:pPr>
    </w:p>
    <w:p>
      <w:pPr>
        <w:pStyle w:val="2"/>
      </w:pPr>
      <w:r>
        <w:rPr>
          <w:rFonts w:hint="eastAsia"/>
        </w:rPr>
        <w:drawing>
          <wp:inline distT="0" distB="0" distL="114300" distR="114300">
            <wp:extent cx="5486400" cy="7114540"/>
            <wp:effectExtent l="0" t="0" r="0" b="10160"/>
            <wp:docPr id="1" name="图片 1" descr="机构编制业务经费项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机构编制业务经费项目"/>
                    <pic:cNvPicPr>
                      <a:picLocks noChangeAspect="1"/>
                    </pic:cNvPicPr>
                  </pic:nvPicPr>
                  <pic:blipFill>
                    <a:blip r:embed="rId6" cstate="print"/>
                    <a:stretch>
                      <a:fillRect/>
                    </a:stretch>
                  </pic:blipFill>
                  <pic:spPr>
                    <a:xfrm>
                      <a:off x="0" y="0"/>
                      <a:ext cx="5486400" cy="7114540"/>
                    </a:xfrm>
                    <a:prstGeom prst="rect">
                      <a:avLst/>
                    </a:prstGeom>
                  </pic:spPr>
                </pic:pic>
              </a:graphicData>
            </a:graphic>
          </wp:inline>
        </w:drawing>
      </w:r>
    </w:p>
    <w:p>
      <w:pPr>
        <w:pStyle w:val="2"/>
      </w:pPr>
    </w:p>
    <w:p>
      <w:pPr>
        <w:pStyle w:val="2"/>
      </w:pPr>
    </w:p>
    <w:p>
      <w:pPr>
        <w:pStyle w:val="2"/>
      </w:pPr>
    </w:p>
    <w:p>
      <w:pPr>
        <w:pStyle w:val="2"/>
      </w:pPr>
    </w:p>
    <w:p>
      <w:pPr>
        <w:pStyle w:val="2"/>
      </w:pPr>
    </w:p>
    <w:p>
      <w:pPr>
        <w:pStyle w:val="2"/>
      </w:pPr>
    </w:p>
    <w:p>
      <w:pPr>
        <w:pStyle w:val="2"/>
        <w:ind w:left="0"/>
      </w:pPr>
    </w:p>
    <w:p>
      <w:pPr>
        <w:pStyle w:val="2"/>
      </w:pPr>
    </w:p>
    <w:p>
      <w:pPr>
        <w:pStyle w:val="2"/>
      </w:pPr>
      <w:r>
        <w:rPr>
          <w:rFonts w:hint="eastAsia"/>
        </w:rPr>
        <w:drawing>
          <wp:inline distT="0" distB="0" distL="114300" distR="114300">
            <wp:extent cx="5324475" cy="7512685"/>
            <wp:effectExtent l="0" t="0" r="9525" b="12065"/>
            <wp:docPr id="2" name="图片 2" descr="政府行政体制、乡镇机构改革及事业单位改革项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府行政体制、乡镇机构改革及事业单位改革项目"/>
                    <pic:cNvPicPr>
                      <a:picLocks noChangeAspect="1"/>
                    </pic:cNvPicPr>
                  </pic:nvPicPr>
                  <pic:blipFill>
                    <a:blip r:embed="rId7" cstate="print"/>
                    <a:stretch>
                      <a:fillRect/>
                    </a:stretch>
                  </pic:blipFill>
                  <pic:spPr>
                    <a:xfrm>
                      <a:off x="0" y="0"/>
                      <a:ext cx="5324475" cy="7512685"/>
                    </a:xfrm>
                    <a:prstGeom prst="rect">
                      <a:avLst/>
                    </a:prstGeom>
                  </pic:spPr>
                </pic:pic>
              </a:graphicData>
            </a:graphic>
          </wp:inline>
        </w:drawing>
      </w:r>
    </w:p>
    <w:p>
      <w:pPr>
        <w:widowControl/>
        <w:spacing w:line="520" w:lineRule="exact"/>
        <w:ind w:firstLine="321" w:firstLineChars="100"/>
        <w:jc w:val="left"/>
        <w:rPr>
          <w:rFonts w:ascii="楷体_GB2312" w:hAnsi="宋体" w:eastAsia="楷体_GB2312" w:cs="宋体"/>
          <w:b/>
          <w:kern w:val="0"/>
          <w:sz w:val="32"/>
          <w:szCs w:val="32"/>
        </w:rPr>
      </w:pPr>
      <w:bookmarkStart w:id="0" w:name="_GoBack"/>
      <w:bookmarkEnd w:id="0"/>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w:t>
      </w:r>
      <w:r>
        <w:rPr>
          <w:rFonts w:hint="eastAsia" w:ascii="仿宋_GB2312" w:eastAsia="仿宋_GB2312"/>
          <w:sz w:val="32"/>
          <w:szCs w:val="32"/>
        </w:rPr>
        <w:t>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w:t>
      </w:r>
      <w:r>
        <w:rPr>
          <w:rFonts w:hint="eastAsia" w:ascii="仿宋_GB2312" w:eastAsia="仿宋_GB2312"/>
          <w:sz w:val="32"/>
          <w:szCs w:val="32"/>
        </w:rPr>
        <w:t>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480" w:hanging="4480" w:hangingChars="1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 xml:space="preserve">                              </w:t>
      </w:r>
    </w:p>
    <w:p>
      <w:pPr>
        <w:widowControl/>
        <w:spacing w:line="520" w:lineRule="exact"/>
        <w:ind w:left="4470" w:leftChars="1824" w:hanging="640" w:hanging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pPr>
        <w:spacing w:line="520" w:lineRule="exact"/>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85B999"/>
    <w:multiLevelType w:val="singleLevel"/>
    <w:tmpl w:val="8285B999"/>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7575"/>
    <w:rsid w:val="00031E76"/>
    <w:rsid w:val="00065C89"/>
    <w:rsid w:val="000C6FBF"/>
    <w:rsid w:val="000D531A"/>
    <w:rsid w:val="000F3B60"/>
    <w:rsid w:val="0011450F"/>
    <w:rsid w:val="001747C9"/>
    <w:rsid w:val="002026B1"/>
    <w:rsid w:val="00223EA5"/>
    <w:rsid w:val="00261065"/>
    <w:rsid w:val="002E7530"/>
    <w:rsid w:val="00321E8A"/>
    <w:rsid w:val="003679D2"/>
    <w:rsid w:val="00401798"/>
    <w:rsid w:val="00452A86"/>
    <w:rsid w:val="005320EE"/>
    <w:rsid w:val="005602EA"/>
    <w:rsid w:val="00567073"/>
    <w:rsid w:val="0059125F"/>
    <w:rsid w:val="006E145A"/>
    <w:rsid w:val="00760458"/>
    <w:rsid w:val="007D7119"/>
    <w:rsid w:val="007E5ACA"/>
    <w:rsid w:val="008230A3"/>
    <w:rsid w:val="008910BE"/>
    <w:rsid w:val="008A4B03"/>
    <w:rsid w:val="008E4F9E"/>
    <w:rsid w:val="00944B81"/>
    <w:rsid w:val="00951A65"/>
    <w:rsid w:val="00977253"/>
    <w:rsid w:val="00997CE4"/>
    <w:rsid w:val="009B654C"/>
    <w:rsid w:val="009B6FA3"/>
    <w:rsid w:val="009F2821"/>
    <w:rsid w:val="00A13D75"/>
    <w:rsid w:val="00A57575"/>
    <w:rsid w:val="00AB1984"/>
    <w:rsid w:val="00B72401"/>
    <w:rsid w:val="00B94A73"/>
    <w:rsid w:val="00D85033"/>
    <w:rsid w:val="00DA2829"/>
    <w:rsid w:val="00E51C21"/>
    <w:rsid w:val="00F076F0"/>
    <w:rsid w:val="00F105A9"/>
    <w:rsid w:val="0173607A"/>
    <w:rsid w:val="01E246E8"/>
    <w:rsid w:val="02561037"/>
    <w:rsid w:val="025773BD"/>
    <w:rsid w:val="026660D2"/>
    <w:rsid w:val="03D0187B"/>
    <w:rsid w:val="04BB283B"/>
    <w:rsid w:val="04D96D98"/>
    <w:rsid w:val="05130626"/>
    <w:rsid w:val="06701AC8"/>
    <w:rsid w:val="07D47C80"/>
    <w:rsid w:val="08CC3982"/>
    <w:rsid w:val="08FA0001"/>
    <w:rsid w:val="09176742"/>
    <w:rsid w:val="098460D5"/>
    <w:rsid w:val="09F74E51"/>
    <w:rsid w:val="0A583616"/>
    <w:rsid w:val="0ACD6938"/>
    <w:rsid w:val="0C006BAE"/>
    <w:rsid w:val="0C050936"/>
    <w:rsid w:val="0D6F4CDF"/>
    <w:rsid w:val="0E0E77F8"/>
    <w:rsid w:val="0E557338"/>
    <w:rsid w:val="0F4F3F22"/>
    <w:rsid w:val="0FB32493"/>
    <w:rsid w:val="0FB86FA3"/>
    <w:rsid w:val="1005294B"/>
    <w:rsid w:val="107B1CD3"/>
    <w:rsid w:val="108E3258"/>
    <w:rsid w:val="10A5412D"/>
    <w:rsid w:val="12CC661B"/>
    <w:rsid w:val="13582A8B"/>
    <w:rsid w:val="13950424"/>
    <w:rsid w:val="14D15040"/>
    <w:rsid w:val="151119B5"/>
    <w:rsid w:val="15570070"/>
    <w:rsid w:val="15972811"/>
    <w:rsid w:val="164D4D27"/>
    <w:rsid w:val="1675713A"/>
    <w:rsid w:val="169C5A72"/>
    <w:rsid w:val="171A61AD"/>
    <w:rsid w:val="182310D8"/>
    <w:rsid w:val="184D36B5"/>
    <w:rsid w:val="18F70C01"/>
    <w:rsid w:val="192A330C"/>
    <w:rsid w:val="19B6233E"/>
    <w:rsid w:val="19BE4A62"/>
    <w:rsid w:val="19D16A39"/>
    <w:rsid w:val="1A924638"/>
    <w:rsid w:val="1AFD387E"/>
    <w:rsid w:val="1B7B732A"/>
    <w:rsid w:val="1C000971"/>
    <w:rsid w:val="1C1F334D"/>
    <w:rsid w:val="1C2A35AF"/>
    <w:rsid w:val="1C436EC1"/>
    <w:rsid w:val="1CC9585F"/>
    <w:rsid w:val="1D5155EC"/>
    <w:rsid w:val="1D837FB5"/>
    <w:rsid w:val="1F8625A1"/>
    <w:rsid w:val="206C7E11"/>
    <w:rsid w:val="206D2D6A"/>
    <w:rsid w:val="222276FD"/>
    <w:rsid w:val="229D076A"/>
    <w:rsid w:val="230A5DF8"/>
    <w:rsid w:val="238515A2"/>
    <w:rsid w:val="240F5C7E"/>
    <w:rsid w:val="24971AE9"/>
    <w:rsid w:val="25711DFE"/>
    <w:rsid w:val="258D5056"/>
    <w:rsid w:val="26131194"/>
    <w:rsid w:val="27475720"/>
    <w:rsid w:val="280E0F73"/>
    <w:rsid w:val="28170433"/>
    <w:rsid w:val="2899707D"/>
    <w:rsid w:val="28CF5018"/>
    <w:rsid w:val="28DC3CAD"/>
    <w:rsid w:val="29806EC3"/>
    <w:rsid w:val="29BD2511"/>
    <w:rsid w:val="2A167DDB"/>
    <w:rsid w:val="2B9430F9"/>
    <w:rsid w:val="2C2D1138"/>
    <w:rsid w:val="2D79126D"/>
    <w:rsid w:val="2DC5413D"/>
    <w:rsid w:val="2DFD36FB"/>
    <w:rsid w:val="2E013BD9"/>
    <w:rsid w:val="2E63117C"/>
    <w:rsid w:val="2FDB17D4"/>
    <w:rsid w:val="2FE760D8"/>
    <w:rsid w:val="300E6E52"/>
    <w:rsid w:val="3289424B"/>
    <w:rsid w:val="33650EF1"/>
    <w:rsid w:val="340B319B"/>
    <w:rsid w:val="34671516"/>
    <w:rsid w:val="366B6E41"/>
    <w:rsid w:val="367752B3"/>
    <w:rsid w:val="36C97231"/>
    <w:rsid w:val="375460F3"/>
    <w:rsid w:val="38417F9C"/>
    <w:rsid w:val="386068EC"/>
    <w:rsid w:val="387A4E2D"/>
    <w:rsid w:val="387C43A9"/>
    <w:rsid w:val="39EE2BFC"/>
    <w:rsid w:val="3C627433"/>
    <w:rsid w:val="3C670509"/>
    <w:rsid w:val="3CE77173"/>
    <w:rsid w:val="3D3A1FD6"/>
    <w:rsid w:val="3F2F493E"/>
    <w:rsid w:val="3F7F2249"/>
    <w:rsid w:val="43102C96"/>
    <w:rsid w:val="436B0454"/>
    <w:rsid w:val="43A95393"/>
    <w:rsid w:val="43EE015C"/>
    <w:rsid w:val="43F63398"/>
    <w:rsid w:val="44A23CAE"/>
    <w:rsid w:val="45286509"/>
    <w:rsid w:val="455729F1"/>
    <w:rsid w:val="467B5004"/>
    <w:rsid w:val="472E2E37"/>
    <w:rsid w:val="47881FE5"/>
    <w:rsid w:val="47FA580B"/>
    <w:rsid w:val="48CD3780"/>
    <w:rsid w:val="490F59D0"/>
    <w:rsid w:val="49361EC6"/>
    <w:rsid w:val="494A4658"/>
    <w:rsid w:val="4A0865C9"/>
    <w:rsid w:val="4BAD4D26"/>
    <w:rsid w:val="4C200492"/>
    <w:rsid w:val="4CC41030"/>
    <w:rsid w:val="4D051BA6"/>
    <w:rsid w:val="4D242C5A"/>
    <w:rsid w:val="4F3D7F7C"/>
    <w:rsid w:val="4F6A5BD5"/>
    <w:rsid w:val="4FE80637"/>
    <w:rsid w:val="50840121"/>
    <w:rsid w:val="517A2DB4"/>
    <w:rsid w:val="53084F3D"/>
    <w:rsid w:val="54D606BA"/>
    <w:rsid w:val="5544676F"/>
    <w:rsid w:val="56DB57C1"/>
    <w:rsid w:val="57E04814"/>
    <w:rsid w:val="58810671"/>
    <w:rsid w:val="58DF1295"/>
    <w:rsid w:val="59602E81"/>
    <w:rsid w:val="5A045C06"/>
    <w:rsid w:val="5A224559"/>
    <w:rsid w:val="5A38022A"/>
    <w:rsid w:val="5B0C3587"/>
    <w:rsid w:val="5BE30C2C"/>
    <w:rsid w:val="5C730F5C"/>
    <w:rsid w:val="5EB1172A"/>
    <w:rsid w:val="5ED22E4C"/>
    <w:rsid w:val="60950D31"/>
    <w:rsid w:val="614C7F43"/>
    <w:rsid w:val="61DF6FE8"/>
    <w:rsid w:val="62A33ED4"/>
    <w:rsid w:val="63FE5EEE"/>
    <w:rsid w:val="645F40AC"/>
    <w:rsid w:val="653A3248"/>
    <w:rsid w:val="67E4627A"/>
    <w:rsid w:val="6B00758C"/>
    <w:rsid w:val="6BC01402"/>
    <w:rsid w:val="6E5B0B99"/>
    <w:rsid w:val="6E94081B"/>
    <w:rsid w:val="6EDA7973"/>
    <w:rsid w:val="6F1242A6"/>
    <w:rsid w:val="70092218"/>
    <w:rsid w:val="705E070E"/>
    <w:rsid w:val="71781464"/>
    <w:rsid w:val="72A70FF8"/>
    <w:rsid w:val="72D55C00"/>
    <w:rsid w:val="72DD2C70"/>
    <w:rsid w:val="72F352A8"/>
    <w:rsid w:val="73100433"/>
    <w:rsid w:val="75836C40"/>
    <w:rsid w:val="75907763"/>
    <w:rsid w:val="76355CBA"/>
    <w:rsid w:val="765A21E1"/>
    <w:rsid w:val="784678B0"/>
    <w:rsid w:val="7916789A"/>
    <w:rsid w:val="796C6353"/>
    <w:rsid w:val="7A314742"/>
    <w:rsid w:val="7A4C1281"/>
    <w:rsid w:val="7A6C1DA3"/>
    <w:rsid w:val="7B2009A9"/>
    <w:rsid w:val="7B6A2FAF"/>
    <w:rsid w:val="7B790EBD"/>
    <w:rsid w:val="7B8161F8"/>
    <w:rsid w:val="7C160F00"/>
    <w:rsid w:val="7D496F24"/>
    <w:rsid w:val="7E824BB9"/>
    <w:rsid w:val="7FDF6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ind w:left="120"/>
    </w:pPr>
    <w:rPr>
      <w:rFonts w:ascii="Calibri" w:hAnsi="Calibri" w:cs="Calibri"/>
      <w:szCs w:val="21"/>
    </w:r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CB34D7-D961-43A9-B995-E1D94783DBF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28</Pages>
  <Words>2032</Words>
  <Characters>11585</Characters>
  <Lines>96</Lines>
  <Paragraphs>27</Paragraphs>
  <TotalTime>4</TotalTime>
  <ScaleCrop>false</ScaleCrop>
  <LinksUpToDate>false</LinksUpToDate>
  <CharactersWithSpaces>13590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cp:lastModifiedBy>
  <cp:lastPrinted>2022-04-01T03:42:00Z</cp:lastPrinted>
  <dcterms:modified xsi:type="dcterms:W3CDTF">2022-04-14T05:22:36Z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2A2CA21FD7F744D29A9BAEA70DE058F7</vt:lpwstr>
  </property>
</Properties>
</file>