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昌吉州外事办公室</w:t>
      </w:r>
      <w:r>
        <w:rPr>
          <w:rFonts w:hint="eastAsia" w:ascii="方正小标宋_GBK" w:hAnsi="宋体" w:eastAsia="方正小标宋_GBK"/>
          <w:kern w:val="0"/>
          <w:sz w:val="44"/>
          <w:szCs w:val="44"/>
          <w:lang w:val="en-US" w:eastAsia="zh-CN"/>
        </w:rPr>
        <w:t>2022年</w:t>
      </w: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昌吉州外事办公室概况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2022年昌吉州外事办公室预算公开表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一、昌吉州外事办公室收支总体情况表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二、昌吉州外事办公室收入总体情况表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三、昌吉州外事办公室支出总体情况表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一、关于昌吉州外事办公室2022年收支预算情况的总体说明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二、关于昌吉州外事办公室2022年收入预算情况说明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三、关于昌吉州外事办公室2022年支出预算情况说明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rPr>
        <w:t>昌吉州外事办公室2022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昌吉州外事办公室2022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昌吉州外事办公室2022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昌吉州外事办公室2022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八、关于昌吉州外事办公室2022年一般公共预算“三公”经费预算情况说明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九、关于昌吉州外事办公室2022年政府性基金预算拨款情况说明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昌吉州外事办公室概况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spacing w:line="640" w:lineRule="exact"/>
        <w:ind w:firstLine="640" w:firstLineChars="200"/>
        <w:rPr>
          <w:rFonts w:ascii="仿宋" w:hAnsi="仿宋" w:eastAsia="仿宋"/>
          <w:b/>
          <w:sz w:val="32"/>
          <w:szCs w:val="32"/>
        </w:rPr>
      </w:pPr>
      <w:r>
        <w:rPr>
          <w:rFonts w:hint="eastAsia" w:ascii="仿宋" w:hAnsi="仿宋" w:eastAsia="仿宋" w:cs="宋体"/>
          <w:kern w:val="0"/>
          <w:sz w:val="32"/>
          <w:szCs w:val="32"/>
        </w:rPr>
        <w:t>1、贯彻执行党和国家外事、口岸、边界工作的方针政策、法律法规及自治区、自治州关于外事、口岸、边界工作的指示、决定；负责或会同有关部门研究拟订自治州外事、口岸、边界工作的规划和规章制度，并组织实施。</w:t>
      </w:r>
    </w:p>
    <w:p>
      <w:pPr>
        <w:spacing w:line="640" w:lineRule="exact"/>
        <w:ind w:firstLine="627" w:firstLineChars="196"/>
        <w:rPr>
          <w:rFonts w:ascii="仿宋" w:hAnsi="仿宋" w:eastAsia="仿宋"/>
          <w:b/>
          <w:sz w:val="32"/>
          <w:szCs w:val="32"/>
        </w:rPr>
      </w:pPr>
      <w:r>
        <w:rPr>
          <w:rFonts w:hint="eastAsia" w:ascii="仿宋" w:hAnsi="仿宋" w:eastAsia="仿宋" w:cs="宋体"/>
          <w:kern w:val="0"/>
          <w:sz w:val="32"/>
          <w:szCs w:val="32"/>
        </w:rPr>
        <w:t>2、研究外事、口岸、边界工作的重大问题，了解和掌握外事、口岸、边界工作情况；协调自治州重大外事、边界、和涉外活动，负责处理或协助处理自治州重大涉外事务。</w:t>
      </w:r>
    </w:p>
    <w:p>
      <w:pPr>
        <w:spacing w:line="640" w:lineRule="exact"/>
        <w:ind w:firstLine="627" w:firstLineChars="196"/>
        <w:rPr>
          <w:rFonts w:ascii="仿宋" w:hAnsi="仿宋" w:eastAsia="仿宋"/>
          <w:b/>
          <w:sz w:val="32"/>
          <w:szCs w:val="32"/>
        </w:rPr>
      </w:pPr>
      <w:r>
        <w:rPr>
          <w:rFonts w:hint="eastAsia" w:ascii="仿宋" w:hAnsi="仿宋" w:eastAsia="仿宋" w:cs="宋体"/>
          <w:kern w:val="0"/>
          <w:sz w:val="32"/>
          <w:szCs w:val="32"/>
        </w:rPr>
        <w:t>3、按规定承办和审批因公出国（境）人员以及邀请外国来访人员的有关事宜；负责管理和指导全州因公出国工作；负责调研和指导对外交往与交流；负责接待来自治州访问的国宾及其他重要外宾；接待来自治州进行公务活动的外国驻华外交人员以及进行采访活动的外国记者；负责自治州领导出国(境)访问的有关事宜；统筹安排自治州党政领导的外事活动。</w:t>
      </w:r>
    </w:p>
    <w:p>
      <w:pPr>
        <w:spacing w:line="640" w:lineRule="exact"/>
        <w:ind w:firstLine="627" w:firstLineChars="196"/>
        <w:rPr>
          <w:rFonts w:ascii="仿宋" w:hAnsi="仿宋" w:eastAsia="仿宋"/>
          <w:b/>
          <w:sz w:val="32"/>
          <w:szCs w:val="32"/>
        </w:rPr>
      </w:pPr>
      <w:r>
        <w:rPr>
          <w:rFonts w:hint="eastAsia" w:ascii="仿宋" w:hAnsi="仿宋" w:eastAsia="仿宋" w:cs="宋体"/>
          <w:kern w:val="0"/>
          <w:sz w:val="32"/>
          <w:szCs w:val="32"/>
        </w:rPr>
        <w:t>4、根据中央和自治区有关规定，提供国际形势、对外政策和重大国际问题的宣传材料和对外表态口径；配合和协助有关部门做好自治州对外宣传、文化交流和群众性外事教育工作。</w:t>
      </w:r>
    </w:p>
    <w:p>
      <w:pPr>
        <w:spacing w:line="640" w:lineRule="exact"/>
        <w:ind w:firstLine="627" w:firstLineChars="196"/>
        <w:rPr>
          <w:rFonts w:ascii="仿宋" w:hAnsi="仿宋" w:eastAsia="仿宋"/>
          <w:b/>
          <w:sz w:val="32"/>
          <w:szCs w:val="32"/>
        </w:rPr>
      </w:pPr>
      <w:r>
        <w:rPr>
          <w:rFonts w:hint="eastAsia" w:ascii="仿宋" w:hAnsi="仿宋" w:eastAsia="仿宋" w:cs="宋体"/>
          <w:kern w:val="0"/>
          <w:sz w:val="32"/>
          <w:szCs w:val="32"/>
        </w:rPr>
        <w:t>5、负责对自治州县(市)外事机构进行政策指导和业务指导,组织自治州外事干部的培训工作;加强对涉外人员的政策、纪律教育。</w:t>
      </w:r>
    </w:p>
    <w:p>
      <w:pPr>
        <w:spacing w:line="640" w:lineRule="exact"/>
        <w:ind w:firstLine="627" w:firstLineChars="196"/>
        <w:rPr>
          <w:rFonts w:ascii="仿宋" w:hAnsi="仿宋" w:eastAsia="仿宋"/>
          <w:b/>
          <w:sz w:val="32"/>
          <w:szCs w:val="32"/>
        </w:rPr>
      </w:pPr>
      <w:r>
        <w:rPr>
          <w:rFonts w:hint="eastAsia" w:ascii="仿宋" w:hAnsi="仿宋" w:eastAsia="仿宋" w:cs="宋体"/>
          <w:kern w:val="0"/>
          <w:sz w:val="32"/>
          <w:szCs w:val="32"/>
        </w:rPr>
        <w:t>6、负责或协助有关部门做好国际与国外有关机构和人员捐赠款物的工作；协助有关部门做好引进外资、技术、人才和开拓国外市场、促进对外经济技术合作等为经济建设服务的工作。</w:t>
      </w:r>
    </w:p>
    <w:p>
      <w:pPr>
        <w:spacing w:line="640" w:lineRule="exact"/>
        <w:ind w:firstLine="627" w:firstLineChars="196"/>
        <w:rPr>
          <w:rFonts w:ascii="仿宋" w:hAnsi="仿宋" w:eastAsia="仿宋"/>
          <w:b/>
          <w:sz w:val="32"/>
          <w:szCs w:val="32"/>
        </w:rPr>
      </w:pPr>
      <w:r>
        <w:rPr>
          <w:rFonts w:hint="eastAsia" w:ascii="仿宋" w:hAnsi="仿宋" w:eastAsia="仿宋" w:cs="宋体"/>
          <w:kern w:val="0"/>
          <w:sz w:val="32"/>
          <w:szCs w:val="32"/>
        </w:rPr>
        <w:t>7、负责乌拉斯台口岸的综合管理；指导亚中商城二类口岸工作；在紧急情况下对口岸各单位协调不一的问题作出仲裁；督促检查口岸各检查、检验单位的查验工作；检查和掌握口岸过货计划执行情况；组织口岸的集、疏、运工作。</w:t>
      </w:r>
    </w:p>
    <w:p>
      <w:pPr>
        <w:spacing w:line="640" w:lineRule="exact"/>
        <w:rPr>
          <w:rFonts w:ascii="仿宋" w:hAnsi="仿宋" w:eastAsia="仿宋" w:cs="宋体"/>
          <w:kern w:val="0"/>
          <w:sz w:val="32"/>
          <w:szCs w:val="32"/>
        </w:rPr>
      </w:pPr>
      <w:r>
        <w:rPr>
          <w:rFonts w:hint="eastAsia" w:ascii="仿宋" w:hAnsi="仿宋" w:eastAsia="仿宋" w:cs="宋体"/>
          <w:kern w:val="0"/>
          <w:sz w:val="32"/>
          <w:szCs w:val="32"/>
        </w:rPr>
        <w:t>　  8、按国家关于口岸开放的各项政策和规定，负责口岸开放或关闭的审查报批工作，组织实施口岸规划和建设；会同有关部门处理口岸的各项涉外问题，对口岸涉外问题和违反外事纪律的情况进行检查和提出处理意见；做好口岸各项服务工作。</w:t>
      </w:r>
    </w:p>
    <w:p>
      <w:pPr>
        <w:spacing w:line="640" w:lineRule="exact"/>
        <w:rPr>
          <w:rFonts w:ascii="仿宋" w:hAnsi="仿宋" w:eastAsia="仿宋" w:cs="宋体"/>
          <w:kern w:val="0"/>
          <w:sz w:val="32"/>
          <w:szCs w:val="32"/>
        </w:rPr>
      </w:pPr>
      <w:r>
        <w:rPr>
          <w:rFonts w:hint="eastAsia" w:ascii="仿宋" w:hAnsi="仿宋" w:eastAsia="仿宋" w:cs="宋体"/>
          <w:kern w:val="0"/>
          <w:sz w:val="32"/>
          <w:szCs w:val="32"/>
        </w:rPr>
        <w:t xml:space="preserve">    9、会同有关部门做好边界管理工作，负责中蒙边界昌吉段国界的勘界联检及界标界务的日常管理；负责邻国情况调研及边界涉外事务处理工作；会同有关部门做好边界基础设施建设和维护管理工作；指导并协助做好边界会谈会晤工作；会同和协助有关部门做好边境管理工作。 </w:t>
      </w:r>
    </w:p>
    <w:p>
      <w:pPr>
        <w:widowControl/>
        <w:spacing w:line="480" w:lineRule="exact"/>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 xml:space="preserve"> </w:t>
      </w:r>
    </w:p>
    <w:p>
      <w:pPr>
        <w:widowControl/>
        <w:spacing w:line="540" w:lineRule="exact"/>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4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仿宋_GB2312" w:eastAsia="仿宋_GB2312" w:cs="仿宋_GB2312"/>
          <w:kern w:val="0"/>
          <w:sz w:val="32"/>
          <w:szCs w:val="32"/>
        </w:rPr>
        <w:t>昌吉州外事办公室</w:t>
      </w:r>
      <w:r>
        <w:rPr>
          <w:rFonts w:hint="eastAsia" w:ascii="仿宋_GB2312" w:hAnsi="黑体" w:eastAsia="仿宋_GB2312" w:cs="宋体"/>
          <w:bCs/>
          <w:kern w:val="0"/>
          <w:sz w:val="32"/>
          <w:szCs w:val="32"/>
        </w:rPr>
        <w:t>无下属预算单位，下设4个科室，分别是：综合科（组织人事科）、外事科、边界科、口岸科。1个事业单位：外事服务中心</w:t>
      </w:r>
      <w:r>
        <w:rPr>
          <w:rFonts w:hint="eastAsia" w:ascii="仿宋_GB2312" w:hAnsi="宋体" w:eastAsia="仿宋_GB2312" w:cs="宋体"/>
          <w:kern w:val="0"/>
          <w:sz w:val="32"/>
          <w:szCs w:val="32"/>
        </w:rPr>
        <w:t>。</w:t>
      </w:r>
    </w:p>
    <w:p>
      <w:pPr>
        <w:widowControl/>
        <w:spacing w:line="540" w:lineRule="exact"/>
        <w:ind w:firstLine="640"/>
        <w:jc w:val="left"/>
        <w:rPr>
          <w:rFonts w:ascii="仿宋_GB2312" w:hAnsi="宋体" w:eastAsia="仿宋_GB2312" w:cs="宋体"/>
          <w:kern w:val="0"/>
          <w:sz w:val="32"/>
          <w:szCs w:val="32"/>
        </w:rPr>
      </w:pPr>
      <w:r>
        <w:rPr>
          <w:rFonts w:hint="eastAsia" w:ascii="仿宋_GB2312" w:hAnsi="仿宋_GB2312" w:eastAsia="仿宋_GB2312" w:cs="仿宋_GB2312"/>
          <w:kern w:val="0"/>
          <w:sz w:val="32"/>
          <w:szCs w:val="32"/>
        </w:rPr>
        <w:t>昌吉州外事办公室</w:t>
      </w:r>
      <w:r>
        <w:rPr>
          <w:rFonts w:hint="eastAsia" w:ascii="仿宋_GB2312" w:hAnsi="宋体" w:eastAsia="仿宋_GB2312" w:cs="宋体"/>
          <w:kern w:val="0"/>
          <w:sz w:val="32"/>
          <w:szCs w:val="32"/>
        </w:rPr>
        <w:t>编制数17个，实有人数16人，其中：在职16人，增加1人； 退休19人，增加0人；离休0人，增加0人。</w:t>
      </w: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outlineLvl w:val="1"/>
        <w:rPr>
          <w:rFonts w:ascii="仿宋_GB2312" w:hAnsi="宋体" w:eastAsia="仿宋_GB2312" w:cs="宋体"/>
          <w:b/>
          <w:kern w:val="0"/>
          <w:sz w:val="32"/>
          <w:szCs w:val="32"/>
        </w:rPr>
      </w:pPr>
    </w:p>
    <w:p>
      <w:pPr>
        <w:widowControl/>
        <w:spacing w:line="440" w:lineRule="exact"/>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编制部门（单位）：昌吉州外事办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280.59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376.26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28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26.43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19.38</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21.86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376.26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376.26　</w:t>
            </w:r>
          </w:p>
        </w:tc>
      </w:tr>
    </w:tbl>
    <w:p>
      <w:pPr>
        <w:widowControl/>
        <w:spacing w:line="280" w:lineRule="exact"/>
        <w:outlineLvl w:val="1"/>
        <w:rPr>
          <w:rFonts w:hint="eastAsia" w:ascii="宋体" w:hAnsi="宋体" w:cs="宋体"/>
          <w:color w:val="000000"/>
          <w:kern w:val="0"/>
          <w:sz w:val="20"/>
          <w:szCs w:val="20"/>
        </w:rPr>
      </w:pPr>
    </w:p>
    <w:p>
      <w:pPr>
        <w:widowControl/>
        <w:spacing w:line="280" w:lineRule="exact"/>
        <w:outlineLvl w:val="1"/>
        <w:rPr>
          <w:rFonts w:ascii="仿宋_GB2312" w:hAnsi="宋体" w:eastAsia="仿宋_GB2312"/>
          <w:b/>
          <w:kern w:val="0"/>
          <w:sz w:val="28"/>
          <w:szCs w:val="32"/>
        </w:rPr>
      </w:pPr>
      <w:r>
        <w:rPr>
          <w:rFonts w:hint="eastAsia" w:ascii="宋体" w:hAnsi="宋体" w:cs="宋体"/>
          <w:color w:val="000000"/>
          <w:kern w:val="0"/>
          <w:sz w:val="20"/>
          <w:szCs w:val="20"/>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编制部门（单位）：昌吉州外事办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33"/>
        <w:gridCol w:w="1879"/>
        <w:gridCol w:w="1018"/>
        <w:gridCol w:w="850"/>
        <w:gridCol w:w="709"/>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517"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87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Layout w:type="fixed"/>
          <w:tblCellMar>
            <w:top w:w="0" w:type="dxa"/>
            <w:left w:w="108" w:type="dxa"/>
            <w:bottom w:w="0" w:type="dxa"/>
            <w:right w:w="108" w:type="dxa"/>
          </w:tblCellMar>
        </w:tblPrEx>
        <w:trPr>
          <w:trHeight w:val="712"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33"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87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201</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3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87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一般公共服务支出</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280.59</w:t>
            </w:r>
          </w:p>
        </w:tc>
        <w:tc>
          <w:tcPr>
            <w:tcW w:w="850"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280.59</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201</w:t>
            </w:r>
          </w:p>
        </w:tc>
        <w:tc>
          <w:tcPr>
            <w:tcW w:w="426"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03</w:t>
            </w:r>
          </w:p>
        </w:tc>
        <w:tc>
          <w:tcPr>
            <w:tcW w:w="53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87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政府办公室（厅及相关事务机构）</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278.59</w:t>
            </w:r>
          </w:p>
        </w:tc>
        <w:tc>
          <w:tcPr>
            <w:tcW w:w="850"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278.59</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201</w:t>
            </w:r>
          </w:p>
        </w:tc>
        <w:tc>
          <w:tcPr>
            <w:tcW w:w="426"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03</w:t>
            </w:r>
          </w:p>
        </w:tc>
        <w:tc>
          <w:tcPr>
            <w:tcW w:w="533"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01</w:t>
            </w:r>
          </w:p>
        </w:tc>
        <w:tc>
          <w:tcPr>
            <w:tcW w:w="187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行政运行</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183.33</w:t>
            </w:r>
          </w:p>
        </w:tc>
        <w:tc>
          <w:tcPr>
            <w:tcW w:w="850"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183.33</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03</w:t>
            </w:r>
          </w:p>
        </w:tc>
        <w:tc>
          <w:tcPr>
            <w:tcW w:w="5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02</w:t>
            </w:r>
          </w:p>
        </w:tc>
        <w:tc>
          <w:tcPr>
            <w:tcW w:w="187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一般行政管理事务</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66</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66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03</w:t>
            </w:r>
          </w:p>
        </w:tc>
        <w:tc>
          <w:tcPr>
            <w:tcW w:w="5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50</w:t>
            </w:r>
          </w:p>
        </w:tc>
        <w:tc>
          <w:tcPr>
            <w:tcW w:w="187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事业运行</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27.27</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27.27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13</w:t>
            </w:r>
          </w:p>
        </w:tc>
        <w:tc>
          <w:tcPr>
            <w:tcW w:w="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1879" w:type="dxa"/>
            <w:tcBorders>
              <w:top w:val="nil"/>
              <w:left w:val="nil"/>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统战事务</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34</w:t>
            </w:r>
          </w:p>
        </w:tc>
        <w:tc>
          <w:tcPr>
            <w:tcW w:w="5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05</w:t>
            </w:r>
          </w:p>
        </w:tc>
        <w:tc>
          <w:tcPr>
            <w:tcW w:w="187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华侨事务</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203</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1879" w:type="dxa"/>
            <w:tcBorders>
              <w:top w:val="nil"/>
              <w:left w:val="nil"/>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仿宋_GB2312" w:hAnsi="宋体" w:eastAsia="仿宋_GB2312" w:cs="宋体"/>
                <w:color w:val="000000"/>
                <w:sz w:val="18"/>
                <w:szCs w:val="18"/>
              </w:rPr>
              <w:t>国防支出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28</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203</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99</w:t>
            </w:r>
          </w:p>
        </w:tc>
        <w:tc>
          <w:tcPr>
            <w:tcW w:w="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1879" w:type="dxa"/>
            <w:tcBorders>
              <w:top w:val="nil"/>
              <w:left w:val="nil"/>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仿宋_GB2312" w:hAnsi="宋体" w:eastAsia="仿宋_GB2312" w:cs="宋体"/>
                <w:color w:val="000000"/>
                <w:sz w:val="18"/>
                <w:szCs w:val="18"/>
              </w:rPr>
              <w:t>其他国防支出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28</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203</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99</w:t>
            </w:r>
          </w:p>
        </w:tc>
        <w:tc>
          <w:tcPr>
            <w:tcW w:w="5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99</w:t>
            </w:r>
          </w:p>
        </w:tc>
        <w:tc>
          <w:tcPr>
            <w:tcW w:w="187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其它国防支出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28</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187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26.43</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26.43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99</w:t>
            </w:r>
          </w:p>
        </w:tc>
        <w:tc>
          <w:tcPr>
            <w:tcW w:w="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187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26.43</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26.43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05</w:t>
            </w:r>
          </w:p>
        </w:tc>
        <w:tc>
          <w:tcPr>
            <w:tcW w:w="5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01</w:t>
            </w:r>
          </w:p>
        </w:tc>
        <w:tc>
          <w:tcPr>
            <w:tcW w:w="187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行政单位离退休</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1.9</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1.9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05</w:t>
            </w:r>
          </w:p>
        </w:tc>
        <w:tc>
          <w:tcPr>
            <w:tcW w:w="5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05</w:t>
            </w:r>
          </w:p>
        </w:tc>
        <w:tc>
          <w:tcPr>
            <w:tcW w:w="187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机关事业单位基本养老保险缴费</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24.53</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24.53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187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卫生健康支出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19.38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11</w:t>
            </w:r>
          </w:p>
        </w:tc>
        <w:tc>
          <w:tcPr>
            <w:tcW w:w="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187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19.38</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19.38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11</w:t>
            </w:r>
          </w:p>
        </w:tc>
        <w:tc>
          <w:tcPr>
            <w:tcW w:w="5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01</w:t>
            </w:r>
          </w:p>
        </w:tc>
        <w:tc>
          <w:tcPr>
            <w:tcW w:w="187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行政单位医疗</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11.82</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19.38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11</w:t>
            </w:r>
          </w:p>
        </w:tc>
        <w:tc>
          <w:tcPr>
            <w:tcW w:w="5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02</w:t>
            </w:r>
          </w:p>
        </w:tc>
        <w:tc>
          <w:tcPr>
            <w:tcW w:w="187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2.74</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2.74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11</w:t>
            </w:r>
          </w:p>
        </w:tc>
        <w:tc>
          <w:tcPr>
            <w:tcW w:w="5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03</w:t>
            </w:r>
          </w:p>
        </w:tc>
        <w:tc>
          <w:tcPr>
            <w:tcW w:w="187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4.6</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4.6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11</w:t>
            </w:r>
          </w:p>
        </w:tc>
        <w:tc>
          <w:tcPr>
            <w:tcW w:w="5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99</w:t>
            </w:r>
          </w:p>
        </w:tc>
        <w:tc>
          <w:tcPr>
            <w:tcW w:w="187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0.21</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0.21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221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1879" w:type="dxa"/>
            <w:tcBorders>
              <w:top w:val="nil"/>
              <w:left w:val="nil"/>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住房保障支出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21.86</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21.86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221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02</w:t>
            </w:r>
          </w:p>
        </w:tc>
        <w:tc>
          <w:tcPr>
            <w:tcW w:w="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1879" w:type="dxa"/>
            <w:tcBorders>
              <w:top w:val="nil"/>
              <w:left w:val="nil"/>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住房改革支出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21.86</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21.86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221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02</w:t>
            </w:r>
          </w:p>
        </w:tc>
        <w:tc>
          <w:tcPr>
            <w:tcW w:w="5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01</w:t>
            </w:r>
          </w:p>
        </w:tc>
        <w:tc>
          <w:tcPr>
            <w:tcW w:w="187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住房公积金</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21.86</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21.86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7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18"/>
                <w:szCs w:val="18"/>
              </w:rPr>
              <w:t>376.26</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18"/>
                <w:szCs w:val="18"/>
              </w:rPr>
              <w:t>376.26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表3</w:t>
      </w:r>
    </w:p>
    <w:p>
      <w:pPr>
        <w:widowControl/>
        <w:spacing w:line="360" w:lineRule="exact"/>
        <w:ind w:firstLine="1800" w:firstLineChars="500"/>
        <w:jc w:val="both"/>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编制部门（单位）：昌吉州外事办                                  单位：万元</w:t>
      </w:r>
    </w:p>
    <w:tbl>
      <w:tblPr>
        <w:tblStyle w:val="6"/>
        <w:tblW w:w="9420" w:type="dxa"/>
        <w:tblInd w:w="-240" w:type="dxa"/>
        <w:tblLayout w:type="fixed"/>
        <w:tblCellMar>
          <w:top w:w="0" w:type="dxa"/>
          <w:left w:w="108" w:type="dxa"/>
          <w:bottom w:w="0" w:type="dxa"/>
          <w:right w:w="108" w:type="dxa"/>
        </w:tblCellMar>
      </w:tblPr>
      <w:tblGrid>
        <w:gridCol w:w="632"/>
        <w:gridCol w:w="403"/>
        <w:gridCol w:w="545"/>
        <w:gridCol w:w="3286"/>
        <w:gridCol w:w="1514"/>
        <w:gridCol w:w="1582"/>
        <w:gridCol w:w="1458"/>
      </w:tblGrid>
      <w:tr>
        <w:tblPrEx>
          <w:tblLayout w:type="fixed"/>
          <w:tblCellMar>
            <w:top w:w="0" w:type="dxa"/>
            <w:left w:w="108" w:type="dxa"/>
            <w:bottom w:w="0" w:type="dxa"/>
            <w:right w:w="108" w:type="dxa"/>
          </w:tblCellMar>
        </w:tblPrEx>
        <w:trPr>
          <w:trHeight w:val="345" w:hRule="atLeast"/>
        </w:trPr>
        <w:tc>
          <w:tcPr>
            <w:tcW w:w="4866"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4554"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580"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328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51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58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45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328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51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58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45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201</w:t>
            </w:r>
          </w:p>
        </w:tc>
        <w:tc>
          <w:tcPr>
            <w:tcW w:w="40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2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一般公共服务支出</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280.26</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212.59</w:t>
            </w: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68</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201</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03</w:t>
            </w:r>
          </w:p>
        </w:tc>
        <w:tc>
          <w:tcPr>
            <w:tcW w:w="5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2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政府办公室（厅及相关事务机构）</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278.59</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212.59</w:t>
            </w: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66</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201</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03</w:t>
            </w: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01</w:t>
            </w:r>
          </w:p>
        </w:tc>
        <w:tc>
          <w:tcPr>
            <w:tcW w:w="32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行政运行</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183.33</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183.33</w:t>
            </w: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201</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03</w:t>
            </w: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02</w:t>
            </w:r>
          </w:p>
        </w:tc>
        <w:tc>
          <w:tcPr>
            <w:tcW w:w="32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一般行政管理事务</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66</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66</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201</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03</w:t>
            </w: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50</w:t>
            </w:r>
          </w:p>
        </w:tc>
        <w:tc>
          <w:tcPr>
            <w:tcW w:w="32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事业运行</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27.27</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29.27</w:t>
            </w: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201</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13</w:t>
            </w: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3286" w:type="dxa"/>
            <w:tcBorders>
              <w:top w:val="nil"/>
              <w:left w:val="nil"/>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统战事务</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201</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34</w:t>
            </w: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05</w:t>
            </w:r>
          </w:p>
        </w:tc>
        <w:tc>
          <w:tcPr>
            <w:tcW w:w="32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华侨事务</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203</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3286" w:type="dxa"/>
            <w:tcBorders>
              <w:top w:val="nil"/>
              <w:left w:val="nil"/>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仿宋_GB2312" w:hAnsi="宋体" w:eastAsia="仿宋_GB2312" w:cs="宋体"/>
                <w:color w:val="000000"/>
                <w:sz w:val="18"/>
                <w:szCs w:val="18"/>
              </w:rPr>
              <w:t>国防支出</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28</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28</w:t>
            </w: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28</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203</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99</w:t>
            </w: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3286" w:type="dxa"/>
            <w:tcBorders>
              <w:top w:val="nil"/>
              <w:left w:val="nil"/>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仿宋_GB2312" w:hAnsi="宋体" w:eastAsia="仿宋_GB2312" w:cs="宋体"/>
                <w:color w:val="000000"/>
                <w:sz w:val="18"/>
                <w:szCs w:val="18"/>
              </w:rPr>
              <w:t>其他国防支出</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28</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28</w:t>
            </w: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28</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203</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99</w:t>
            </w: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99</w:t>
            </w:r>
          </w:p>
        </w:tc>
        <w:tc>
          <w:tcPr>
            <w:tcW w:w="32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其它国防支出</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28</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28</w:t>
            </w: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28</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208</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32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26.43</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26.43</w:t>
            </w: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208</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99</w:t>
            </w: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32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26.43</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26.43</w:t>
            </w: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208</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05</w:t>
            </w: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01</w:t>
            </w:r>
          </w:p>
        </w:tc>
        <w:tc>
          <w:tcPr>
            <w:tcW w:w="32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行政单位离退休</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1.9</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1.9</w:t>
            </w: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208</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05</w:t>
            </w: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05</w:t>
            </w:r>
          </w:p>
        </w:tc>
        <w:tc>
          <w:tcPr>
            <w:tcW w:w="32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机关事业单位基本养老保险缴费</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24.53</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24.53</w:t>
            </w: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210</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32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卫生健康支出</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19.38</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19.38</w:t>
            </w: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210</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11</w:t>
            </w: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32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行政事业单位医疗</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19.38</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19.38</w:t>
            </w: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210</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11</w:t>
            </w: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01</w:t>
            </w:r>
          </w:p>
        </w:tc>
        <w:tc>
          <w:tcPr>
            <w:tcW w:w="32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行政单位医疗</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11.82</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11.82</w:t>
            </w: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210</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11</w:t>
            </w: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02</w:t>
            </w:r>
          </w:p>
        </w:tc>
        <w:tc>
          <w:tcPr>
            <w:tcW w:w="32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事业单位医疗</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2.74</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2.74</w:t>
            </w: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210</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11</w:t>
            </w: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03</w:t>
            </w:r>
          </w:p>
        </w:tc>
        <w:tc>
          <w:tcPr>
            <w:tcW w:w="32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公务员医疗补助</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4.6</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4.6</w:t>
            </w: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210</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11</w:t>
            </w: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99</w:t>
            </w:r>
          </w:p>
        </w:tc>
        <w:tc>
          <w:tcPr>
            <w:tcW w:w="32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其他行政事业单位医疗支出</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0.21</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0.21</w:t>
            </w: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221</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3286" w:type="dxa"/>
            <w:tcBorders>
              <w:top w:val="nil"/>
              <w:left w:val="nil"/>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住房保障支出</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21.86</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21.86</w:t>
            </w: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221</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02</w:t>
            </w: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3286" w:type="dxa"/>
            <w:tcBorders>
              <w:top w:val="nil"/>
              <w:left w:val="nil"/>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住房改革支出</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21.86</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21.86</w:t>
            </w: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221</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02</w:t>
            </w:r>
          </w:p>
        </w:tc>
        <w:tc>
          <w:tcPr>
            <w:tcW w:w="5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01</w:t>
            </w:r>
          </w:p>
        </w:tc>
        <w:tc>
          <w:tcPr>
            <w:tcW w:w="32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住房公积金</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21.86</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21.86</w:t>
            </w: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03"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54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2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b/>
                <w:bCs/>
                <w:color w:val="000000"/>
                <w:kern w:val="0"/>
                <w:sz w:val="18"/>
                <w:szCs w:val="18"/>
              </w:rPr>
              <w:t>合  计</w:t>
            </w:r>
          </w:p>
        </w:tc>
        <w:tc>
          <w:tcPr>
            <w:tcW w:w="15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376.26</w:t>
            </w:r>
          </w:p>
        </w:tc>
        <w:tc>
          <w:tcPr>
            <w:tcW w:w="15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280.26</w:t>
            </w:r>
          </w:p>
        </w:tc>
        <w:tc>
          <w:tcPr>
            <w:tcW w:w="14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96</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表4</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昌吉州外事办</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仿宋_GB2312" w:hAnsi="宋体" w:eastAsia="仿宋_GB2312" w:cs="宋体"/>
                <w:kern w:val="0"/>
                <w:sz w:val="18"/>
                <w:szCs w:val="18"/>
              </w:rPr>
              <w:t>280.59</w:t>
            </w: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仿宋_GB2312" w:hAnsi="宋体" w:eastAsia="仿宋_GB2312" w:cs="宋体"/>
                <w:kern w:val="0"/>
                <w:sz w:val="18"/>
                <w:szCs w:val="18"/>
              </w:rPr>
              <w:t>280.59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376.26</w:t>
            </w:r>
          </w:p>
        </w:tc>
        <w:tc>
          <w:tcPr>
            <w:tcW w:w="2580" w:type="dxa"/>
            <w:tcBorders>
              <w:top w:val="nil"/>
              <w:left w:val="nil"/>
              <w:bottom w:val="single" w:color="auto" w:sz="4" w:space="0"/>
              <w:right w:val="single" w:color="auto" w:sz="4" w:space="0"/>
            </w:tcBorders>
          </w:tcPr>
          <w:p>
            <w:pPr>
              <w:widowControl/>
              <w:spacing w:line="280" w:lineRule="exac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仿宋_GB2312" w:hAnsi="宋体" w:eastAsia="仿宋_GB2312" w:cs="宋体"/>
                <w:kern w:val="0"/>
                <w:sz w:val="18"/>
                <w:szCs w:val="18"/>
              </w:rPr>
              <w:t>28</w:t>
            </w: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仿宋_GB2312" w:hAnsi="宋体" w:eastAsia="仿宋_GB2312" w:cs="宋体"/>
                <w:kern w:val="0"/>
                <w:sz w:val="18"/>
                <w:szCs w:val="18"/>
              </w:rPr>
              <w:t>28</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仿宋_GB2312" w:hAnsi="宋体" w:eastAsia="仿宋_GB2312" w:cs="宋体"/>
                <w:kern w:val="0"/>
                <w:sz w:val="18"/>
                <w:szCs w:val="18"/>
              </w:rPr>
              <w:t>26.43</w:t>
            </w: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仿宋_GB2312" w:hAnsi="宋体" w:eastAsia="仿宋_GB2312" w:cs="宋体"/>
                <w:kern w:val="0"/>
                <w:sz w:val="18"/>
                <w:szCs w:val="18"/>
              </w:rPr>
              <w:t>26.43</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仿宋_GB2312" w:hAnsi="宋体" w:eastAsia="仿宋_GB2312" w:cs="宋体"/>
                <w:kern w:val="0"/>
                <w:sz w:val="18"/>
                <w:szCs w:val="18"/>
              </w:rPr>
              <w:t>19.38</w:t>
            </w: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仿宋_GB2312" w:hAnsi="宋体" w:eastAsia="仿宋_GB2312" w:cs="宋体"/>
                <w:kern w:val="0"/>
                <w:sz w:val="18"/>
                <w:szCs w:val="18"/>
              </w:rPr>
              <w:t>19.38</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仿宋_GB2312" w:hAnsi="宋体" w:eastAsia="仿宋_GB2312" w:cs="宋体"/>
                <w:kern w:val="0"/>
                <w:sz w:val="18"/>
                <w:szCs w:val="18"/>
              </w:rPr>
              <w:t>21.86</w:t>
            </w: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仿宋_GB2312" w:hAnsi="宋体" w:eastAsia="仿宋_GB2312" w:cs="宋体"/>
                <w:kern w:val="0"/>
                <w:sz w:val="18"/>
                <w:szCs w:val="18"/>
              </w:rPr>
              <w:t>21.86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kern w:val="0"/>
                <w:sz w:val="18"/>
                <w:szCs w:val="18"/>
              </w:rPr>
              <w:t>376.26</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仿宋_GB2312" w:hAnsi="宋体" w:eastAsia="仿宋_GB2312" w:cs="宋体"/>
                <w:kern w:val="0"/>
                <w:sz w:val="18"/>
                <w:szCs w:val="18"/>
              </w:rPr>
              <w:t>376.26</w:t>
            </w: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仿宋_GB2312" w:hAnsi="宋体" w:eastAsia="仿宋_GB2312" w:cs="宋体"/>
                <w:kern w:val="0"/>
                <w:sz w:val="18"/>
                <w:szCs w:val="18"/>
              </w:rPr>
              <w:t>376.26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hint="eastAsia" w:ascii="宋体" w:hAnsi="宋体" w:cs="宋体"/>
          <w:color w:val="000000"/>
          <w:kern w:val="0"/>
          <w:sz w:val="20"/>
          <w:szCs w:val="20"/>
        </w:rPr>
      </w:pPr>
    </w:p>
    <w:p>
      <w:pPr>
        <w:widowControl/>
        <w:spacing w:line="320" w:lineRule="exact"/>
        <w:outlineLvl w:val="1"/>
        <w:rPr>
          <w:rFonts w:ascii="宋体" w:hAnsi="宋体" w:cs="宋体"/>
          <w:color w:val="000000"/>
          <w:kern w:val="0"/>
          <w:sz w:val="20"/>
          <w:szCs w:val="20"/>
        </w:rPr>
      </w:pPr>
      <w:r>
        <w:rPr>
          <w:rFonts w:hint="eastAsia" w:ascii="宋体" w:hAnsi="宋体" w:cs="宋体"/>
          <w:color w:val="000000"/>
          <w:kern w:val="0"/>
          <w:sz w:val="20"/>
          <w:szCs w:val="20"/>
        </w:rPr>
        <w:t>表5</w:t>
      </w:r>
    </w:p>
    <w:tbl>
      <w:tblPr>
        <w:tblStyle w:val="6"/>
        <w:tblW w:w="9250" w:type="dxa"/>
        <w:tblInd w:w="-34" w:type="dxa"/>
        <w:tblLayout w:type="fixed"/>
        <w:tblCellMar>
          <w:top w:w="0" w:type="dxa"/>
          <w:left w:w="108" w:type="dxa"/>
          <w:bottom w:w="0" w:type="dxa"/>
          <w:right w:w="108" w:type="dxa"/>
        </w:tblCellMar>
      </w:tblPr>
      <w:tblGrid>
        <w:gridCol w:w="568"/>
        <w:gridCol w:w="427"/>
        <w:gridCol w:w="600"/>
        <w:gridCol w:w="2852"/>
        <w:gridCol w:w="236"/>
        <w:gridCol w:w="1240"/>
        <w:gridCol w:w="174"/>
        <w:gridCol w:w="1584"/>
        <w:gridCol w:w="1533"/>
        <w:gridCol w:w="36"/>
      </w:tblGrid>
      <w:tr>
        <w:tblPrEx>
          <w:tblLayout w:type="fixed"/>
          <w:tblCellMar>
            <w:top w:w="0" w:type="dxa"/>
            <w:left w:w="108" w:type="dxa"/>
            <w:bottom w:w="0" w:type="dxa"/>
            <w:right w:w="108" w:type="dxa"/>
          </w:tblCellMar>
        </w:tblPrEx>
        <w:trPr>
          <w:gridAfter w:val="1"/>
          <w:wAfter w:w="36" w:type="dxa"/>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444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昌吉州外事办</w:t>
            </w:r>
          </w:p>
        </w:tc>
        <w:tc>
          <w:tcPr>
            <w:tcW w:w="236"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4"/>
            <w:tcBorders>
              <w:top w:val="nil"/>
              <w:left w:val="nil"/>
              <w:bottom w:val="nil"/>
              <w:right w:val="nil"/>
            </w:tcBorders>
            <w:vAlign w:val="center"/>
          </w:tcPr>
          <w:p>
            <w:pPr>
              <w:widowControl/>
              <w:ind w:firstLine="1440" w:firstLineChars="6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gridAfter w:val="1"/>
          <w:wAfter w:w="36" w:type="dxa"/>
          <w:trHeight w:val="405" w:hRule="atLeast"/>
        </w:trPr>
        <w:tc>
          <w:tcPr>
            <w:tcW w:w="444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476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gridAfter w:val="1"/>
          <w:wAfter w:w="36" w:type="dxa"/>
          <w:trHeight w:val="465" w:hRule="atLeast"/>
        </w:trPr>
        <w:tc>
          <w:tcPr>
            <w:tcW w:w="159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85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50" w:type="dxa"/>
            <w:gridSpan w:val="3"/>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5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533"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gridAfter w:val="1"/>
          <w:wAfter w:w="36" w:type="dxa"/>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2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60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85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50" w:type="dxa"/>
            <w:gridSpan w:val="3"/>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33"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201</w:t>
            </w:r>
          </w:p>
        </w:tc>
        <w:tc>
          <w:tcPr>
            <w:tcW w:w="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一般公共服务支出</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280.26</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212.59</w:t>
            </w: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68</w:t>
            </w: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201</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03</w:t>
            </w:r>
          </w:p>
        </w:tc>
        <w:tc>
          <w:tcPr>
            <w:tcW w:w="6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政府办公室（厅及相关事务机构）</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278.59</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212.59</w:t>
            </w: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66</w:t>
            </w: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201</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03</w:t>
            </w:r>
          </w:p>
        </w:tc>
        <w:tc>
          <w:tcPr>
            <w:tcW w:w="6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01</w:t>
            </w:r>
          </w:p>
        </w:tc>
        <w:tc>
          <w:tcPr>
            <w:tcW w:w="2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行政运行</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183.33</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183.33</w:t>
            </w: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201</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03</w:t>
            </w:r>
          </w:p>
        </w:tc>
        <w:tc>
          <w:tcPr>
            <w:tcW w:w="6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02</w:t>
            </w:r>
          </w:p>
        </w:tc>
        <w:tc>
          <w:tcPr>
            <w:tcW w:w="2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一般行政管理事务</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66</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66</w:t>
            </w: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201</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03</w:t>
            </w:r>
          </w:p>
        </w:tc>
        <w:tc>
          <w:tcPr>
            <w:tcW w:w="6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50</w:t>
            </w:r>
          </w:p>
        </w:tc>
        <w:tc>
          <w:tcPr>
            <w:tcW w:w="2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事业运行</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27.27</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29.27</w:t>
            </w: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201</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13</w:t>
            </w:r>
          </w:p>
        </w:tc>
        <w:tc>
          <w:tcPr>
            <w:tcW w:w="6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285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统战事务</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w:t>
            </w: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201</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34</w:t>
            </w:r>
          </w:p>
        </w:tc>
        <w:tc>
          <w:tcPr>
            <w:tcW w:w="6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05</w:t>
            </w:r>
          </w:p>
        </w:tc>
        <w:tc>
          <w:tcPr>
            <w:tcW w:w="2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华侨事务</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w:t>
            </w: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203</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6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285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仿宋_GB2312" w:hAnsi="宋体" w:eastAsia="仿宋_GB2312" w:cs="宋体"/>
                <w:color w:val="000000"/>
                <w:sz w:val="18"/>
                <w:szCs w:val="18"/>
              </w:rPr>
              <w:t>国防支出</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28</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28</w:t>
            </w: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28</w:t>
            </w: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203</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99</w:t>
            </w:r>
          </w:p>
        </w:tc>
        <w:tc>
          <w:tcPr>
            <w:tcW w:w="6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285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仿宋_GB2312" w:hAnsi="宋体" w:eastAsia="仿宋_GB2312" w:cs="宋体"/>
                <w:color w:val="000000"/>
                <w:sz w:val="18"/>
                <w:szCs w:val="18"/>
              </w:rPr>
              <w:t>其他国防支出</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28</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28</w:t>
            </w: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28</w:t>
            </w: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203</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99</w:t>
            </w:r>
          </w:p>
        </w:tc>
        <w:tc>
          <w:tcPr>
            <w:tcW w:w="6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99</w:t>
            </w:r>
          </w:p>
        </w:tc>
        <w:tc>
          <w:tcPr>
            <w:tcW w:w="2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其它国防支出</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28</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28</w:t>
            </w: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28</w:t>
            </w: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208</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6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2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26.43</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26.43</w:t>
            </w: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208</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99</w:t>
            </w:r>
          </w:p>
        </w:tc>
        <w:tc>
          <w:tcPr>
            <w:tcW w:w="6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2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26.43</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26.43</w:t>
            </w: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208</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05</w:t>
            </w:r>
          </w:p>
        </w:tc>
        <w:tc>
          <w:tcPr>
            <w:tcW w:w="6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01</w:t>
            </w:r>
          </w:p>
        </w:tc>
        <w:tc>
          <w:tcPr>
            <w:tcW w:w="2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行政单位离退休</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1.9</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1.9</w:t>
            </w: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208</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05</w:t>
            </w:r>
          </w:p>
        </w:tc>
        <w:tc>
          <w:tcPr>
            <w:tcW w:w="6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05</w:t>
            </w:r>
          </w:p>
        </w:tc>
        <w:tc>
          <w:tcPr>
            <w:tcW w:w="2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机关事业单位基本养老保险缴费</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24.53</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24.53</w:t>
            </w: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210</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6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2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卫生健康支出</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19.38</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19.38</w:t>
            </w: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210</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11</w:t>
            </w:r>
          </w:p>
        </w:tc>
        <w:tc>
          <w:tcPr>
            <w:tcW w:w="6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2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行政事业单位医疗</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19.38</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19.38</w:t>
            </w: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210</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11</w:t>
            </w:r>
          </w:p>
        </w:tc>
        <w:tc>
          <w:tcPr>
            <w:tcW w:w="6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01</w:t>
            </w:r>
          </w:p>
        </w:tc>
        <w:tc>
          <w:tcPr>
            <w:tcW w:w="2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行政单位医疗</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11.82</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11.82</w:t>
            </w: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210</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11</w:t>
            </w:r>
          </w:p>
        </w:tc>
        <w:tc>
          <w:tcPr>
            <w:tcW w:w="6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02</w:t>
            </w:r>
          </w:p>
        </w:tc>
        <w:tc>
          <w:tcPr>
            <w:tcW w:w="2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事业单位医疗</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2.74</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2.74</w:t>
            </w: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210</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11</w:t>
            </w:r>
          </w:p>
        </w:tc>
        <w:tc>
          <w:tcPr>
            <w:tcW w:w="6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03</w:t>
            </w:r>
          </w:p>
        </w:tc>
        <w:tc>
          <w:tcPr>
            <w:tcW w:w="2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公务员医疗补助</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4.6</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4.6</w:t>
            </w: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210</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11</w:t>
            </w:r>
          </w:p>
        </w:tc>
        <w:tc>
          <w:tcPr>
            <w:tcW w:w="6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99</w:t>
            </w:r>
          </w:p>
        </w:tc>
        <w:tc>
          <w:tcPr>
            <w:tcW w:w="2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其他行政事业单位医疗支出</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0.21</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0.21</w:t>
            </w: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221</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6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285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住房保障支出</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21.86</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21.86</w:t>
            </w: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221</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02</w:t>
            </w:r>
          </w:p>
        </w:tc>
        <w:tc>
          <w:tcPr>
            <w:tcW w:w="6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285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住房改革支出</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21.86</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21.86</w:t>
            </w: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221</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02</w:t>
            </w:r>
          </w:p>
        </w:tc>
        <w:tc>
          <w:tcPr>
            <w:tcW w:w="6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01</w:t>
            </w:r>
          </w:p>
        </w:tc>
        <w:tc>
          <w:tcPr>
            <w:tcW w:w="2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cs="宋体"/>
                <w:color w:val="000000"/>
                <w:kern w:val="0"/>
                <w:sz w:val="18"/>
                <w:szCs w:val="18"/>
              </w:rPr>
              <w:t>住房公积金</w:t>
            </w:r>
          </w:p>
        </w:tc>
        <w:tc>
          <w:tcPr>
            <w:tcW w:w="1650"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21.86</w:t>
            </w:r>
          </w:p>
        </w:tc>
        <w:tc>
          <w:tcPr>
            <w:tcW w:w="15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color w:val="000000"/>
                <w:kern w:val="0"/>
                <w:sz w:val="18"/>
                <w:szCs w:val="18"/>
              </w:rPr>
              <w:t>21.86</w:t>
            </w:r>
          </w:p>
        </w:tc>
        <w:tc>
          <w:tcPr>
            <w:tcW w:w="153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p>
        </w:tc>
      </w:tr>
      <w:tr>
        <w:tblPrEx>
          <w:tblLayout w:type="fixed"/>
          <w:tblCellMar>
            <w:top w:w="0" w:type="dxa"/>
            <w:left w:w="108" w:type="dxa"/>
            <w:bottom w:w="0" w:type="dxa"/>
            <w:right w:w="108" w:type="dxa"/>
          </w:tblCellMar>
        </w:tblPrEx>
        <w:trPr>
          <w:gridAfter w:val="1"/>
          <w:wAfter w:w="36" w:type="dxa"/>
          <w:trHeight w:val="397"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6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85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50" w:type="dxa"/>
            <w:gridSpan w:val="3"/>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kern w:val="0"/>
                <w:sz w:val="18"/>
                <w:szCs w:val="18"/>
              </w:rPr>
              <w:t>376.26</w:t>
            </w:r>
          </w:p>
        </w:tc>
        <w:tc>
          <w:tcPr>
            <w:tcW w:w="15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kern w:val="0"/>
                <w:sz w:val="18"/>
                <w:szCs w:val="18"/>
              </w:rPr>
              <w:t>280.26</w:t>
            </w:r>
          </w:p>
        </w:tc>
        <w:tc>
          <w:tcPr>
            <w:tcW w:w="153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96</w:t>
            </w:r>
          </w:p>
        </w:tc>
      </w:tr>
    </w:tbl>
    <w:p>
      <w:pPr>
        <w:widowControl/>
        <w:outlineLvl w:val="1"/>
        <w:rPr>
          <w:rFonts w:hint="eastAsia" w:ascii="宋体" w:hAnsi="宋体" w:cs="宋体"/>
          <w:color w:val="000000"/>
          <w:kern w:val="0"/>
          <w:sz w:val="20"/>
          <w:szCs w:val="20"/>
        </w:rPr>
      </w:pPr>
    </w:p>
    <w:p>
      <w:pPr>
        <w:widowControl/>
        <w:outlineLvl w:val="1"/>
        <w:rPr>
          <w:rFonts w:hint="eastAsia" w:ascii="宋体" w:hAnsi="宋体" w:cs="宋体"/>
          <w:color w:val="000000"/>
          <w:kern w:val="0"/>
          <w:sz w:val="20"/>
          <w:szCs w:val="20"/>
        </w:rPr>
      </w:pPr>
    </w:p>
    <w:p>
      <w:pPr>
        <w:widowControl/>
        <w:outlineLvl w:val="1"/>
        <w:rPr>
          <w:rFonts w:ascii="仿宋_GB2312" w:hAnsi="宋体" w:eastAsia="仿宋_GB2312"/>
          <w:b/>
          <w:kern w:val="0"/>
          <w:sz w:val="28"/>
          <w:szCs w:val="32"/>
        </w:rPr>
      </w:pPr>
      <w:r>
        <w:rPr>
          <w:rFonts w:hint="eastAsia" w:ascii="宋体" w:hAnsi="宋体" w:cs="宋体"/>
          <w:color w:val="000000"/>
          <w:kern w:val="0"/>
          <w:sz w:val="20"/>
          <w:szCs w:val="20"/>
        </w:rPr>
        <w:t>表6</w:t>
      </w:r>
    </w:p>
    <w:tbl>
      <w:tblPr>
        <w:tblStyle w:val="6"/>
        <w:tblpPr w:leftFromText="180" w:rightFromText="180" w:vertAnchor="text" w:horzAnchor="page" w:tblpX="1396" w:tblpY="75"/>
        <w:tblOverlap w:val="never"/>
        <w:tblW w:w="9328" w:type="dxa"/>
        <w:tblInd w:w="0" w:type="dxa"/>
        <w:tblLayout w:type="fixed"/>
        <w:tblCellMar>
          <w:top w:w="0" w:type="dxa"/>
          <w:left w:w="108" w:type="dxa"/>
          <w:bottom w:w="0" w:type="dxa"/>
          <w:right w:w="108" w:type="dxa"/>
        </w:tblCellMar>
      </w:tblPr>
      <w:tblGrid>
        <w:gridCol w:w="612"/>
        <w:gridCol w:w="722"/>
        <w:gridCol w:w="3265"/>
        <w:gridCol w:w="621"/>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599"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昌吉州外事办</w:t>
            </w:r>
          </w:p>
        </w:tc>
        <w:tc>
          <w:tcPr>
            <w:tcW w:w="621"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599"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729"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26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327"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61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2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26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327"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72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326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工资福利支出</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227.66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227.66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72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326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74.36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74.36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72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326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62.26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62.26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03</w:t>
            </w:r>
          </w:p>
        </w:tc>
        <w:tc>
          <w:tcPr>
            <w:tcW w:w="326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奖金</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6.07</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6.07</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326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绩效工资</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12.23</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12.23</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08</w:t>
            </w:r>
          </w:p>
        </w:tc>
        <w:tc>
          <w:tcPr>
            <w:tcW w:w="3265"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机关事业单位基本养老保险缴费</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24.53</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24.53</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3265"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城镇职工基本医疗保险缴费</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14.57</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14.57</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3265"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公务员医疗补助缴费</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3265"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其他社会保险缴费</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0.32</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0.32</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3265"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住房公积金</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21.86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21.86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3265"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其他工资福利支出</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6.86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6.86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265"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商品和服务支出</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28.44</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28.44</w:t>
            </w: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3265"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办公费</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8.01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8.01</w:t>
            </w: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3265"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培训费</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0.53</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0.53</w:t>
            </w: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3265"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公务接待费</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0.62</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0.62</w:t>
            </w: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26</w:t>
            </w:r>
          </w:p>
        </w:tc>
        <w:tc>
          <w:tcPr>
            <w:tcW w:w="3265"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劳务费</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w:t>
            </w:r>
          </w:p>
        </w:tc>
        <w:tc>
          <w:tcPr>
            <w:tcW w:w="3265"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工会经费</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2.89</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2.89</w:t>
            </w: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w:t>
            </w:r>
          </w:p>
        </w:tc>
        <w:tc>
          <w:tcPr>
            <w:tcW w:w="3265"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福利费</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2.6</w:t>
            </w: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31</w:t>
            </w:r>
          </w:p>
        </w:tc>
        <w:tc>
          <w:tcPr>
            <w:tcW w:w="3265"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公务用车运行维护费</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4.5</w:t>
            </w: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39</w:t>
            </w:r>
          </w:p>
        </w:tc>
        <w:tc>
          <w:tcPr>
            <w:tcW w:w="3265"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其他交通费用</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3265"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其他商品和服务支出</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4.79</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4.79</w:t>
            </w: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265"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对个人和家庭补助支出</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24.16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24.16</w:t>
            </w: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3265"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离休费</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3265"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医疗费不住</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20.06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20.06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09</w:t>
            </w:r>
          </w:p>
        </w:tc>
        <w:tc>
          <w:tcPr>
            <w:tcW w:w="3265"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奖励金</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2.2</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2.2</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61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26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32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280.26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251.82</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28.44</w:t>
            </w:r>
          </w:p>
        </w:tc>
      </w:tr>
    </w:tbl>
    <w:p>
      <w:pPr>
        <w:widowControl/>
        <w:outlineLvl w:val="1"/>
        <w:rPr>
          <w:rFonts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表7</w:t>
      </w:r>
    </w:p>
    <w:tbl>
      <w:tblPr>
        <w:tblStyle w:val="6"/>
        <w:tblW w:w="9540" w:type="dxa"/>
        <w:tblInd w:w="-360" w:type="dxa"/>
        <w:tblLayout w:type="fixed"/>
        <w:tblCellMar>
          <w:top w:w="0" w:type="dxa"/>
          <w:left w:w="108" w:type="dxa"/>
          <w:bottom w:w="0" w:type="dxa"/>
          <w:right w:w="108" w:type="dxa"/>
        </w:tblCellMar>
      </w:tblPr>
      <w:tblGrid>
        <w:gridCol w:w="8"/>
        <w:gridCol w:w="483"/>
        <w:gridCol w:w="400"/>
        <w:gridCol w:w="567"/>
        <w:gridCol w:w="867"/>
        <w:gridCol w:w="1173"/>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昌吉州外事办</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458"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6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73"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491"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0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6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67"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17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00" w:type="dxa"/>
            <w:vAlign w:val="center"/>
          </w:tcPr>
          <w:p>
            <w:pPr>
              <w:widowControl/>
              <w:jc w:val="center"/>
              <w:outlineLvl w:val="1"/>
              <w:rPr>
                <w:rFonts w:ascii="仿宋_GB2312" w:hAnsi="宋体" w:eastAsia="仿宋_GB2312"/>
                <w:kern w:val="0"/>
                <w:sz w:val="18"/>
                <w:szCs w:val="18"/>
              </w:rPr>
            </w:pPr>
          </w:p>
        </w:tc>
        <w:tc>
          <w:tcPr>
            <w:tcW w:w="567" w:type="dxa"/>
            <w:vAlign w:val="center"/>
          </w:tcPr>
          <w:p>
            <w:pPr>
              <w:widowControl/>
              <w:jc w:val="center"/>
              <w:outlineLvl w:val="1"/>
              <w:rPr>
                <w:rFonts w:ascii="仿宋_GB2312" w:hAnsi="宋体" w:eastAsia="仿宋_GB2312"/>
                <w:kern w:val="0"/>
                <w:sz w:val="18"/>
                <w:szCs w:val="18"/>
              </w:rPr>
            </w:pPr>
          </w:p>
        </w:tc>
        <w:tc>
          <w:tcPr>
            <w:tcW w:w="867"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一般公共服务支出</w:t>
            </w:r>
          </w:p>
        </w:tc>
        <w:tc>
          <w:tcPr>
            <w:tcW w:w="1173"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66</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66</w:t>
            </w:r>
          </w:p>
        </w:tc>
        <w:tc>
          <w:tcPr>
            <w:tcW w:w="652" w:type="dxa"/>
          </w:tcPr>
          <w:p>
            <w:pPr>
              <w:widowControl/>
              <w:jc w:val="center"/>
              <w:outlineLvl w:val="1"/>
              <w:rPr>
                <w:rFonts w:ascii="仿宋_GB2312" w:hAnsi="宋体" w:eastAsia="仿宋_GB2312"/>
                <w:kern w:val="0"/>
                <w:sz w:val="18"/>
                <w:szCs w:val="18"/>
              </w:rPr>
            </w:pPr>
          </w:p>
        </w:tc>
        <w:tc>
          <w:tcPr>
            <w:tcW w:w="652"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0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03</w:t>
            </w:r>
          </w:p>
        </w:tc>
        <w:tc>
          <w:tcPr>
            <w:tcW w:w="567" w:type="dxa"/>
            <w:vAlign w:val="center"/>
          </w:tcPr>
          <w:p>
            <w:pPr>
              <w:widowControl/>
              <w:jc w:val="center"/>
              <w:outlineLvl w:val="1"/>
              <w:rPr>
                <w:rFonts w:ascii="仿宋_GB2312" w:hAnsi="宋体" w:eastAsia="仿宋_GB2312"/>
                <w:kern w:val="0"/>
                <w:sz w:val="18"/>
                <w:szCs w:val="18"/>
              </w:rPr>
            </w:pPr>
          </w:p>
        </w:tc>
        <w:tc>
          <w:tcPr>
            <w:tcW w:w="867"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政府办公室（厅及相关事务机构）</w:t>
            </w:r>
          </w:p>
        </w:tc>
        <w:tc>
          <w:tcPr>
            <w:tcW w:w="1173"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66</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66</w:t>
            </w:r>
          </w:p>
        </w:tc>
        <w:tc>
          <w:tcPr>
            <w:tcW w:w="652" w:type="dxa"/>
          </w:tcPr>
          <w:p>
            <w:pPr>
              <w:widowControl/>
              <w:jc w:val="center"/>
              <w:outlineLvl w:val="1"/>
              <w:rPr>
                <w:rFonts w:ascii="仿宋_GB2312" w:hAnsi="宋体" w:eastAsia="仿宋_GB2312"/>
                <w:kern w:val="0"/>
                <w:sz w:val="18"/>
                <w:szCs w:val="18"/>
              </w:rPr>
            </w:pPr>
          </w:p>
        </w:tc>
        <w:tc>
          <w:tcPr>
            <w:tcW w:w="652"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0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03</w:t>
            </w:r>
          </w:p>
        </w:tc>
        <w:tc>
          <w:tcPr>
            <w:tcW w:w="56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67" w:type="dxa"/>
            <w:vAlign w:val="center"/>
          </w:tcPr>
          <w:p>
            <w:pPr>
              <w:widowControl/>
              <w:jc w:val="center"/>
              <w:outlineLvl w:val="1"/>
              <w:rPr>
                <w:rFonts w:ascii="仿宋_GB2312" w:hAnsi="宋体" w:eastAsia="仿宋_GB2312"/>
                <w:kern w:val="0"/>
                <w:sz w:val="18"/>
                <w:szCs w:val="18"/>
              </w:rPr>
            </w:pPr>
            <w:r>
              <w:rPr>
                <w:rFonts w:hint="eastAsia" w:ascii="宋体" w:hAnsi="宋体" w:cs="宋体"/>
                <w:color w:val="000000"/>
                <w:kern w:val="0"/>
                <w:sz w:val="18"/>
                <w:szCs w:val="18"/>
              </w:rPr>
              <w:t>一般行政管理事务</w:t>
            </w:r>
          </w:p>
        </w:tc>
        <w:tc>
          <w:tcPr>
            <w:tcW w:w="117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外事工作经费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36</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36</w:t>
            </w:r>
          </w:p>
        </w:tc>
        <w:tc>
          <w:tcPr>
            <w:tcW w:w="652" w:type="dxa"/>
          </w:tcPr>
          <w:p>
            <w:pPr>
              <w:widowControl/>
              <w:jc w:val="center"/>
              <w:outlineLvl w:val="1"/>
              <w:rPr>
                <w:rFonts w:ascii="仿宋_GB2312" w:hAnsi="宋体" w:eastAsia="仿宋_GB2312"/>
                <w:kern w:val="0"/>
                <w:sz w:val="18"/>
                <w:szCs w:val="18"/>
              </w:rPr>
            </w:pPr>
          </w:p>
        </w:tc>
        <w:tc>
          <w:tcPr>
            <w:tcW w:w="652"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0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567" w:type="dxa"/>
            <w:vAlign w:val="center"/>
          </w:tcPr>
          <w:p>
            <w:pPr>
              <w:widowControl/>
              <w:jc w:val="center"/>
              <w:outlineLvl w:val="1"/>
              <w:rPr>
                <w:rFonts w:ascii="仿宋_GB2312" w:hAnsi="宋体" w:eastAsia="仿宋_GB2312"/>
                <w:kern w:val="0"/>
                <w:sz w:val="18"/>
                <w:szCs w:val="18"/>
              </w:rPr>
            </w:pPr>
          </w:p>
        </w:tc>
        <w:tc>
          <w:tcPr>
            <w:tcW w:w="867" w:type="dxa"/>
            <w:vAlign w:val="center"/>
          </w:tcPr>
          <w:p>
            <w:pPr>
              <w:widowControl/>
              <w:jc w:val="center"/>
              <w:outlineLvl w:val="1"/>
              <w:rPr>
                <w:rFonts w:ascii="宋体" w:hAnsi="宋体" w:cs="宋体"/>
                <w:color w:val="000000"/>
                <w:kern w:val="0"/>
                <w:sz w:val="18"/>
                <w:szCs w:val="18"/>
              </w:rPr>
            </w:pPr>
            <w:r>
              <w:rPr>
                <w:rFonts w:hint="eastAsia" w:ascii="宋体" w:hAnsi="宋体" w:cs="宋体"/>
                <w:color w:val="000000"/>
                <w:kern w:val="0"/>
                <w:sz w:val="18"/>
                <w:szCs w:val="18"/>
              </w:rPr>
              <w:t>国防支出</w:t>
            </w:r>
          </w:p>
        </w:tc>
        <w:tc>
          <w:tcPr>
            <w:tcW w:w="1173"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28</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28</w:t>
            </w:r>
          </w:p>
        </w:tc>
        <w:tc>
          <w:tcPr>
            <w:tcW w:w="652" w:type="dxa"/>
          </w:tcPr>
          <w:p>
            <w:pPr>
              <w:widowControl/>
              <w:jc w:val="center"/>
              <w:outlineLvl w:val="1"/>
              <w:rPr>
                <w:rFonts w:ascii="仿宋_GB2312" w:hAnsi="宋体" w:eastAsia="仿宋_GB2312"/>
                <w:kern w:val="0"/>
                <w:sz w:val="18"/>
                <w:szCs w:val="18"/>
              </w:rPr>
            </w:pPr>
          </w:p>
        </w:tc>
        <w:tc>
          <w:tcPr>
            <w:tcW w:w="652"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0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56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6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其他国防支出</w:t>
            </w:r>
          </w:p>
        </w:tc>
        <w:tc>
          <w:tcPr>
            <w:tcW w:w="117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边界工作经费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8</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8</w:t>
            </w:r>
          </w:p>
        </w:tc>
        <w:tc>
          <w:tcPr>
            <w:tcW w:w="652" w:type="dxa"/>
          </w:tcPr>
          <w:p>
            <w:pPr>
              <w:widowControl/>
              <w:jc w:val="center"/>
              <w:outlineLvl w:val="1"/>
              <w:rPr>
                <w:rFonts w:ascii="仿宋_GB2312" w:hAnsi="宋体" w:eastAsia="仿宋_GB2312"/>
                <w:kern w:val="0"/>
                <w:sz w:val="18"/>
                <w:szCs w:val="18"/>
              </w:rPr>
            </w:pPr>
          </w:p>
        </w:tc>
        <w:tc>
          <w:tcPr>
            <w:tcW w:w="652"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0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56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6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其他国防支出</w:t>
            </w:r>
          </w:p>
        </w:tc>
        <w:tc>
          <w:tcPr>
            <w:tcW w:w="117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境外安保培训工作经费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652" w:type="dxa"/>
          </w:tcPr>
          <w:p>
            <w:pPr>
              <w:widowControl/>
              <w:jc w:val="center"/>
              <w:outlineLvl w:val="1"/>
              <w:rPr>
                <w:rFonts w:ascii="仿宋_GB2312" w:hAnsi="宋体" w:eastAsia="仿宋_GB2312"/>
                <w:kern w:val="0"/>
                <w:sz w:val="18"/>
                <w:szCs w:val="18"/>
              </w:rPr>
            </w:pPr>
          </w:p>
        </w:tc>
        <w:tc>
          <w:tcPr>
            <w:tcW w:w="652"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0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34</w:t>
            </w:r>
          </w:p>
        </w:tc>
        <w:tc>
          <w:tcPr>
            <w:tcW w:w="567" w:type="dxa"/>
            <w:vAlign w:val="center"/>
          </w:tcPr>
          <w:p>
            <w:pPr>
              <w:widowControl/>
              <w:jc w:val="center"/>
              <w:outlineLvl w:val="1"/>
              <w:rPr>
                <w:rFonts w:ascii="仿宋_GB2312" w:hAnsi="宋体" w:eastAsia="仿宋_GB2312"/>
                <w:kern w:val="0"/>
                <w:sz w:val="18"/>
                <w:szCs w:val="18"/>
              </w:rPr>
            </w:pPr>
          </w:p>
        </w:tc>
        <w:tc>
          <w:tcPr>
            <w:tcW w:w="867" w:type="dxa"/>
            <w:vAlign w:val="center"/>
          </w:tcPr>
          <w:p>
            <w:pPr>
              <w:widowControl/>
              <w:jc w:val="center"/>
              <w:outlineLvl w:val="1"/>
              <w:rPr>
                <w:rFonts w:ascii="仿宋_GB2312" w:hAnsi="宋体" w:eastAsia="仿宋_GB2312"/>
                <w:kern w:val="0"/>
                <w:sz w:val="18"/>
                <w:szCs w:val="18"/>
              </w:rPr>
            </w:pPr>
            <w:r>
              <w:rPr>
                <w:rFonts w:hint="eastAsia" w:ascii="宋体" w:hAnsi="宋体" w:cs="宋体"/>
                <w:color w:val="000000"/>
                <w:kern w:val="0"/>
                <w:sz w:val="18"/>
                <w:szCs w:val="18"/>
              </w:rPr>
              <w:t>统战事务</w:t>
            </w:r>
          </w:p>
        </w:tc>
        <w:tc>
          <w:tcPr>
            <w:tcW w:w="1173"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w:t>
            </w:r>
          </w:p>
        </w:tc>
        <w:tc>
          <w:tcPr>
            <w:tcW w:w="652" w:type="dxa"/>
          </w:tcPr>
          <w:p>
            <w:pPr>
              <w:widowControl/>
              <w:jc w:val="center"/>
              <w:outlineLvl w:val="1"/>
              <w:rPr>
                <w:rFonts w:ascii="仿宋_GB2312" w:hAnsi="宋体" w:eastAsia="仿宋_GB2312"/>
                <w:kern w:val="0"/>
                <w:sz w:val="18"/>
                <w:szCs w:val="18"/>
              </w:rPr>
            </w:pPr>
          </w:p>
        </w:tc>
        <w:tc>
          <w:tcPr>
            <w:tcW w:w="652"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0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34</w:t>
            </w:r>
          </w:p>
        </w:tc>
        <w:tc>
          <w:tcPr>
            <w:tcW w:w="56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05</w:t>
            </w:r>
          </w:p>
        </w:tc>
        <w:tc>
          <w:tcPr>
            <w:tcW w:w="867" w:type="dxa"/>
            <w:vAlign w:val="center"/>
          </w:tcPr>
          <w:p>
            <w:pPr>
              <w:widowControl/>
              <w:jc w:val="center"/>
              <w:outlineLvl w:val="1"/>
              <w:rPr>
                <w:rFonts w:ascii="仿宋_GB2312" w:hAnsi="宋体" w:eastAsia="仿宋_GB2312"/>
                <w:kern w:val="0"/>
                <w:sz w:val="18"/>
                <w:szCs w:val="18"/>
              </w:rPr>
            </w:pPr>
            <w:r>
              <w:rPr>
                <w:rFonts w:hint="eastAsia" w:ascii="宋体" w:hAnsi="宋体" w:cs="宋体"/>
                <w:color w:val="000000"/>
                <w:kern w:val="0"/>
                <w:sz w:val="18"/>
                <w:szCs w:val="18"/>
              </w:rPr>
              <w:t>华侨事务</w:t>
            </w:r>
          </w:p>
        </w:tc>
        <w:tc>
          <w:tcPr>
            <w:tcW w:w="117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对外友好协会工作经费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w:t>
            </w:r>
          </w:p>
        </w:tc>
        <w:tc>
          <w:tcPr>
            <w:tcW w:w="652" w:type="dxa"/>
          </w:tcPr>
          <w:p>
            <w:pPr>
              <w:widowControl/>
              <w:jc w:val="center"/>
              <w:outlineLvl w:val="1"/>
              <w:rPr>
                <w:rFonts w:ascii="仿宋_GB2312" w:hAnsi="宋体" w:eastAsia="仿宋_GB2312"/>
                <w:kern w:val="0"/>
                <w:sz w:val="18"/>
                <w:szCs w:val="18"/>
              </w:rPr>
            </w:pPr>
          </w:p>
        </w:tc>
        <w:tc>
          <w:tcPr>
            <w:tcW w:w="652"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18"/>
                <w:szCs w:val="18"/>
              </w:rPr>
            </w:pPr>
          </w:p>
        </w:tc>
        <w:tc>
          <w:tcPr>
            <w:tcW w:w="400" w:type="dxa"/>
            <w:vAlign w:val="center"/>
          </w:tcPr>
          <w:p>
            <w:pPr>
              <w:widowControl/>
              <w:jc w:val="center"/>
              <w:outlineLvl w:val="1"/>
              <w:rPr>
                <w:rFonts w:ascii="仿宋_GB2312" w:hAnsi="宋体" w:eastAsia="仿宋_GB2312"/>
                <w:kern w:val="0"/>
                <w:sz w:val="18"/>
                <w:szCs w:val="18"/>
              </w:rPr>
            </w:pPr>
          </w:p>
        </w:tc>
        <w:tc>
          <w:tcPr>
            <w:tcW w:w="567" w:type="dxa"/>
            <w:vAlign w:val="center"/>
          </w:tcPr>
          <w:p>
            <w:pPr>
              <w:widowControl/>
              <w:jc w:val="center"/>
              <w:outlineLvl w:val="1"/>
              <w:rPr>
                <w:rFonts w:ascii="仿宋_GB2312" w:hAnsi="宋体" w:eastAsia="仿宋_GB2312"/>
                <w:kern w:val="0"/>
                <w:sz w:val="18"/>
                <w:szCs w:val="18"/>
              </w:rPr>
            </w:pPr>
          </w:p>
        </w:tc>
        <w:tc>
          <w:tcPr>
            <w:tcW w:w="867" w:type="dxa"/>
            <w:vAlign w:val="center"/>
          </w:tcPr>
          <w:p>
            <w:pPr>
              <w:widowControl/>
              <w:jc w:val="center"/>
              <w:outlineLvl w:val="1"/>
              <w:rPr>
                <w:rFonts w:ascii="仿宋_GB2312" w:hAnsi="宋体" w:eastAsia="仿宋_GB2312"/>
                <w:kern w:val="0"/>
                <w:sz w:val="18"/>
                <w:szCs w:val="18"/>
              </w:rPr>
            </w:pPr>
          </w:p>
        </w:tc>
        <w:tc>
          <w:tcPr>
            <w:tcW w:w="1173"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32"/>
                <w:szCs w:val="32"/>
              </w:rPr>
            </w:pPr>
          </w:p>
        </w:tc>
        <w:tc>
          <w:tcPr>
            <w:tcW w:w="400" w:type="dxa"/>
            <w:vAlign w:val="center"/>
          </w:tcPr>
          <w:p>
            <w:pPr>
              <w:widowControl/>
              <w:jc w:val="center"/>
              <w:outlineLvl w:val="1"/>
              <w:rPr>
                <w:rFonts w:ascii="仿宋_GB2312" w:hAnsi="宋体" w:eastAsia="仿宋_GB2312"/>
                <w:kern w:val="0"/>
                <w:sz w:val="32"/>
                <w:szCs w:val="32"/>
              </w:rPr>
            </w:pPr>
          </w:p>
        </w:tc>
        <w:tc>
          <w:tcPr>
            <w:tcW w:w="567" w:type="dxa"/>
            <w:vAlign w:val="center"/>
          </w:tcPr>
          <w:p>
            <w:pPr>
              <w:widowControl/>
              <w:jc w:val="center"/>
              <w:outlineLvl w:val="1"/>
              <w:rPr>
                <w:rFonts w:ascii="仿宋_GB2312" w:hAnsi="宋体" w:eastAsia="仿宋_GB2312"/>
                <w:kern w:val="0"/>
                <w:sz w:val="32"/>
                <w:szCs w:val="32"/>
              </w:rPr>
            </w:pPr>
          </w:p>
        </w:tc>
        <w:tc>
          <w:tcPr>
            <w:tcW w:w="867" w:type="dxa"/>
            <w:vAlign w:val="center"/>
          </w:tcPr>
          <w:p>
            <w:pPr>
              <w:widowControl/>
              <w:jc w:val="center"/>
              <w:outlineLvl w:val="1"/>
              <w:rPr>
                <w:rFonts w:ascii="仿宋_GB2312" w:hAnsi="宋体" w:eastAsia="仿宋_GB2312"/>
                <w:kern w:val="0"/>
                <w:sz w:val="32"/>
                <w:szCs w:val="32"/>
              </w:rPr>
            </w:pPr>
          </w:p>
        </w:tc>
        <w:tc>
          <w:tcPr>
            <w:tcW w:w="1173" w:type="dxa"/>
            <w:vAlign w:val="center"/>
          </w:tcPr>
          <w:p>
            <w:pPr>
              <w:widowControl/>
              <w:jc w:val="center"/>
              <w:outlineLvl w:val="1"/>
              <w:rPr>
                <w:rFonts w:ascii="仿宋_GB2312" w:hAnsi="宋体" w:eastAsia="仿宋_GB2312"/>
                <w:kern w:val="0"/>
                <w:sz w:val="32"/>
                <w:szCs w:val="32"/>
              </w:rPr>
            </w:pPr>
          </w:p>
        </w:tc>
        <w:tc>
          <w:tcPr>
            <w:tcW w:w="750" w:type="dxa"/>
            <w:vAlign w:val="center"/>
          </w:tcPr>
          <w:p>
            <w:pPr>
              <w:widowControl/>
              <w:jc w:val="center"/>
              <w:outlineLvl w:val="1"/>
              <w:rPr>
                <w:rFonts w:ascii="仿宋_GB2312" w:hAnsi="宋体" w:eastAsia="仿宋_GB2312"/>
                <w:kern w:val="0"/>
                <w:sz w:val="32"/>
                <w:szCs w:val="32"/>
              </w:rPr>
            </w:pPr>
          </w:p>
        </w:tc>
        <w:tc>
          <w:tcPr>
            <w:tcW w:w="569" w:type="dxa"/>
            <w:gridSpan w:val="2"/>
            <w:vAlign w:val="center"/>
          </w:tcPr>
          <w:p>
            <w:pPr>
              <w:widowControl/>
              <w:jc w:val="center"/>
              <w:outlineLvl w:val="1"/>
              <w:rPr>
                <w:rFonts w:ascii="仿宋_GB2312" w:hAnsi="宋体" w:eastAsia="仿宋_GB2312"/>
                <w:kern w:val="0"/>
                <w:sz w:val="32"/>
                <w:szCs w:val="32"/>
              </w:rPr>
            </w:pPr>
          </w:p>
        </w:tc>
        <w:tc>
          <w:tcPr>
            <w:tcW w:w="536" w:type="dxa"/>
            <w:vAlign w:val="center"/>
          </w:tcPr>
          <w:p>
            <w:pPr>
              <w:widowControl/>
              <w:jc w:val="center"/>
              <w:outlineLvl w:val="1"/>
              <w:rPr>
                <w:rFonts w:ascii="仿宋_GB2312" w:hAnsi="宋体" w:eastAsia="仿宋_GB2312"/>
                <w:kern w:val="0"/>
                <w:sz w:val="32"/>
                <w:szCs w:val="32"/>
              </w:rPr>
            </w:pPr>
          </w:p>
        </w:tc>
        <w:tc>
          <w:tcPr>
            <w:tcW w:w="652" w:type="dxa"/>
          </w:tcPr>
          <w:p>
            <w:pPr>
              <w:widowControl/>
              <w:jc w:val="center"/>
              <w:outlineLvl w:val="1"/>
              <w:rPr>
                <w:rFonts w:ascii="仿宋_GB2312" w:hAnsi="宋体" w:eastAsia="仿宋_GB2312"/>
                <w:kern w:val="0"/>
                <w:sz w:val="32"/>
                <w:szCs w:val="32"/>
              </w:rPr>
            </w:pPr>
          </w:p>
        </w:tc>
        <w:tc>
          <w:tcPr>
            <w:tcW w:w="652" w:type="dxa"/>
          </w:tcPr>
          <w:p>
            <w:pPr>
              <w:widowControl/>
              <w:jc w:val="center"/>
              <w:outlineLvl w:val="1"/>
              <w:rPr>
                <w:rFonts w:ascii="仿宋_GB2312" w:hAnsi="宋体" w:eastAsia="仿宋_GB2312"/>
                <w:kern w:val="0"/>
                <w:sz w:val="32"/>
                <w:szCs w:val="32"/>
              </w:rPr>
            </w:pPr>
          </w:p>
        </w:tc>
        <w:tc>
          <w:tcPr>
            <w:tcW w:w="578" w:type="dxa"/>
            <w:gridSpan w:val="2"/>
          </w:tcPr>
          <w:p>
            <w:pPr>
              <w:widowControl/>
              <w:jc w:val="center"/>
              <w:outlineLvl w:val="1"/>
              <w:rPr>
                <w:rFonts w:ascii="仿宋_GB2312" w:hAnsi="宋体" w:eastAsia="仿宋_GB2312"/>
                <w:kern w:val="0"/>
                <w:sz w:val="32"/>
                <w:szCs w:val="32"/>
              </w:rPr>
            </w:pPr>
          </w:p>
        </w:tc>
        <w:tc>
          <w:tcPr>
            <w:tcW w:w="419" w:type="dxa"/>
          </w:tcPr>
          <w:p>
            <w:pPr>
              <w:widowControl/>
              <w:jc w:val="center"/>
              <w:outlineLvl w:val="1"/>
              <w:rPr>
                <w:rFonts w:ascii="仿宋_GB2312" w:hAnsi="宋体" w:eastAsia="仿宋_GB2312"/>
                <w:kern w:val="0"/>
                <w:sz w:val="32"/>
                <w:szCs w:val="32"/>
              </w:rPr>
            </w:pPr>
          </w:p>
        </w:tc>
        <w:tc>
          <w:tcPr>
            <w:tcW w:w="578"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68" w:type="dxa"/>
            <w:gridSpan w:val="2"/>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32"/>
                <w:szCs w:val="32"/>
              </w:rPr>
            </w:pPr>
          </w:p>
        </w:tc>
        <w:tc>
          <w:tcPr>
            <w:tcW w:w="400" w:type="dxa"/>
            <w:vAlign w:val="center"/>
          </w:tcPr>
          <w:p>
            <w:pPr>
              <w:widowControl/>
              <w:jc w:val="center"/>
              <w:outlineLvl w:val="1"/>
              <w:rPr>
                <w:rFonts w:ascii="仿宋_GB2312" w:hAnsi="宋体" w:eastAsia="仿宋_GB2312"/>
                <w:kern w:val="0"/>
                <w:sz w:val="32"/>
                <w:szCs w:val="32"/>
              </w:rPr>
            </w:pPr>
          </w:p>
        </w:tc>
        <w:tc>
          <w:tcPr>
            <w:tcW w:w="567" w:type="dxa"/>
            <w:vAlign w:val="center"/>
          </w:tcPr>
          <w:p>
            <w:pPr>
              <w:widowControl/>
              <w:jc w:val="center"/>
              <w:outlineLvl w:val="1"/>
              <w:rPr>
                <w:rFonts w:ascii="仿宋_GB2312" w:hAnsi="宋体" w:eastAsia="仿宋_GB2312"/>
                <w:kern w:val="0"/>
                <w:sz w:val="32"/>
                <w:szCs w:val="32"/>
              </w:rPr>
            </w:pPr>
          </w:p>
        </w:tc>
        <w:tc>
          <w:tcPr>
            <w:tcW w:w="867" w:type="dxa"/>
            <w:vAlign w:val="center"/>
          </w:tcPr>
          <w:p>
            <w:pPr>
              <w:widowControl/>
              <w:jc w:val="center"/>
              <w:outlineLvl w:val="1"/>
              <w:rPr>
                <w:rFonts w:ascii="仿宋_GB2312" w:hAnsi="宋体" w:eastAsia="仿宋_GB2312"/>
                <w:kern w:val="0"/>
                <w:sz w:val="32"/>
                <w:szCs w:val="32"/>
              </w:rPr>
            </w:pPr>
          </w:p>
        </w:tc>
        <w:tc>
          <w:tcPr>
            <w:tcW w:w="1173" w:type="dxa"/>
            <w:vAlign w:val="center"/>
          </w:tcPr>
          <w:p>
            <w:pPr>
              <w:widowControl/>
              <w:jc w:val="center"/>
              <w:outlineLvl w:val="1"/>
              <w:rPr>
                <w:rFonts w:ascii="仿宋_GB2312" w:hAnsi="宋体" w:eastAsia="仿宋_GB2312"/>
                <w:kern w:val="0"/>
                <w:sz w:val="32"/>
                <w:szCs w:val="32"/>
              </w:rPr>
            </w:pPr>
          </w:p>
        </w:tc>
        <w:tc>
          <w:tcPr>
            <w:tcW w:w="750" w:type="dxa"/>
            <w:vAlign w:val="center"/>
          </w:tcPr>
          <w:p>
            <w:pPr>
              <w:widowControl/>
              <w:jc w:val="center"/>
              <w:outlineLvl w:val="1"/>
              <w:rPr>
                <w:rFonts w:ascii="仿宋_GB2312" w:hAnsi="宋体" w:eastAsia="仿宋_GB2312"/>
                <w:kern w:val="0"/>
                <w:sz w:val="32"/>
                <w:szCs w:val="32"/>
              </w:rPr>
            </w:pPr>
          </w:p>
        </w:tc>
        <w:tc>
          <w:tcPr>
            <w:tcW w:w="569" w:type="dxa"/>
            <w:gridSpan w:val="2"/>
            <w:vAlign w:val="center"/>
          </w:tcPr>
          <w:p>
            <w:pPr>
              <w:widowControl/>
              <w:jc w:val="center"/>
              <w:outlineLvl w:val="1"/>
              <w:rPr>
                <w:rFonts w:ascii="仿宋_GB2312" w:hAnsi="宋体" w:eastAsia="仿宋_GB2312"/>
                <w:kern w:val="0"/>
                <w:sz w:val="32"/>
                <w:szCs w:val="32"/>
              </w:rPr>
            </w:pPr>
          </w:p>
        </w:tc>
        <w:tc>
          <w:tcPr>
            <w:tcW w:w="536" w:type="dxa"/>
            <w:vAlign w:val="center"/>
          </w:tcPr>
          <w:p>
            <w:pPr>
              <w:widowControl/>
              <w:jc w:val="center"/>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32"/>
                <w:szCs w:val="32"/>
              </w:rPr>
            </w:pPr>
          </w:p>
        </w:tc>
        <w:tc>
          <w:tcPr>
            <w:tcW w:w="400" w:type="dxa"/>
            <w:vAlign w:val="center"/>
          </w:tcPr>
          <w:p>
            <w:pPr>
              <w:widowControl/>
              <w:jc w:val="center"/>
              <w:outlineLvl w:val="1"/>
              <w:rPr>
                <w:rFonts w:ascii="仿宋_GB2312" w:hAnsi="宋体" w:eastAsia="仿宋_GB2312"/>
                <w:kern w:val="0"/>
                <w:sz w:val="32"/>
                <w:szCs w:val="32"/>
              </w:rPr>
            </w:pPr>
          </w:p>
        </w:tc>
        <w:tc>
          <w:tcPr>
            <w:tcW w:w="567" w:type="dxa"/>
            <w:vAlign w:val="center"/>
          </w:tcPr>
          <w:p>
            <w:pPr>
              <w:widowControl/>
              <w:jc w:val="center"/>
              <w:outlineLvl w:val="1"/>
              <w:rPr>
                <w:rFonts w:ascii="仿宋_GB2312" w:hAnsi="宋体" w:eastAsia="仿宋_GB2312"/>
                <w:kern w:val="0"/>
                <w:sz w:val="32"/>
                <w:szCs w:val="32"/>
              </w:rPr>
            </w:pPr>
          </w:p>
        </w:tc>
        <w:tc>
          <w:tcPr>
            <w:tcW w:w="867" w:type="dxa"/>
            <w:vAlign w:val="center"/>
          </w:tcPr>
          <w:p>
            <w:pPr>
              <w:widowControl/>
              <w:jc w:val="center"/>
              <w:outlineLvl w:val="1"/>
              <w:rPr>
                <w:rFonts w:ascii="仿宋_GB2312" w:hAnsi="宋体" w:eastAsia="仿宋_GB2312"/>
                <w:kern w:val="0"/>
                <w:sz w:val="32"/>
                <w:szCs w:val="32"/>
              </w:rPr>
            </w:pPr>
          </w:p>
        </w:tc>
        <w:tc>
          <w:tcPr>
            <w:tcW w:w="1173"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96</w:t>
            </w:r>
          </w:p>
        </w:tc>
        <w:tc>
          <w:tcPr>
            <w:tcW w:w="569" w:type="dxa"/>
            <w:gridSpan w:val="2"/>
            <w:vAlign w:val="center"/>
          </w:tcPr>
          <w:p>
            <w:pPr>
              <w:widowControl/>
              <w:jc w:val="center"/>
              <w:outlineLvl w:val="1"/>
              <w:rPr>
                <w:rFonts w:ascii="仿宋_GB2312" w:hAnsi="宋体" w:eastAsia="仿宋_GB2312"/>
                <w:kern w:val="0"/>
                <w:sz w:val="32"/>
                <w:szCs w:val="32"/>
              </w:rPr>
            </w:pPr>
          </w:p>
        </w:tc>
        <w:tc>
          <w:tcPr>
            <w:tcW w:w="536" w:type="dxa"/>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96</w:t>
            </w:r>
          </w:p>
        </w:tc>
        <w:tc>
          <w:tcPr>
            <w:tcW w:w="652" w:type="dxa"/>
          </w:tcPr>
          <w:p>
            <w:pPr>
              <w:widowControl/>
              <w:jc w:val="right"/>
              <w:outlineLvl w:val="1"/>
              <w:rPr>
                <w:rFonts w:ascii="仿宋_GB2312" w:hAnsi="宋体" w:eastAsia="仿宋_GB2312"/>
                <w:kern w:val="0"/>
                <w:szCs w:val="21"/>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编制部门（单位）：昌吉州外事办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5.12</w:t>
            </w: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4.5</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4.5</w:t>
            </w: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0.62</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编制部门（单位）：昌吉州外事办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一、关于昌吉州外事办公室2022年收支预算情况的总体说明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按照全口径预算的原则，昌吉州外事办公室2022年所有收入和支出均纳入部门（单位）预算管理。收支总预算376.26万元。</w:t>
      </w:r>
    </w:p>
    <w:p>
      <w:pPr>
        <w:spacing w:line="560" w:lineRule="exact"/>
        <w:ind w:firstLine="640" w:firstLineChars="200"/>
        <w:rPr>
          <w:rFonts w:ascii="仿宋_GB2312" w:hAnsi="宋体" w:eastAsia="仿宋_GB2312" w:cs="宋体"/>
          <w:color w:val="FF0000"/>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color w:val="FF0000"/>
          <w:kern w:val="0"/>
          <w:sz w:val="32"/>
          <w:szCs w:val="32"/>
        </w:rPr>
      </w:pPr>
      <w:r>
        <w:rPr>
          <w:rFonts w:hint="eastAsia" w:ascii="仿宋_GB2312" w:hAnsi="宋体" w:eastAsia="仿宋_GB2312" w:cs="宋体"/>
          <w:kern w:val="0"/>
          <w:sz w:val="32"/>
          <w:szCs w:val="32"/>
        </w:rPr>
        <w:t>支出预算包括：一般公共服务支出、国防支出、社会保障和就业支出、医疗卫生健康支出、住房保障支出。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二、关于昌吉州外事办公室2022年收入预算情况说明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昌吉州外事办公室收入预算376.26万元，其中：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一般公共预算376.26万元，占100%，比上年预算增加56.2万元，增长17.55%，主要原因是：一是人员增加，费用增加；二是增加口岸边检站补助经费。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三、关于昌吉州外事办公室2022年支出预算情况说明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昌吉州外事办公室2022年支出预算376.26元，其中：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基本支出280.26万元，占74.49%，比上年预算增加26.2万元，增长10.31%，主要原因是：人员增加，费用增加。</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项目支出96万元，占25.51%，比上年预算增加30万元，增长</w:t>
      </w:r>
      <w:r>
        <w:rPr>
          <w:rFonts w:hint="eastAsia" w:ascii="仿宋_GB2312" w:hAnsi="仿宋_GB2312" w:eastAsia="仿宋_GB2312" w:cs="仿宋_GB2312"/>
          <w:kern w:val="0"/>
          <w:sz w:val="32"/>
          <w:szCs w:val="32"/>
        </w:rPr>
        <w:t>45.45%。主要原因是：</w:t>
      </w:r>
      <w:r>
        <w:rPr>
          <w:rFonts w:hint="eastAsia" w:ascii="仿宋_GB2312" w:hAnsi="宋体" w:eastAsia="仿宋_GB2312" w:cs="宋体"/>
          <w:kern w:val="0"/>
          <w:sz w:val="32"/>
          <w:szCs w:val="32"/>
        </w:rPr>
        <w:t>本年度增加口岸边检站补助经费</w:t>
      </w:r>
      <w:r>
        <w:rPr>
          <w:rFonts w:hint="eastAsia" w:ascii="仿宋_GB2312" w:hAnsi="仿宋_GB2312" w:eastAsia="仿宋_GB2312" w:cs="仿宋_GB2312"/>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四、关于昌吉州外事办公室2022年财政拨款收支预算情况的总体说明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2022年财政拨款收支总预算376.26万元。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收入预算包括：一般公共预算拨款376.26万元。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一般公共预算支出包括：一般公共服务支出280.59万元，主要用于</w:t>
      </w:r>
      <w:r>
        <w:rPr>
          <w:rFonts w:hint="eastAsia" w:ascii="仿宋_GB2312" w:hAnsi="宋体" w:eastAsia="仿宋_GB2312" w:cs="宋体"/>
          <w:spacing w:val="-6"/>
          <w:kern w:val="0"/>
          <w:sz w:val="32"/>
          <w:szCs w:val="32"/>
        </w:rPr>
        <w:t>本单位职工工资、津贴及履职支出</w:t>
      </w:r>
      <w:r>
        <w:rPr>
          <w:rFonts w:hint="eastAsia" w:ascii="仿宋_GB2312" w:hAnsi="宋体" w:eastAsia="仿宋_GB2312" w:cs="宋体"/>
          <w:kern w:val="0"/>
          <w:sz w:val="32"/>
          <w:szCs w:val="32"/>
        </w:rPr>
        <w:t>；国防支出28万元，主要用于维护和稳定好边界，确保边界线、界标的清晰、稳定及全面负责自治州境外安全保障与外事维稳工作；社会保障和就业支出26.43万元，主要用于本单位职工的基本养老保险缴费支出；医疗卫生健康支出19.38万元，主要用于本单位职工的医疗补助及其他社保缴费支出；住房保障支出21.86万元，主要用于本单位职工住房公积金缴费支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关于昌吉州外事办公室2022年一般公共预算当年拨款情况说明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昌吉州外事办公室2022年一般公共预算拨款合计</w:t>
      </w:r>
      <w:r>
        <w:rPr>
          <w:rFonts w:hint="eastAsia" w:ascii="仿宋_GB2312" w:hAnsi="宋体" w:eastAsia="仿宋_GB2312" w:cs="宋体"/>
          <w:kern w:val="0"/>
          <w:sz w:val="32"/>
          <w:szCs w:val="32"/>
        </w:rPr>
        <w:t>376.26</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rPr>
        <w:t>280.26</w:t>
      </w:r>
      <w:r>
        <w:rPr>
          <w:rFonts w:hint="eastAsia" w:ascii="仿宋_GB2312" w:hAnsi="仿宋_GB2312" w:eastAsia="仿宋_GB2312" w:cs="仿宋_GB2312"/>
          <w:kern w:val="0"/>
          <w:sz w:val="32"/>
          <w:szCs w:val="32"/>
        </w:rPr>
        <w:t>万元，比上年预算增加26.2万元，增长10.31%。</w:t>
      </w:r>
      <w:r>
        <w:rPr>
          <w:rFonts w:hint="eastAsia" w:ascii="仿宋_GB2312" w:hAnsi="宋体" w:eastAsia="仿宋_GB2312" w:cs="宋体"/>
          <w:kern w:val="0"/>
          <w:sz w:val="32"/>
          <w:szCs w:val="32"/>
        </w:rPr>
        <w:t>主要原因是：人员增加，费用增加。</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rPr>
        <w:t>96</w:t>
      </w:r>
      <w:r>
        <w:rPr>
          <w:rFonts w:hint="eastAsia" w:ascii="仿宋_GB2312" w:hAnsi="仿宋_GB2312" w:eastAsia="仿宋_GB2312" w:cs="仿宋_GB2312"/>
          <w:kern w:val="0"/>
          <w:sz w:val="32"/>
          <w:szCs w:val="32"/>
        </w:rPr>
        <w:t>万元，比上年预算增加</w:t>
      </w:r>
      <w:r>
        <w:rPr>
          <w:rFonts w:hint="eastAsia" w:ascii="仿宋_GB2312" w:hAnsi="宋体" w:eastAsia="仿宋_GB2312" w:cs="宋体"/>
          <w:kern w:val="0"/>
          <w:sz w:val="32"/>
          <w:szCs w:val="32"/>
        </w:rPr>
        <w:t>30</w:t>
      </w:r>
      <w:r>
        <w:rPr>
          <w:rFonts w:hint="eastAsia" w:ascii="仿宋_GB2312" w:hAnsi="仿宋_GB2312" w:eastAsia="仿宋_GB2312" w:cs="仿宋_GB2312"/>
          <w:kern w:val="0"/>
          <w:sz w:val="32"/>
          <w:szCs w:val="32"/>
        </w:rPr>
        <w:t>万元，增长45.45%。主要原因是：</w:t>
      </w:r>
      <w:r>
        <w:rPr>
          <w:rFonts w:hint="eastAsia" w:ascii="仿宋_GB2312" w:hAnsi="宋体" w:eastAsia="仿宋_GB2312" w:cs="宋体"/>
          <w:kern w:val="0"/>
          <w:sz w:val="32"/>
          <w:szCs w:val="32"/>
        </w:rPr>
        <w:t>本年度增加口岸边检站补助经费</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sz w:val="32"/>
          <w:szCs w:val="32"/>
        </w:rPr>
        <w:t>1.一般公共服务</w:t>
      </w:r>
      <w:r>
        <w:rPr>
          <w:rFonts w:hint="eastAsia" w:ascii="仿宋_GB2312" w:hAnsi="宋体" w:eastAsia="仿宋_GB2312" w:cs="宋体"/>
          <w:kern w:val="0"/>
          <w:sz w:val="32"/>
          <w:szCs w:val="32"/>
        </w:rPr>
        <w:t>280.59</w:t>
      </w:r>
      <w:r>
        <w:rPr>
          <w:rFonts w:hint="eastAsia" w:ascii="仿宋_GB2312" w:hAnsi="仿宋_GB2312" w:eastAsia="仿宋_GB2312" w:cs="仿宋_GB2312"/>
          <w:kern w:val="0"/>
          <w:sz w:val="32"/>
          <w:szCs w:val="32"/>
        </w:rPr>
        <w:t>万元，占</w:t>
      </w:r>
      <w:r>
        <w:rPr>
          <w:rFonts w:hint="eastAsia" w:ascii="仿宋_GB2312" w:hAnsi="宋体" w:eastAsia="仿宋_GB2312" w:cs="宋体"/>
          <w:kern w:val="0"/>
          <w:sz w:val="32"/>
          <w:szCs w:val="32"/>
        </w:rPr>
        <w:t>74.57</w:t>
      </w:r>
      <w:r>
        <w:rPr>
          <w:rFonts w:hint="eastAsia" w:ascii="仿宋_GB2312" w:hAnsi="仿宋_GB2312" w:eastAsia="仿宋_GB2312" w:cs="仿宋_GB2312"/>
          <w:kern w:val="0"/>
          <w:sz w:val="32"/>
          <w:szCs w:val="32"/>
        </w:rPr>
        <w:t>%。</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2.国防支出28万元，占7.44%。</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3、社会保障和就业支出26.43万元，占7.02%。</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4、卫生健康支出19.38万元，占5.15%。</w:t>
      </w:r>
    </w:p>
    <w:p>
      <w:pPr>
        <w:spacing w:line="580" w:lineRule="exact"/>
        <w:ind w:firstLine="64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5、住房保障支出21.86万元，占5.8%。</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政府办公厅及相关机构事务</w:t>
      </w:r>
      <w:r>
        <w:rPr>
          <w:rFonts w:ascii="仿宋_GB2312" w:hAnsi="宋体" w:eastAsia="仿宋_GB2312" w:cs="宋体"/>
          <w:kern w:val="0"/>
          <w:sz w:val="32"/>
          <w:szCs w:val="32"/>
        </w:rPr>
        <w:t>（款）行政运行（项）: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183.33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比上年预算数增加6.13万元，增长6.13%，主要原因是：人员增加，费用增加。</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政府办公厅及相关机构事务</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一般行政管理事务</w:t>
      </w:r>
      <w:r>
        <w:rPr>
          <w:rFonts w:ascii="仿宋_GB2312" w:hAnsi="宋体" w:eastAsia="仿宋_GB2312" w:cs="宋体"/>
          <w:kern w:val="0"/>
          <w:sz w:val="32"/>
          <w:szCs w:val="32"/>
        </w:rPr>
        <w:t>（项）</w:t>
      </w:r>
      <w:r>
        <w:rPr>
          <w:rFonts w:hint="eastAsia" w:ascii="仿宋_GB2312" w:hAnsi="宋体" w:eastAsia="仿宋_GB2312" w:cs="宋体"/>
          <w:kern w:val="0"/>
          <w:sz w:val="32"/>
          <w:szCs w:val="32"/>
        </w:rPr>
        <w:t>：</w:t>
      </w:r>
      <w:r>
        <w:rPr>
          <w:rFonts w:hint="eastAsia" w:ascii="仿宋" w:hAnsi="仿宋" w:eastAsia="仿宋" w:cs="宋体"/>
          <w:kern w:val="0"/>
          <w:sz w:val="32"/>
          <w:szCs w:val="32"/>
        </w:rPr>
        <w:t>2022年预算数为66万元，</w:t>
      </w:r>
      <w:r>
        <w:rPr>
          <w:rFonts w:hint="eastAsia" w:ascii="仿宋_GB2312" w:hAnsi="宋体" w:eastAsia="仿宋_GB2312" w:cs="宋体"/>
          <w:kern w:val="0"/>
          <w:sz w:val="32"/>
          <w:szCs w:val="32"/>
        </w:rPr>
        <w:t>比上年预算数增加30万元，增长45.45%，主要原因是：本年度增加口岸边检站补助经费</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3.</w:t>
      </w:r>
      <w:r>
        <w:rPr>
          <w:rFonts w:ascii="仿宋_GB2312" w:hAnsi="宋体" w:eastAsia="仿宋_GB2312" w:cs="宋体"/>
          <w:kern w:val="0"/>
          <w:sz w:val="32"/>
          <w:szCs w:val="32"/>
        </w:rPr>
        <w:t xml:space="preserve"> 一般公共服务（类）</w:t>
      </w:r>
      <w:r>
        <w:rPr>
          <w:rFonts w:hint="eastAsia" w:ascii="仿宋_GB2312" w:hAnsi="宋体" w:eastAsia="仿宋_GB2312" w:cs="宋体"/>
          <w:kern w:val="0"/>
          <w:sz w:val="32"/>
          <w:szCs w:val="32"/>
        </w:rPr>
        <w:t>政府办公厅及相关机构事务</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事业</w:t>
      </w:r>
      <w:r>
        <w:rPr>
          <w:rFonts w:ascii="仿宋_GB2312" w:hAnsi="宋体" w:eastAsia="仿宋_GB2312" w:cs="宋体"/>
          <w:kern w:val="0"/>
          <w:sz w:val="32"/>
          <w:szCs w:val="32"/>
        </w:rPr>
        <w:t>运行（项）: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27.27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比上年预算数增加1.37万元，增长5.28%，主要原因是：人员增加，费用增加。</w:t>
      </w:r>
    </w:p>
    <w:p>
      <w:pPr>
        <w:widowControl/>
        <w:spacing w:line="580" w:lineRule="exact"/>
        <w:ind w:firstLine="640"/>
        <w:jc w:val="left"/>
        <w:rPr>
          <w:rFonts w:ascii="仿宋_GB2312" w:hAnsi="宋体" w:eastAsia="仿宋_GB2312" w:cs="宋体"/>
          <w:kern w:val="0"/>
          <w:sz w:val="32"/>
          <w:szCs w:val="32"/>
        </w:rPr>
      </w:pPr>
      <w:r>
        <w:rPr>
          <w:rFonts w:hint="eastAsia" w:ascii="仿宋" w:hAnsi="仿宋" w:eastAsia="仿宋" w:cs="宋体"/>
          <w:kern w:val="0"/>
          <w:sz w:val="32"/>
          <w:szCs w:val="32"/>
        </w:rPr>
        <w:t>4.</w:t>
      </w:r>
      <w:r>
        <w:rPr>
          <w:rFonts w:ascii="仿宋_GB2312" w:hAnsi="宋体" w:eastAsia="仿宋_GB2312" w:cs="宋体"/>
          <w:kern w:val="0"/>
          <w:sz w:val="32"/>
          <w:szCs w:val="32"/>
        </w:rPr>
        <w:t xml:space="preserve"> 一般公共服务（类）</w:t>
      </w:r>
      <w:r>
        <w:rPr>
          <w:rFonts w:hint="eastAsia" w:ascii="仿宋_GB2312" w:hAnsi="宋体" w:eastAsia="仿宋_GB2312" w:cs="宋体"/>
          <w:kern w:val="0"/>
          <w:sz w:val="32"/>
          <w:szCs w:val="32"/>
        </w:rPr>
        <w:t>统战事务</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华侨事务</w:t>
      </w:r>
      <w:r>
        <w:rPr>
          <w:rFonts w:ascii="仿宋_GB2312" w:hAnsi="宋体" w:eastAsia="仿宋_GB2312" w:cs="宋体"/>
          <w:kern w:val="0"/>
          <w:sz w:val="32"/>
          <w:szCs w:val="32"/>
        </w:rPr>
        <w:t>（项）</w:t>
      </w:r>
      <w:r>
        <w:rPr>
          <w:rFonts w:hint="eastAsia" w:ascii="仿宋_GB2312" w:hAnsi="宋体" w:eastAsia="仿宋_GB2312" w:cs="宋体"/>
          <w:kern w:val="0"/>
          <w:sz w:val="32"/>
          <w:szCs w:val="32"/>
        </w:rPr>
        <w:t>：</w:t>
      </w:r>
      <w:r>
        <w:rPr>
          <w:rFonts w:hint="eastAsia" w:ascii="仿宋" w:hAnsi="仿宋" w:eastAsia="仿宋" w:cs="宋体"/>
          <w:kern w:val="0"/>
          <w:sz w:val="32"/>
          <w:szCs w:val="32"/>
        </w:rPr>
        <w:t>2022年预算数为2万元，</w:t>
      </w:r>
      <w:r>
        <w:rPr>
          <w:rFonts w:hint="eastAsia" w:ascii="仿宋_GB2312" w:hAnsi="宋体" w:eastAsia="仿宋_GB2312" w:cs="宋体"/>
          <w:kern w:val="0"/>
          <w:sz w:val="32"/>
          <w:szCs w:val="32"/>
        </w:rPr>
        <w:t>比上年预算数增加0万元，增长0%，主要原因是：无增减变化。</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5、</w:t>
      </w:r>
      <w:r>
        <w:rPr>
          <w:rFonts w:hint="eastAsia" w:ascii="仿宋" w:hAnsi="仿宋" w:eastAsia="仿宋" w:cs="宋体"/>
          <w:kern w:val="0"/>
          <w:sz w:val="32"/>
          <w:szCs w:val="32"/>
        </w:rPr>
        <w:t>国防支出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其他国防支出</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其他国防支出</w:t>
      </w:r>
      <w:r>
        <w:rPr>
          <w:rFonts w:ascii="仿宋_GB2312" w:hAnsi="宋体" w:eastAsia="仿宋_GB2312" w:cs="宋体"/>
          <w:kern w:val="0"/>
          <w:sz w:val="32"/>
          <w:szCs w:val="32"/>
        </w:rPr>
        <w:t>（项）</w:t>
      </w:r>
      <w:r>
        <w:rPr>
          <w:rFonts w:hint="eastAsia" w:ascii="仿宋_GB2312" w:hAnsi="宋体" w:eastAsia="仿宋_GB2312" w:cs="宋体"/>
          <w:kern w:val="0"/>
          <w:sz w:val="32"/>
          <w:szCs w:val="32"/>
        </w:rPr>
        <w:t>：</w:t>
      </w:r>
      <w:r>
        <w:rPr>
          <w:rFonts w:hint="eastAsia" w:ascii="仿宋" w:hAnsi="仿宋" w:eastAsia="仿宋" w:cs="宋体"/>
          <w:kern w:val="0"/>
          <w:sz w:val="32"/>
          <w:szCs w:val="32"/>
        </w:rPr>
        <w:t>2022年预算数为28万元，</w:t>
      </w:r>
      <w:r>
        <w:rPr>
          <w:rFonts w:hint="eastAsia" w:ascii="仿宋_GB2312" w:hAnsi="宋体" w:eastAsia="仿宋_GB2312" w:cs="宋体"/>
          <w:kern w:val="0"/>
          <w:sz w:val="32"/>
          <w:szCs w:val="32"/>
        </w:rPr>
        <w:t>比上年预算数增加0万元，增长0%，主要原因是：无增减变化。</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6、社会保障和就业支出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行政事业单位养老支出</w:t>
      </w:r>
      <w:r>
        <w:rPr>
          <w:rFonts w:ascii="仿宋_GB2312" w:hAnsi="宋体" w:eastAsia="仿宋_GB2312" w:cs="宋体"/>
          <w:kern w:val="0"/>
          <w:sz w:val="32"/>
          <w:szCs w:val="32"/>
        </w:rPr>
        <w:t>（款</w:t>
      </w:r>
      <w:r>
        <w:rPr>
          <w:rFonts w:hint="eastAsia" w:ascii="仿宋_GB2312" w:hAnsi="宋体" w:eastAsia="仿宋_GB2312" w:cs="宋体"/>
          <w:kern w:val="0"/>
          <w:sz w:val="32"/>
          <w:szCs w:val="32"/>
        </w:rPr>
        <w:t>）行政单位离退休（项）：</w:t>
      </w:r>
      <w:r>
        <w:rPr>
          <w:rFonts w:hint="eastAsia" w:ascii="仿宋" w:hAnsi="仿宋" w:eastAsia="仿宋" w:cs="宋体"/>
          <w:kern w:val="0"/>
          <w:sz w:val="32"/>
          <w:szCs w:val="32"/>
        </w:rPr>
        <w:t>2022年预算数为1.9万元，</w:t>
      </w:r>
      <w:r>
        <w:rPr>
          <w:rFonts w:hint="eastAsia" w:ascii="仿宋_GB2312" w:hAnsi="宋体" w:eastAsia="仿宋_GB2312" w:cs="宋体"/>
          <w:kern w:val="0"/>
          <w:sz w:val="32"/>
          <w:szCs w:val="32"/>
        </w:rPr>
        <w:t>比上年预算数增加1.9万元，增长100%，主要原因是：支出功能分类科目发生变化。</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7、社会保障和就业支出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行政事业单位养老支出</w:t>
      </w:r>
      <w:r>
        <w:rPr>
          <w:rFonts w:ascii="仿宋_GB2312" w:hAnsi="宋体" w:eastAsia="仿宋_GB2312" w:cs="宋体"/>
          <w:kern w:val="0"/>
          <w:sz w:val="32"/>
          <w:szCs w:val="32"/>
        </w:rPr>
        <w:t>（款</w:t>
      </w:r>
      <w:r>
        <w:rPr>
          <w:rFonts w:hint="eastAsia" w:ascii="仿宋_GB2312" w:hAnsi="宋体" w:eastAsia="仿宋_GB2312" w:cs="宋体"/>
          <w:kern w:val="0"/>
          <w:sz w:val="32"/>
          <w:szCs w:val="32"/>
        </w:rPr>
        <w:t>）机关事业单位基本养老保险缴费支出（项）：2</w:t>
      </w:r>
      <w:r>
        <w:rPr>
          <w:rFonts w:hint="eastAsia" w:ascii="仿宋" w:hAnsi="仿宋" w:eastAsia="仿宋" w:cs="宋体"/>
          <w:kern w:val="0"/>
          <w:sz w:val="32"/>
          <w:szCs w:val="32"/>
        </w:rPr>
        <w:t>022年预算数为24.53万元，</w:t>
      </w:r>
      <w:r>
        <w:rPr>
          <w:rFonts w:hint="eastAsia" w:ascii="仿宋_GB2312" w:hAnsi="宋体" w:eastAsia="仿宋_GB2312" w:cs="宋体"/>
          <w:kern w:val="0"/>
          <w:sz w:val="32"/>
          <w:szCs w:val="32"/>
        </w:rPr>
        <w:t>比上年预算数增加17.42万元，增长100%，主要原因是：人员增加，费用增加。</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8、卫生健康支出（类）行政事业单位医疗（款）行政单位医疗（项）：2022年预算数为11.82万元，比上年预算数增加11.82万元，增长100%，主要原因是：支出功能分类科目发生变化。</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9、卫生健康支出（类）行政事业单位医疗（款）事业单位医疗（项）：2022年预算数为11.82万元，比上年预算数增加11.82万元，增长100%，主要原因是：支出功能分类科目发生变化。</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10、卫生健康支出（类）行政事业单位医疗（款）公务员医疗补助（项）：2022年预算数为4.6万元，比上年预算数减少3.96万元，增长100%，主要原因是：支出功能分类科目发生变化。</w:t>
      </w:r>
    </w:p>
    <w:p>
      <w:pPr>
        <w:widowControl/>
        <w:spacing w:line="580" w:lineRule="exact"/>
        <w:ind w:firstLine="640"/>
        <w:jc w:val="left"/>
        <w:rPr>
          <w:rFonts w:ascii="仿宋_GB2312" w:hAnsi="宋体" w:eastAsia="仿宋_GB2312" w:cs="宋体"/>
          <w:color w:val="FF0000"/>
          <w:kern w:val="0"/>
          <w:sz w:val="32"/>
          <w:szCs w:val="32"/>
        </w:rPr>
      </w:pPr>
      <w:r>
        <w:rPr>
          <w:rFonts w:hint="eastAsia" w:ascii="仿宋_GB2312" w:hAnsi="宋体" w:eastAsia="仿宋_GB2312" w:cs="宋体"/>
          <w:kern w:val="0"/>
          <w:sz w:val="32"/>
          <w:szCs w:val="32"/>
        </w:rPr>
        <w:t>11、卫生健康支出（类）行政事业单位医疗（款）其他行政事业单位医疗支出（项）：2022年预算数为0.21万元，比上年预算数增加0.13万元，增长162.5%，主要原因是：人员增加，费用增加。</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12、住房保障支出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住房改革支出</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住房公积金</w:t>
      </w:r>
      <w:r>
        <w:rPr>
          <w:rFonts w:ascii="仿宋_GB2312" w:hAnsi="宋体" w:eastAsia="仿宋_GB2312" w:cs="宋体"/>
          <w:kern w:val="0"/>
          <w:sz w:val="32"/>
          <w:szCs w:val="32"/>
        </w:rPr>
        <w:t>（项）</w:t>
      </w:r>
      <w:r>
        <w:rPr>
          <w:rFonts w:hint="eastAsia" w:ascii="仿宋_GB2312" w:hAnsi="宋体" w:eastAsia="仿宋_GB2312" w:cs="宋体"/>
          <w:kern w:val="0"/>
          <w:sz w:val="32"/>
          <w:szCs w:val="32"/>
        </w:rPr>
        <w:t>：</w:t>
      </w:r>
      <w:r>
        <w:rPr>
          <w:rFonts w:hint="eastAsia" w:ascii="仿宋" w:hAnsi="仿宋" w:eastAsia="仿宋" w:cs="宋体"/>
          <w:kern w:val="0"/>
          <w:sz w:val="32"/>
          <w:szCs w:val="32"/>
        </w:rPr>
        <w:t>2022年预算数为21.86万元，</w:t>
      </w:r>
      <w:r>
        <w:rPr>
          <w:rFonts w:hint="eastAsia" w:ascii="仿宋_GB2312" w:hAnsi="宋体" w:eastAsia="仿宋_GB2312" w:cs="宋体"/>
          <w:kern w:val="0"/>
          <w:sz w:val="32"/>
          <w:szCs w:val="32"/>
        </w:rPr>
        <w:t>比上年预算数增加21.86万元，增长100%，主要原因是：支出功能分类科目发生变化。</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关于昌吉州外事办公室2022年一般公共预算基本支出情况说明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昌吉州外事办公室</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rPr>
        <w:t>376.26</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人员经费251.82万元，主要包括：基本工资、津贴补贴、奖金、绩效工资、机关事业单位基本养老保险缴费、职工基本医疗保险缴费、公务员医疗补助缴费、其他社会保障缴费、住房公积金、其他工资福利支出、</w:t>
      </w:r>
      <w:r>
        <w:rPr>
          <w:rFonts w:hint="eastAsia" w:ascii="仿宋_GB2312" w:hAnsi="宋体" w:eastAsia="仿宋_GB2312" w:cs="宋体"/>
          <w:color w:val="000000" w:themeColor="text1"/>
          <w:kern w:val="0"/>
          <w:sz w:val="32"/>
          <w:szCs w:val="32"/>
        </w:rPr>
        <w:t>退休费、</w:t>
      </w:r>
      <w:r>
        <w:rPr>
          <w:rFonts w:hint="eastAsia" w:ascii="仿宋_GB2312" w:hAnsi="宋体" w:eastAsia="仿宋_GB2312" w:cs="宋体"/>
          <w:kern w:val="0"/>
          <w:sz w:val="32"/>
          <w:szCs w:val="32"/>
        </w:rPr>
        <w:t>医疗费补助、奖励金等。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公用经费28.44万元，主要包括：办公费</w:t>
      </w:r>
      <w:r>
        <w:rPr>
          <w:rFonts w:hint="eastAsia" w:ascii="仿宋_GB2312" w:hAnsi="宋体" w:eastAsia="仿宋_GB2312" w:cs="宋体"/>
          <w:color w:val="0000FF"/>
          <w:kern w:val="0"/>
          <w:sz w:val="32"/>
          <w:szCs w:val="32"/>
        </w:rPr>
        <w:t>、</w:t>
      </w:r>
      <w:r>
        <w:rPr>
          <w:rFonts w:hint="eastAsia" w:ascii="仿宋_GB2312" w:hAnsi="宋体" w:eastAsia="仿宋_GB2312" w:cs="宋体"/>
          <w:color w:val="000000" w:themeColor="text1"/>
          <w:kern w:val="0"/>
          <w:sz w:val="32"/>
          <w:szCs w:val="32"/>
        </w:rPr>
        <w:t>培训费、公</w:t>
      </w:r>
      <w:r>
        <w:rPr>
          <w:rFonts w:hint="eastAsia" w:ascii="仿宋_GB2312" w:hAnsi="宋体" w:eastAsia="仿宋_GB2312" w:cs="宋体"/>
          <w:kern w:val="0"/>
          <w:sz w:val="32"/>
          <w:szCs w:val="32"/>
        </w:rPr>
        <w:t>务接待费、劳务费、工会经费、福利费、公务用车运行维护费</w:t>
      </w:r>
      <w:r>
        <w:rPr>
          <w:rFonts w:hint="eastAsia" w:ascii="仿宋_GB2312" w:hAnsi="宋体" w:eastAsia="仿宋_GB2312" w:cs="宋体"/>
          <w:color w:val="0000FF"/>
          <w:kern w:val="0"/>
          <w:sz w:val="32"/>
          <w:szCs w:val="32"/>
        </w:rPr>
        <w:t>、</w:t>
      </w:r>
      <w:r>
        <w:rPr>
          <w:rFonts w:hint="eastAsia" w:ascii="仿宋_GB2312" w:hAnsi="宋体" w:eastAsia="仿宋_GB2312" w:cs="宋体"/>
          <w:color w:val="000000" w:themeColor="text1"/>
          <w:kern w:val="0"/>
          <w:sz w:val="32"/>
          <w:szCs w:val="32"/>
        </w:rPr>
        <w:t>其他交通费用、其他商品和服务支出等。</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关于昌吉州外事办公室2022年一般公共预算项目支出情况说明</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1、项目名称：</w:t>
      </w:r>
      <w:r>
        <w:rPr>
          <w:rFonts w:hint="eastAsia" w:ascii="仿宋" w:hAnsi="仿宋" w:eastAsia="仿宋" w:cs="宋体"/>
          <w:kern w:val="0"/>
          <w:sz w:val="32"/>
          <w:szCs w:val="32"/>
        </w:rPr>
        <w:t>对外友好协会工作经费</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设立的政策依据：乌昌财行（2010）第000076号文件</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预算安排规模：州本级财力项目支出预算安排2万元</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项目承担单位：</w:t>
      </w:r>
      <w:r>
        <w:rPr>
          <w:rFonts w:hint="eastAsia" w:ascii="仿宋" w:hAnsi="仿宋" w:eastAsia="仿宋" w:cs="宋体"/>
          <w:kern w:val="0"/>
          <w:sz w:val="32"/>
          <w:szCs w:val="32"/>
        </w:rPr>
        <w:t>昌吉州外办</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资金分配情况：</w:t>
      </w:r>
      <w:r>
        <w:rPr>
          <w:rFonts w:hint="eastAsia" w:ascii="仿宋" w:hAnsi="仿宋" w:eastAsia="仿宋" w:cs="宋体"/>
          <w:kern w:val="0"/>
          <w:sz w:val="32"/>
          <w:szCs w:val="32"/>
        </w:rPr>
        <w:t>对外友好协会工作经费</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资金执行时间：2022年1月-12月</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2、项目名称：</w:t>
      </w:r>
      <w:r>
        <w:rPr>
          <w:rFonts w:hint="eastAsia" w:ascii="仿宋" w:hAnsi="仿宋" w:eastAsia="仿宋" w:cs="宋体"/>
          <w:kern w:val="0"/>
          <w:sz w:val="32"/>
          <w:szCs w:val="32"/>
        </w:rPr>
        <w:t>边界工作正常运转经费</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设立的政策依据：昌州政外发（2007）61号文件</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预算安排规模：州本级财力项目支出预算安排8万元</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项目承担单位：</w:t>
      </w:r>
      <w:r>
        <w:rPr>
          <w:rFonts w:hint="eastAsia" w:ascii="仿宋" w:hAnsi="仿宋" w:eastAsia="仿宋" w:cs="宋体"/>
          <w:kern w:val="0"/>
          <w:sz w:val="32"/>
          <w:szCs w:val="32"/>
        </w:rPr>
        <w:t>昌吉州外办</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资金分配情况：</w:t>
      </w:r>
      <w:r>
        <w:rPr>
          <w:rFonts w:hint="eastAsia" w:ascii="仿宋" w:hAnsi="仿宋" w:eastAsia="仿宋" w:cs="宋体"/>
          <w:kern w:val="0"/>
          <w:sz w:val="32"/>
          <w:szCs w:val="32"/>
        </w:rPr>
        <w:t>边界工作正常运转经费</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资金执行时间：2022年1月-12月</w:t>
      </w:r>
    </w:p>
    <w:p>
      <w:pPr>
        <w:widowControl/>
        <w:spacing w:line="580" w:lineRule="exact"/>
        <w:ind w:firstLine="642"/>
        <w:jc w:val="left"/>
        <w:rPr>
          <w:rFonts w:ascii="仿宋" w:hAnsi="仿宋" w:eastAsia="仿宋"/>
          <w:b/>
          <w:sz w:val="32"/>
          <w:szCs w:val="32"/>
        </w:rPr>
      </w:pPr>
      <w:r>
        <w:rPr>
          <w:rFonts w:hint="eastAsia" w:ascii="仿宋" w:hAnsi="仿宋" w:eastAsia="仿宋"/>
          <w:sz w:val="32"/>
          <w:szCs w:val="32"/>
        </w:rPr>
        <w:t>3、项目名称：</w:t>
      </w:r>
      <w:r>
        <w:rPr>
          <w:rFonts w:hint="eastAsia" w:ascii="仿宋" w:hAnsi="仿宋" w:eastAsia="仿宋" w:cs="宋体"/>
          <w:kern w:val="0"/>
          <w:sz w:val="32"/>
          <w:szCs w:val="32"/>
        </w:rPr>
        <w:t>境外安保工作经费</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设立的政策依据：昌州财经办（2017）45号文件</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预算安排规模：州本级财力项目支出预算安排20万元</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项目承担单位：</w:t>
      </w:r>
      <w:r>
        <w:rPr>
          <w:rFonts w:hint="eastAsia" w:ascii="仿宋" w:hAnsi="仿宋" w:eastAsia="仿宋" w:cs="宋体"/>
          <w:kern w:val="0"/>
          <w:sz w:val="32"/>
          <w:szCs w:val="32"/>
        </w:rPr>
        <w:t>昌吉州外办</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资金分配情况：</w:t>
      </w:r>
      <w:r>
        <w:rPr>
          <w:rFonts w:hint="eastAsia" w:ascii="仿宋" w:hAnsi="仿宋" w:eastAsia="仿宋" w:cs="宋体"/>
          <w:kern w:val="0"/>
          <w:sz w:val="32"/>
          <w:szCs w:val="32"/>
        </w:rPr>
        <w:t>境外安保工作经费</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资金执行时间：2022年1月-12月</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4、项目名称：</w:t>
      </w:r>
      <w:r>
        <w:rPr>
          <w:rFonts w:hint="eastAsia" w:ascii="仿宋" w:hAnsi="仿宋" w:eastAsia="仿宋" w:cs="宋体"/>
          <w:kern w:val="0"/>
          <w:sz w:val="32"/>
          <w:szCs w:val="32"/>
        </w:rPr>
        <w:t>外事工作经费</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设立的政策依据：昌州政外发（2007）61号文件及昌州财经办（2013）20号文件</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预算安排规模：州本级财力项目支出预算安排36万元</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项目承担单位：</w:t>
      </w:r>
      <w:r>
        <w:rPr>
          <w:rFonts w:hint="eastAsia" w:ascii="仿宋" w:hAnsi="仿宋" w:eastAsia="仿宋" w:cs="宋体"/>
          <w:kern w:val="0"/>
          <w:sz w:val="32"/>
          <w:szCs w:val="32"/>
        </w:rPr>
        <w:t>昌吉州外办</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资金分配情况：</w:t>
      </w:r>
      <w:r>
        <w:rPr>
          <w:rFonts w:hint="eastAsia" w:ascii="仿宋" w:hAnsi="仿宋" w:eastAsia="仿宋" w:cs="宋体"/>
          <w:kern w:val="0"/>
          <w:sz w:val="32"/>
          <w:szCs w:val="32"/>
        </w:rPr>
        <w:t>外事工作经费</w:t>
      </w:r>
    </w:p>
    <w:p>
      <w:pPr>
        <w:widowControl/>
        <w:spacing w:line="580" w:lineRule="exact"/>
        <w:ind w:firstLine="642"/>
        <w:jc w:val="left"/>
        <w:rPr>
          <w:rFonts w:ascii="仿宋" w:hAnsi="仿宋" w:eastAsia="仿宋"/>
          <w:sz w:val="32"/>
          <w:szCs w:val="32"/>
        </w:rPr>
      </w:pPr>
      <w:r>
        <w:rPr>
          <w:rFonts w:hint="eastAsia" w:ascii="仿宋" w:hAnsi="仿宋" w:eastAsia="仿宋"/>
          <w:sz w:val="32"/>
          <w:szCs w:val="32"/>
        </w:rPr>
        <w:t>资金执行时间：2022年1月-12月</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八、关于昌吉州外事办公室2022年一般公共预算“三公”经费预算情况说明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昌吉州外事办公室2022年一般公共预算“三公”经费数为5.12万元，其中：因公出国（境）费0万元，公务用车购置0万元，公务用车运行费4.5万元，公务接待费0.62万元。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 0万元，增长0%，其中：因公出国（境）费增加0万元，增长0%，主要原因是与上年相比无变化；公务用车购置费增加0万元，增长0%，主要原因是与上年相比无变化；公务用车运行费增加0万元，增长0%，主要原因是与上年相比无变化；公务接待费增加0万元，增长0%，主要原因是与上年相比无变化。</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九、关于昌吉州外事办公室2022年政府性基金预算拨款情况说明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昌吉州外事办公室2022年没有使用政府性基金预算拨款安排的支出，政府性基金预算支出情况表为空表。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2022年，昌吉州外事办公室机关运行经费财政拨款预算28.44万元，比上年预算增加0.94万元，增长3.41%。主要原因是人员增加，费用增加。</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2022年，昌吉州外事办公室政府采购预算108.74万元，其中：政府采购货物预算98.74万元，政府采购工程预算0万元，政府采购服务预算10万元。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2022年度本部门（单位）面向中小企业预留政府采购项目预算金额108.74万元，其中：面向小微企业预留政府采购项目预算金额108.74万元。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截至2021年底，昌吉州外事办公室及下属各预算单位占用使用国有资产总体情况为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1.房屋5059.61平方米，价值2106.94万元。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2.车辆2辆，价值59.74万元；其中：一般公务用车2辆，价值59.74万元；执法执勤用车0辆，价值0万元；其他车辆0辆，价值0万元。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3.办公家具价值113.09万元。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4.其他资产价值2758.75万元。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单位价值50万元以上大型设备2台（套），单位价值100万元以上大型设备3台（套）。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2022年，本年度预算绩效管理的财政拨款项目5个，涉及预算金额96万元。具体情况见下表（按项目分别填报）：</w:t>
      </w:r>
    </w:p>
    <w:tbl>
      <w:tblPr>
        <w:tblStyle w:val="6"/>
        <w:tblW w:w="8237" w:type="dxa"/>
        <w:tblInd w:w="0" w:type="dxa"/>
        <w:tblLayout w:type="fixed"/>
        <w:tblCellMar>
          <w:top w:w="0" w:type="dxa"/>
          <w:left w:w="0" w:type="dxa"/>
          <w:bottom w:w="0" w:type="dxa"/>
          <w:right w:w="0" w:type="dxa"/>
        </w:tblCellMar>
      </w:tblPr>
      <w:tblGrid>
        <w:gridCol w:w="1080"/>
        <w:gridCol w:w="1345"/>
        <w:gridCol w:w="815"/>
        <w:gridCol w:w="750"/>
        <w:gridCol w:w="1561"/>
        <w:gridCol w:w="809"/>
        <w:gridCol w:w="210"/>
        <w:gridCol w:w="540"/>
        <w:gridCol w:w="1127"/>
      </w:tblGrid>
      <w:tr>
        <w:tblPrEx>
          <w:tblLayout w:type="fixed"/>
          <w:tblCellMar>
            <w:top w:w="0" w:type="dxa"/>
            <w:left w:w="0" w:type="dxa"/>
            <w:bottom w:w="0" w:type="dxa"/>
            <w:right w:w="0" w:type="dxa"/>
          </w:tblCellMar>
        </w:tblPrEx>
        <w:trPr>
          <w:trHeight w:val="390" w:hRule="atLeast"/>
        </w:trPr>
        <w:tc>
          <w:tcPr>
            <w:tcW w:w="8237" w:type="dxa"/>
            <w:gridSpan w:val="9"/>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hint="eastAsia" w:ascii="宋体" w:hAnsi="宋体" w:cs="宋体"/>
                <w:b/>
                <w:color w:val="000000"/>
                <w:kern w:val="0"/>
                <w:sz w:val="32"/>
                <w:szCs w:val="32"/>
              </w:rPr>
            </w:pPr>
          </w:p>
          <w:p>
            <w:pPr>
              <w:widowControl/>
              <w:jc w:val="center"/>
              <w:textAlignment w:val="center"/>
              <w:rPr>
                <w:rFonts w:hint="eastAsia" w:ascii="宋体" w:hAnsi="宋体" w:cs="宋体"/>
                <w:b/>
                <w:color w:val="000000"/>
                <w:kern w:val="0"/>
                <w:sz w:val="32"/>
                <w:szCs w:val="32"/>
              </w:rPr>
            </w:pPr>
          </w:p>
          <w:p>
            <w:pPr>
              <w:widowControl/>
              <w:jc w:val="center"/>
              <w:textAlignment w:val="center"/>
              <w:rPr>
                <w:rFonts w:hint="eastAsia" w:ascii="宋体" w:hAnsi="宋体" w:cs="宋体"/>
                <w:b/>
                <w:color w:val="000000"/>
                <w:kern w:val="0"/>
                <w:sz w:val="32"/>
                <w:szCs w:val="32"/>
              </w:rPr>
            </w:pPr>
          </w:p>
          <w:p>
            <w:pPr>
              <w:widowControl/>
              <w:jc w:val="center"/>
              <w:textAlignment w:val="center"/>
              <w:rPr>
                <w:rFonts w:hint="eastAsia" w:ascii="宋体" w:hAnsi="宋体" w:cs="宋体"/>
                <w:b/>
                <w:color w:val="000000"/>
                <w:kern w:val="0"/>
                <w:sz w:val="32"/>
                <w:szCs w:val="32"/>
              </w:rPr>
            </w:pPr>
          </w:p>
          <w:p>
            <w:pPr>
              <w:widowControl/>
              <w:jc w:val="center"/>
              <w:textAlignment w:val="center"/>
              <w:rPr>
                <w:rFonts w:hint="eastAsia" w:ascii="宋体" w:hAnsi="宋体" w:cs="宋体"/>
                <w:b/>
                <w:color w:val="000000"/>
                <w:kern w:val="0"/>
                <w:sz w:val="32"/>
                <w:szCs w:val="32"/>
              </w:rPr>
            </w:pPr>
          </w:p>
          <w:p>
            <w:pPr>
              <w:widowControl/>
              <w:jc w:val="center"/>
              <w:textAlignment w:val="center"/>
              <w:rPr>
                <w:rFonts w:hint="eastAsia" w:ascii="宋体" w:hAnsi="宋体" w:cs="宋体"/>
                <w:b/>
                <w:color w:val="000000"/>
                <w:kern w:val="0"/>
                <w:sz w:val="32"/>
                <w:szCs w:val="32"/>
              </w:rPr>
            </w:pPr>
          </w:p>
          <w:p>
            <w:pPr>
              <w:widowControl/>
              <w:jc w:val="center"/>
              <w:textAlignment w:val="center"/>
              <w:rPr>
                <w:rFonts w:hint="eastAsia" w:ascii="宋体" w:hAnsi="宋体" w:cs="宋体"/>
                <w:b/>
                <w:color w:val="000000"/>
                <w:kern w:val="0"/>
                <w:sz w:val="32"/>
                <w:szCs w:val="32"/>
              </w:rPr>
            </w:pPr>
          </w:p>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rPr>
              <w:t>项  目  支  出  绩  效  目  标  表</w:t>
            </w:r>
          </w:p>
        </w:tc>
      </w:tr>
      <w:tr>
        <w:tblPrEx>
          <w:tblLayout w:type="fixed"/>
          <w:tblCellMar>
            <w:top w:w="0" w:type="dxa"/>
            <w:left w:w="0" w:type="dxa"/>
            <w:bottom w:w="0" w:type="dxa"/>
            <w:right w:w="0" w:type="dxa"/>
          </w:tblCellMar>
        </w:tblPrEx>
        <w:trPr>
          <w:trHeight w:val="405" w:hRule="atLeast"/>
        </w:trPr>
        <w:tc>
          <w:tcPr>
            <w:tcW w:w="8237" w:type="dxa"/>
            <w:gridSpan w:val="9"/>
            <w:tcBorders>
              <w:top w:val="nil"/>
              <w:left w:val="nil"/>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rPr>
              <w:t>(2022年)</w:t>
            </w:r>
          </w:p>
        </w:tc>
      </w:tr>
      <w:tr>
        <w:tblPrEx>
          <w:tblLayout w:type="fixed"/>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47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昌吉回族自治州人民政府外事侨务办公室</w:t>
            </w:r>
          </w:p>
        </w:tc>
        <w:tc>
          <w:tcPr>
            <w:tcW w:w="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18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外事工作经费</w:t>
            </w:r>
          </w:p>
        </w:tc>
      </w:tr>
      <w:tr>
        <w:tblPrEx>
          <w:tblLayout w:type="fixed"/>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36</w:t>
            </w:r>
          </w:p>
        </w:tc>
        <w:tc>
          <w:tcPr>
            <w:tcW w:w="15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36</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r>
      <w:tr>
        <w:tblPrEx>
          <w:tblLayout w:type="fixed"/>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157"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kern w:val="0"/>
                <w:sz w:val="18"/>
                <w:szCs w:val="18"/>
              </w:rPr>
            </w:pPr>
            <w:r>
              <w:rPr>
                <w:rFonts w:hint="eastAsia" w:ascii="宋体" w:hAnsi="宋体" w:cs="宋体"/>
                <w:color w:val="000000"/>
                <w:kern w:val="0"/>
                <w:sz w:val="18"/>
                <w:szCs w:val="18"/>
              </w:rPr>
              <w:t>目标1：参加外事业务培训不少于1次；按规定办理出国（境）手续不少于5次。</w:t>
            </w:r>
          </w:p>
          <w:p>
            <w:pPr>
              <w:widowControl/>
              <w:jc w:val="left"/>
              <w:textAlignment w:val="top"/>
              <w:rPr>
                <w:rFonts w:ascii="宋体" w:hAnsi="宋体" w:cs="宋体"/>
                <w:color w:val="000000"/>
                <w:sz w:val="18"/>
                <w:szCs w:val="18"/>
              </w:rPr>
            </w:pPr>
            <w:r>
              <w:rPr>
                <w:rFonts w:hint="eastAsia" w:ascii="宋体" w:hAnsi="宋体" w:cs="宋体"/>
                <w:color w:val="000000"/>
                <w:kern w:val="0"/>
                <w:sz w:val="18"/>
                <w:szCs w:val="18"/>
              </w:rPr>
              <w:t>目标2：提升外事人员的工作素质和能力。</w:t>
            </w:r>
          </w:p>
        </w:tc>
      </w:tr>
      <w:tr>
        <w:tblPrEx>
          <w:tblLayout w:type="fixed"/>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414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16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41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境外安保、外事维稳及领事保护工作检查次数</w:t>
            </w:r>
          </w:p>
        </w:tc>
        <w:tc>
          <w:tcPr>
            <w:tcW w:w="16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&gt;=3次</w:t>
            </w:r>
          </w:p>
        </w:tc>
      </w:tr>
      <w:tr>
        <w:tblPrEx>
          <w:tblLayout w:type="fixed"/>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41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参加外事业务培训次数</w:t>
            </w:r>
          </w:p>
        </w:tc>
        <w:tc>
          <w:tcPr>
            <w:tcW w:w="16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&gt;=1次</w:t>
            </w:r>
          </w:p>
        </w:tc>
      </w:tr>
      <w:tr>
        <w:tblPrEx>
          <w:tblLayout w:type="fixed"/>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41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办理因公出国手续次数</w:t>
            </w:r>
          </w:p>
        </w:tc>
        <w:tc>
          <w:tcPr>
            <w:tcW w:w="16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&gt;=5次</w:t>
            </w:r>
          </w:p>
        </w:tc>
      </w:tr>
      <w:tr>
        <w:tblPrEx>
          <w:tblLayout w:type="fixed"/>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41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境外安保、外事维稳及领事保护工作完成率</w:t>
            </w:r>
          </w:p>
        </w:tc>
        <w:tc>
          <w:tcPr>
            <w:tcW w:w="16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w:t>
            </w:r>
          </w:p>
        </w:tc>
      </w:tr>
      <w:tr>
        <w:tblPrEx>
          <w:tblLayout w:type="fixed"/>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41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团组出访审批审签的及时性</w:t>
            </w:r>
          </w:p>
        </w:tc>
        <w:tc>
          <w:tcPr>
            <w:tcW w:w="16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w:t>
            </w:r>
          </w:p>
        </w:tc>
      </w:tr>
      <w:tr>
        <w:tblPrEx>
          <w:tblLayout w:type="fixed"/>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41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工作完成时间</w:t>
            </w:r>
          </w:p>
        </w:tc>
        <w:tc>
          <w:tcPr>
            <w:tcW w:w="16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=2022年12月31日</w:t>
            </w:r>
          </w:p>
        </w:tc>
      </w:tr>
      <w:tr>
        <w:tblPrEx>
          <w:tblLayout w:type="fixed"/>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41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境外安保、外事维稳及领事保护工作</w:t>
            </w:r>
          </w:p>
        </w:tc>
        <w:tc>
          <w:tcPr>
            <w:tcW w:w="16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&lt;=16万元</w:t>
            </w:r>
          </w:p>
        </w:tc>
      </w:tr>
      <w:tr>
        <w:tblPrEx>
          <w:tblLayout w:type="fixed"/>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41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外事培训保障经费</w:t>
            </w:r>
          </w:p>
        </w:tc>
        <w:tc>
          <w:tcPr>
            <w:tcW w:w="16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&lt;=20万元</w:t>
            </w:r>
          </w:p>
        </w:tc>
      </w:tr>
      <w:tr>
        <w:tblPrEx>
          <w:tblLayout w:type="fixed"/>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41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16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41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提升外事人员的工作素质和能力</w:t>
            </w:r>
          </w:p>
        </w:tc>
        <w:tc>
          <w:tcPr>
            <w:tcW w:w="16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提升</w:t>
            </w:r>
          </w:p>
        </w:tc>
      </w:tr>
      <w:tr>
        <w:tblPrEx>
          <w:tblLayout w:type="fixed"/>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41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16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41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昌吉州对外交流与合作持续提升</w:t>
            </w:r>
          </w:p>
        </w:tc>
        <w:tc>
          <w:tcPr>
            <w:tcW w:w="16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提升</w:t>
            </w:r>
          </w:p>
        </w:tc>
      </w:tr>
      <w:tr>
        <w:tblPrEx>
          <w:tblLayout w:type="fixed"/>
          <w:tblCellMar>
            <w:top w:w="0" w:type="dxa"/>
            <w:left w:w="0" w:type="dxa"/>
            <w:bottom w:w="0" w:type="dxa"/>
            <w:right w:w="0"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41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因公出访办件人员的满意度</w:t>
            </w:r>
          </w:p>
        </w:tc>
        <w:tc>
          <w:tcPr>
            <w:tcW w:w="16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&gt;=95%</w:t>
            </w:r>
          </w:p>
        </w:tc>
      </w:tr>
    </w:tbl>
    <w:p>
      <w:pPr>
        <w:spacing w:line="560" w:lineRule="exact"/>
        <w:ind w:firstLine="640" w:firstLineChars="200"/>
        <w:rPr>
          <w:rFonts w:ascii="仿宋_GB2312" w:hAnsi="仿宋_GB2312" w:eastAsia="仿宋_GB2312" w:cs="仿宋_GB2312"/>
          <w:kern w:val="0"/>
          <w:sz w:val="32"/>
          <w:szCs w:val="32"/>
        </w:rPr>
      </w:pPr>
    </w:p>
    <w:p>
      <w:pPr>
        <w:spacing w:line="560" w:lineRule="exact"/>
        <w:ind w:firstLine="640" w:firstLineChars="200"/>
        <w:rPr>
          <w:rFonts w:ascii="仿宋_GB2312" w:hAnsi="仿宋_GB2312" w:eastAsia="仿宋_GB2312" w:cs="仿宋_GB2312"/>
          <w:kern w:val="0"/>
          <w:sz w:val="32"/>
          <w:szCs w:val="32"/>
        </w:rPr>
      </w:pPr>
    </w:p>
    <w:tbl>
      <w:tblPr>
        <w:tblStyle w:val="6"/>
        <w:tblW w:w="8520" w:type="dxa"/>
        <w:tblInd w:w="0" w:type="dxa"/>
        <w:tblLayout w:type="fixed"/>
        <w:tblCellMar>
          <w:top w:w="0" w:type="dxa"/>
          <w:left w:w="0" w:type="dxa"/>
          <w:bottom w:w="0" w:type="dxa"/>
          <w:right w:w="0" w:type="dxa"/>
        </w:tblCellMar>
      </w:tblPr>
      <w:tblGrid>
        <w:gridCol w:w="968"/>
        <w:gridCol w:w="1417"/>
        <w:gridCol w:w="583"/>
        <w:gridCol w:w="1350"/>
        <w:gridCol w:w="1083"/>
        <w:gridCol w:w="267"/>
        <w:gridCol w:w="1067"/>
        <w:gridCol w:w="1785"/>
      </w:tblGrid>
      <w:tr>
        <w:tblPrEx>
          <w:tblLayout w:type="fixed"/>
          <w:tblCellMar>
            <w:top w:w="0" w:type="dxa"/>
            <w:left w:w="0" w:type="dxa"/>
            <w:bottom w:w="0" w:type="dxa"/>
            <w:right w:w="0" w:type="dxa"/>
          </w:tblCellMar>
        </w:tblPrEx>
        <w:trPr>
          <w:trHeight w:val="390" w:hRule="atLeast"/>
        </w:trPr>
        <w:tc>
          <w:tcPr>
            <w:tcW w:w="8520" w:type="dxa"/>
            <w:gridSpan w:val="8"/>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hint="eastAsia" w:ascii="宋体" w:hAnsi="宋体" w:cs="宋体"/>
                <w:b/>
                <w:color w:val="000000"/>
                <w:kern w:val="0"/>
                <w:sz w:val="32"/>
                <w:szCs w:val="32"/>
              </w:rPr>
            </w:pPr>
          </w:p>
          <w:p>
            <w:pPr>
              <w:widowControl/>
              <w:jc w:val="center"/>
              <w:textAlignment w:val="center"/>
              <w:rPr>
                <w:rFonts w:hint="eastAsia" w:ascii="宋体" w:hAnsi="宋体" w:cs="宋体"/>
                <w:b/>
                <w:color w:val="000000"/>
                <w:kern w:val="0"/>
                <w:sz w:val="32"/>
                <w:szCs w:val="32"/>
              </w:rPr>
            </w:pPr>
          </w:p>
          <w:p>
            <w:pPr>
              <w:widowControl/>
              <w:jc w:val="center"/>
              <w:textAlignment w:val="center"/>
              <w:rPr>
                <w:rFonts w:hint="eastAsia" w:ascii="宋体" w:hAnsi="宋体" w:cs="宋体"/>
                <w:b/>
                <w:color w:val="000000"/>
                <w:kern w:val="0"/>
                <w:sz w:val="32"/>
                <w:szCs w:val="32"/>
              </w:rPr>
            </w:pPr>
          </w:p>
          <w:p>
            <w:pPr>
              <w:widowControl/>
              <w:jc w:val="center"/>
              <w:textAlignment w:val="center"/>
              <w:rPr>
                <w:rFonts w:hint="eastAsia" w:ascii="宋体" w:hAnsi="宋体" w:cs="宋体"/>
                <w:b/>
                <w:color w:val="000000"/>
                <w:kern w:val="0"/>
                <w:sz w:val="32"/>
                <w:szCs w:val="32"/>
              </w:rPr>
            </w:pPr>
          </w:p>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rPr>
              <w:t>项  目  支  出  绩  效  目  标  表</w:t>
            </w:r>
          </w:p>
        </w:tc>
      </w:tr>
      <w:tr>
        <w:tblPrEx>
          <w:tblLayout w:type="fixed"/>
          <w:tblCellMar>
            <w:top w:w="0" w:type="dxa"/>
            <w:left w:w="0" w:type="dxa"/>
            <w:bottom w:w="0" w:type="dxa"/>
            <w:right w:w="0" w:type="dxa"/>
          </w:tblCellMar>
        </w:tblPrEx>
        <w:trPr>
          <w:trHeight w:val="405" w:hRule="atLeast"/>
        </w:trPr>
        <w:tc>
          <w:tcPr>
            <w:tcW w:w="8520" w:type="dxa"/>
            <w:gridSpan w:val="8"/>
            <w:tcBorders>
              <w:top w:val="nil"/>
              <w:left w:val="nil"/>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rPr>
              <w:t>(2022年)</w:t>
            </w:r>
          </w:p>
        </w:tc>
      </w:tr>
      <w:tr>
        <w:tblPrEx>
          <w:tblLayout w:type="fixed"/>
          <w:tblCellMar>
            <w:top w:w="0" w:type="dxa"/>
            <w:left w:w="0" w:type="dxa"/>
            <w:bottom w:w="0" w:type="dxa"/>
            <w:right w:w="0" w:type="dxa"/>
          </w:tblCellMar>
        </w:tblPrEx>
        <w:trPr>
          <w:trHeight w:val="270"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35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昌吉回族自治州人民政府外事侨务办公室</w:t>
            </w:r>
          </w:p>
        </w:tc>
        <w:tc>
          <w:tcPr>
            <w:tcW w:w="10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311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边界工作正常运转经费</w:t>
            </w:r>
          </w:p>
        </w:tc>
      </w:tr>
      <w:tr>
        <w:tblPrEx>
          <w:tblLayout w:type="fixed"/>
          <w:tblCellMar>
            <w:top w:w="0" w:type="dxa"/>
            <w:left w:w="0" w:type="dxa"/>
            <w:bottom w:w="0" w:type="dxa"/>
            <w:right w:w="0" w:type="dxa"/>
          </w:tblCellMar>
        </w:tblPrEx>
        <w:trPr>
          <w:trHeight w:val="450"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r>
      <w:tr>
        <w:tblPrEx>
          <w:tblLayout w:type="fixed"/>
          <w:tblCellMar>
            <w:top w:w="0" w:type="dxa"/>
            <w:left w:w="0" w:type="dxa"/>
            <w:bottom w:w="0" w:type="dxa"/>
            <w:right w:w="0" w:type="dxa"/>
          </w:tblCellMar>
        </w:tblPrEx>
        <w:trPr>
          <w:trHeight w:val="450"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55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kern w:val="0"/>
                <w:sz w:val="18"/>
                <w:szCs w:val="18"/>
              </w:rPr>
            </w:pPr>
            <w:r>
              <w:rPr>
                <w:rFonts w:hint="eastAsia" w:ascii="宋体" w:hAnsi="宋体" w:cs="宋体"/>
                <w:color w:val="000000"/>
                <w:kern w:val="0"/>
                <w:sz w:val="18"/>
                <w:szCs w:val="18"/>
              </w:rPr>
              <w:t>目标1：维护和稳定好边界，确保边界线、界标的清晰与稳定。</w:t>
            </w:r>
          </w:p>
          <w:p>
            <w:pPr>
              <w:widowControl/>
              <w:jc w:val="left"/>
              <w:textAlignment w:val="top"/>
              <w:rPr>
                <w:rFonts w:ascii="宋体" w:hAnsi="宋体" w:cs="宋体"/>
                <w:color w:val="000000"/>
                <w:kern w:val="0"/>
                <w:sz w:val="18"/>
                <w:szCs w:val="18"/>
              </w:rPr>
            </w:pPr>
            <w:r>
              <w:rPr>
                <w:rFonts w:hint="eastAsia" w:ascii="宋体" w:hAnsi="宋体" w:cs="宋体"/>
                <w:color w:val="000000"/>
                <w:kern w:val="0"/>
                <w:sz w:val="18"/>
                <w:szCs w:val="18"/>
              </w:rPr>
              <w:t>目标2：开展1-2次踏查；开展1-2次边界法律法规宣传；收集图片、文字资料，上报主管部门</w:t>
            </w:r>
          </w:p>
        </w:tc>
      </w:tr>
      <w:tr>
        <w:tblPrEx>
          <w:tblLayout w:type="fixed"/>
          <w:tblCellMar>
            <w:top w:w="0" w:type="dxa"/>
            <w:left w:w="0" w:type="dxa"/>
            <w:bottom w:w="0" w:type="dxa"/>
            <w:right w:w="0" w:type="dxa"/>
          </w:tblCellMar>
        </w:tblPrEx>
        <w:trPr>
          <w:trHeight w:val="270"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28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8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385" w:hRule="atLeast"/>
        </w:trPr>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28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边界踏查次数</w:t>
            </w:r>
          </w:p>
        </w:tc>
        <w:tc>
          <w:tcPr>
            <w:tcW w:w="28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&gt;=2次</w:t>
            </w:r>
          </w:p>
        </w:tc>
      </w:tr>
      <w:tr>
        <w:tblPrEx>
          <w:tblLayout w:type="fixed"/>
          <w:tblCellMar>
            <w:top w:w="0" w:type="dxa"/>
            <w:left w:w="0" w:type="dxa"/>
            <w:bottom w:w="0" w:type="dxa"/>
            <w:right w:w="0" w:type="dxa"/>
          </w:tblCellMar>
        </w:tblPrEx>
        <w:trPr>
          <w:trHeight w:val="335" w:hRule="atLeast"/>
        </w:trPr>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28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边界法律法规宣传次数</w:t>
            </w:r>
          </w:p>
        </w:tc>
        <w:tc>
          <w:tcPr>
            <w:tcW w:w="28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&gt;=6次</w:t>
            </w:r>
          </w:p>
        </w:tc>
      </w:tr>
      <w:tr>
        <w:tblPrEx>
          <w:tblLayout w:type="fixed"/>
          <w:tblCellMar>
            <w:top w:w="0" w:type="dxa"/>
            <w:left w:w="0" w:type="dxa"/>
            <w:bottom w:w="0" w:type="dxa"/>
            <w:right w:w="0" w:type="dxa"/>
          </w:tblCellMar>
        </w:tblPrEx>
        <w:trPr>
          <w:trHeight w:val="480" w:hRule="atLeast"/>
        </w:trPr>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28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边界路网、界标的完好率</w:t>
            </w:r>
          </w:p>
        </w:tc>
        <w:tc>
          <w:tcPr>
            <w:tcW w:w="28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&gt;=95%</w:t>
            </w:r>
          </w:p>
        </w:tc>
      </w:tr>
      <w:tr>
        <w:tblPrEx>
          <w:tblLayout w:type="fixed"/>
          <w:tblCellMar>
            <w:top w:w="0" w:type="dxa"/>
            <w:left w:w="0" w:type="dxa"/>
            <w:bottom w:w="0" w:type="dxa"/>
            <w:right w:w="0" w:type="dxa"/>
          </w:tblCellMar>
        </w:tblPrEx>
        <w:trPr>
          <w:trHeight w:val="480" w:hRule="atLeast"/>
        </w:trPr>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28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边民、护边员法律意识的普及率</w:t>
            </w:r>
          </w:p>
        </w:tc>
        <w:tc>
          <w:tcPr>
            <w:tcW w:w="28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&gt;=95%</w:t>
            </w:r>
          </w:p>
        </w:tc>
      </w:tr>
      <w:tr>
        <w:tblPrEx>
          <w:tblLayout w:type="fixed"/>
          <w:tblCellMar>
            <w:top w:w="0" w:type="dxa"/>
            <w:left w:w="0" w:type="dxa"/>
            <w:bottom w:w="0" w:type="dxa"/>
            <w:right w:w="0" w:type="dxa"/>
          </w:tblCellMar>
        </w:tblPrEx>
        <w:trPr>
          <w:trHeight w:val="480" w:hRule="atLeast"/>
        </w:trPr>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28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边界踏查、法规宣传及时性</w:t>
            </w:r>
          </w:p>
        </w:tc>
        <w:tc>
          <w:tcPr>
            <w:tcW w:w="28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&gt;=95%</w:t>
            </w:r>
          </w:p>
        </w:tc>
      </w:tr>
      <w:tr>
        <w:tblPrEx>
          <w:tblLayout w:type="fixed"/>
          <w:tblCellMar>
            <w:top w:w="0" w:type="dxa"/>
            <w:left w:w="0" w:type="dxa"/>
            <w:bottom w:w="0" w:type="dxa"/>
            <w:right w:w="0" w:type="dxa"/>
          </w:tblCellMar>
        </w:tblPrEx>
        <w:trPr>
          <w:trHeight w:val="480" w:hRule="atLeast"/>
        </w:trPr>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28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项目完成时限</w:t>
            </w:r>
          </w:p>
        </w:tc>
        <w:tc>
          <w:tcPr>
            <w:tcW w:w="28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=2022年12月31日</w:t>
            </w:r>
          </w:p>
        </w:tc>
      </w:tr>
      <w:tr>
        <w:tblPrEx>
          <w:tblLayout w:type="fixed"/>
          <w:tblCellMar>
            <w:top w:w="0" w:type="dxa"/>
            <w:left w:w="0" w:type="dxa"/>
            <w:bottom w:w="0" w:type="dxa"/>
            <w:right w:w="0" w:type="dxa"/>
          </w:tblCellMar>
        </w:tblPrEx>
        <w:trPr>
          <w:trHeight w:val="480" w:hRule="atLeast"/>
        </w:trPr>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28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边界踏查所需经费</w:t>
            </w:r>
          </w:p>
        </w:tc>
        <w:tc>
          <w:tcPr>
            <w:tcW w:w="28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&lt;=3.5万元</w:t>
            </w:r>
          </w:p>
        </w:tc>
      </w:tr>
      <w:tr>
        <w:tblPrEx>
          <w:tblLayout w:type="fixed"/>
          <w:tblCellMar>
            <w:top w:w="0" w:type="dxa"/>
            <w:left w:w="0" w:type="dxa"/>
            <w:bottom w:w="0" w:type="dxa"/>
            <w:right w:w="0" w:type="dxa"/>
          </w:tblCellMar>
        </w:tblPrEx>
        <w:trPr>
          <w:trHeight w:val="480" w:hRule="atLeast"/>
        </w:trPr>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28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边界宣传保障经费</w:t>
            </w:r>
          </w:p>
        </w:tc>
        <w:tc>
          <w:tcPr>
            <w:tcW w:w="28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&lt;=4.5万元</w:t>
            </w:r>
          </w:p>
        </w:tc>
      </w:tr>
      <w:tr>
        <w:tblPrEx>
          <w:tblLayout w:type="fixed"/>
          <w:tblCellMar>
            <w:top w:w="0" w:type="dxa"/>
            <w:left w:w="0" w:type="dxa"/>
            <w:bottom w:w="0" w:type="dxa"/>
            <w:right w:w="0" w:type="dxa"/>
          </w:tblCellMar>
        </w:tblPrEx>
        <w:trPr>
          <w:trHeight w:val="480" w:hRule="atLeast"/>
        </w:trPr>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28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28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80" w:hRule="atLeast"/>
        </w:trPr>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28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提升边民、护边员知法、懂法、护法、守法、学法意识</w:t>
            </w:r>
          </w:p>
        </w:tc>
        <w:tc>
          <w:tcPr>
            <w:tcW w:w="28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提升</w:t>
            </w:r>
          </w:p>
        </w:tc>
      </w:tr>
      <w:tr>
        <w:tblPrEx>
          <w:tblLayout w:type="fixed"/>
          <w:tblCellMar>
            <w:top w:w="0" w:type="dxa"/>
            <w:left w:w="0" w:type="dxa"/>
            <w:bottom w:w="0" w:type="dxa"/>
            <w:right w:w="0" w:type="dxa"/>
          </w:tblCellMar>
        </w:tblPrEx>
        <w:trPr>
          <w:trHeight w:val="480" w:hRule="atLeast"/>
        </w:trPr>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28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28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79" w:hRule="atLeast"/>
        </w:trPr>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28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及时掌握边界情况，保持国界线清晰，便于开展日常边界巡逻</w:t>
            </w:r>
          </w:p>
        </w:tc>
        <w:tc>
          <w:tcPr>
            <w:tcW w:w="28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长期</w:t>
            </w:r>
          </w:p>
        </w:tc>
      </w:tr>
      <w:tr>
        <w:tblPrEx>
          <w:tblLayout w:type="fixed"/>
          <w:tblCellMar>
            <w:top w:w="0" w:type="dxa"/>
            <w:left w:w="0" w:type="dxa"/>
            <w:bottom w:w="0" w:type="dxa"/>
            <w:right w:w="0" w:type="dxa"/>
          </w:tblCellMar>
        </w:tblPrEx>
        <w:trPr>
          <w:trHeight w:val="480"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28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边界边民、护边员满意度</w:t>
            </w:r>
          </w:p>
        </w:tc>
        <w:tc>
          <w:tcPr>
            <w:tcW w:w="28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&gt;=95%</w:t>
            </w:r>
          </w:p>
        </w:tc>
      </w:tr>
    </w:tbl>
    <w:p>
      <w:pPr>
        <w:spacing w:line="560" w:lineRule="exact"/>
        <w:ind w:firstLine="640" w:firstLineChars="200"/>
        <w:rPr>
          <w:rFonts w:ascii="仿宋_GB2312" w:hAnsi="仿宋_GB2312" w:eastAsia="仿宋_GB2312" w:cs="仿宋_GB2312"/>
          <w:kern w:val="0"/>
          <w:sz w:val="32"/>
          <w:szCs w:val="32"/>
        </w:rPr>
      </w:pPr>
    </w:p>
    <w:tbl>
      <w:tblPr>
        <w:tblStyle w:val="6"/>
        <w:tblW w:w="8745" w:type="dxa"/>
        <w:tblInd w:w="0" w:type="dxa"/>
        <w:tblLayout w:type="fixed"/>
        <w:tblCellMar>
          <w:top w:w="0" w:type="dxa"/>
          <w:left w:w="0" w:type="dxa"/>
          <w:bottom w:w="0" w:type="dxa"/>
          <w:right w:w="0" w:type="dxa"/>
        </w:tblCellMar>
      </w:tblPr>
      <w:tblGrid>
        <w:gridCol w:w="935"/>
        <w:gridCol w:w="950"/>
        <w:gridCol w:w="500"/>
        <w:gridCol w:w="795"/>
        <w:gridCol w:w="1590"/>
        <w:gridCol w:w="795"/>
        <w:gridCol w:w="795"/>
        <w:gridCol w:w="795"/>
        <w:gridCol w:w="1590"/>
      </w:tblGrid>
      <w:tr>
        <w:tblPrEx>
          <w:tblLayout w:type="fixed"/>
          <w:tblCellMar>
            <w:top w:w="0" w:type="dxa"/>
            <w:left w:w="0" w:type="dxa"/>
            <w:bottom w:w="0" w:type="dxa"/>
            <w:right w:w="0" w:type="dxa"/>
          </w:tblCellMar>
        </w:tblPrEx>
        <w:trPr>
          <w:trHeight w:val="390" w:hRule="atLeast"/>
        </w:trPr>
        <w:tc>
          <w:tcPr>
            <w:tcW w:w="8745" w:type="dxa"/>
            <w:gridSpan w:val="9"/>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hint="eastAsia" w:ascii="宋体" w:hAnsi="宋体" w:cs="宋体"/>
                <w:b/>
                <w:color w:val="000000"/>
                <w:kern w:val="0"/>
                <w:sz w:val="32"/>
                <w:szCs w:val="32"/>
              </w:rPr>
            </w:pPr>
          </w:p>
          <w:p>
            <w:pPr>
              <w:widowControl/>
              <w:jc w:val="center"/>
              <w:textAlignment w:val="center"/>
              <w:rPr>
                <w:rFonts w:hint="eastAsia" w:ascii="宋体" w:hAnsi="宋体" w:cs="宋体"/>
                <w:b/>
                <w:color w:val="000000"/>
                <w:kern w:val="0"/>
                <w:sz w:val="32"/>
                <w:szCs w:val="32"/>
              </w:rPr>
            </w:pPr>
          </w:p>
          <w:p>
            <w:pPr>
              <w:widowControl/>
              <w:jc w:val="center"/>
              <w:textAlignment w:val="center"/>
              <w:rPr>
                <w:rFonts w:hint="eastAsia" w:ascii="宋体" w:hAnsi="宋体" w:cs="宋体"/>
                <w:b/>
                <w:color w:val="000000"/>
                <w:kern w:val="0"/>
                <w:sz w:val="32"/>
                <w:szCs w:val="32"/>
              </w:rPr>
            </w:pPr>
          </w:p>
          <w:p>
            <w:pPr>
              <w:widowControl/>
              <w:jc w:val="center"/>
              <w:textAlignment w:val="center"/>
              <w:rPr>
                <w:rFonts w:hint="eastAsia" w:ascii="宋体" w:hAnsi="宋体" w:cs="宋体"/>
                <w:b/>
                <w:color w:val="000000"/>
                <w:kern w:val="0"/>
                <w:sz w:val="32"/>
                <w:szCs w:val="32"/>
              </w:rPr>
            </w:pPr>
          </w:p>
          <w:p>
            <w:pPr>
              <w:widowControl/>
              <w:jc w:val="center"/>
              <w:textAlignment w:val="center"/>
              <w:rPr>
                <w:rFonts w:hint="eastAsia" w:ascii="宋体" w:hAnsi="宋体" w:cs="宋体"/>
                <w:b/>
                <w:color w:val="000000"/>
                <w:kern w:val="0"/>
                <w:sz w:val="32"/>
                <w:szCs w:val="32"/>
              </w:rPr>
            </w:pPr>
          </w:p>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rPr>
              <w:t>项  目  支  出  绩  效  目  标  表</w:t>
            </w:r>
          </w:p>
        </w:tc>
      </w:tr>
      <w:tr>
        <w:tblPrEx>
          <w:tblLayout w:type="fixed"/>
          <w:tblCellMar>
            <w:top w:w="0" w:type="dxa"/>
            <w:left w:w="0" w:type="dxa"/>
            <w:bottom w:w="0" w:type="dxa"/>
            <w:right w:w="0" w:type="dxa"/>
          </w:tblCellMar>
        </w:tblPrEx>
        <w:trPr>
          <w:trHeight w:val="405" w:hRule="atLeast"/>
        </w:trPr>
        <w:tc>
          <w:tcPr>
            <w:tcW w:w="8745" w:type="dxa"/>
            <w:gridSpan w:val="9"/>
            <w:tcBorders>
              <w:top w:val="nil"/>
              <w:left w:val="nil"/>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rPr>
              <w:t>(2022年)</w:t>
            </w:r>
          </w:p>
        </w:tc>
      </w:tr>
      <w:tr>
        <w:tblPrEx>
          <w:tblLayout w:type="fixed"/>
          <w:tblCellMar>
            <w:top w:w="0" w:type="dxa"/>
            <w:left w:w="0" w:type="dxa"/>
            <w:bottom w:w="0" w:type="dxa"/>
            <w:right w:w="0" w:type="dxa"/>
          </w:tblCellMar>
        </w:tblPrEx>
        <w:trPr>
          <w:trHeight w:val="270" w:hRule="atLeast"/>
        </w:trPr>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8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昌吉回族自治州人民政府外事侨务办公室</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31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对外友好协会工作经费</w:t>
            </w:r>
          </w:p>
        </w:tc>
      </w:tr>
      <w:tr>
        <w:tblPrEx>
          <w:tblLayout w:type="fixed"/>
          <w:tblCellMar>
            <w:top w:w="0" w:type="dxa"/>
            <w:left w:w="0" w:type="dxa"/>
            <w:bottom w:w="0" w:type="dxa"/>
            <w:right w:w="0" w:type="dxa"/>
          </w:tblCellMar>
        </w:tblPrEx>
        <w:trPr>
          <w:trHeight w:val="450" w:hRule="atLeast"/>
        </w:trPr>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15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r>
      <w:tr>
        <w:tblPrEx>
          <w:tblLayout w:type="fixed"/>
          <w:tblCellMar>
            <w:top w:w="0" w:type="dxa"/>
            <w:left w:w="0" w:type="dxa"/>
            <w:bottom w:w="0" w:type="dxa"/>
            <w:right w:w="0" w:type="dxa"/>
          </w:tblCellMar>
        </w:tblPrEx>
        <w:trPr>
          <w:trHeight w:val="450" w:hRule="atLeast"/>
        </w:trPr>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1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sz w:val="18"/>
                <w:szCs w:val="18"/>
              </w:rPr>
            </w:pPr>
            <w:r>
              <w:rPr>
                <w:rFonts w:hint="eastAsia" w:ascii="宋体" w:hAnsi="宋体" w:cs="宋体"/>
                <w:color w:val="000000"/>
                <w:kern w:val="0"/>
                <w:sz w:val="18"/>
                <w:szCs w:val="18"/>
              </w:rPr>
              <w:t>目标1：根据中国友协来文按时缴纳已建3对友城会费目标2：通过友协平台进一步拓展加深自治州与国外友城之间的经济贸易、农业、矿产资源、口岸基础建设、文化旅游和警务合作的联系。</w:t>
            </w:r>
          </w:p>
        </w:tc>
      </w:tr>
      <w:tr>
        <w:tblPrEx>
          <w:tblLayout w:type="fixed"/>
          <w:tblCellMar>
            <w:top w:w="0" w:type="dxa"/>
            <w:left w:w="0" w:type="dxa"/>
            <w:bottom w:w="0" w:type="dxa"/>
            <w:right w:w="0" w:type="dxa"/>
          </w:tblCellMar>
        </w:tblPrEx>
        <w:trPr>
          <w:trHeight w:val="270" w:hRule="atLeast"/>
        </w:trPr>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447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3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80" w:hRule="atLeast"/>
        </w:trPr>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447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缴纳已建3对友城会费次数</w:t>
            </w:r>
          </w:p>
        </w:tc>
        <w:tc>
          <w:tcPr>
            <w:tcW w:w="23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=3次</w:t>
            </w:r>
          </w:p>
        </w:tc>
      </w:tr>
      <w:tr>
        <w:tblPrEx>
          <w:tblLayout w:type="fixed"/>
          <w:tblCellMar>
            <w:top w:w="0" w:type="dxa"/>
            <w:left w:w="0" w:type="dxa"/>
            <w:bottom w:w="0" w:type="dxa"/>
            <w:right w:w="0" w:type="dxa"/>
          </w:tblCellMar>
        </w:tblPrEx>
        <w:trPr>
          <w:trHeight w:val="480" w:hRule="atLeast"/>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447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自治州借助友协平台与国外友城对接开展各项业务的利用率</w:t>
            </w:r>
          </w:p>
        </w:tc>
        <w:tc>
          <w:tcPr>
            <w:tcW w:w="23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&gt;=95%</w:t>
            </w:r>
          </w:p>
        </w:tc>
      </w:tr>
      <w:tr>
        <w:tblPrEx>
          <w:tblLayout w:type="fixed"/>
          <w:tblCellMar>
            <w:top w:w="0" w:type="dxa"/>
            <w:left w:w="0" w:type="dxa"/>
            <w:bottom w:w="0" w:type="dxa"/>
            <w:right w:w="0" w:type="dxa"/>
          </w:tblCellMar>
        </w:tblPrEx>
        <w:trPr>
          <w:trHeight w:val="480" w:hRule="atLeast"/>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447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友协会费缴纳及时率</w:t>
            </w:r>
          </w:p>
        </w:tc>
        <w:tc>
          <w:tcPr>
            <w:tcW w:w="23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w:t>
            </w:r>
          </w:p>
        </w:tc>
      </w:tr>
      <w:tr>
        <w:tblPrEx>
          <w:tblLayout w:type="fixed"/>
          <w:tblCellMar>
            <w:top w:w="0" w:type="dxa"/>
            <w:left w:w="0" w:type="dxa"/>
            <w:bottom w:w="0" w:type="dxa"/>
            <w:right w:w="0" w:type="dxa"/>
          </w:tblCellMar>
        </w:tblPrEx>
        <w:trPr>
          <w:trHeight w:val="480" w:hRule="atLeast"/>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447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工作完成时间</w:t>
            </w:r>
          </w:p>
        </w:tc>
        <w:tc>
          <w:tcPr>
            <w:tcW w:w="23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=2022年12月31日</w:t>
            </w:r>
          </w:p>
        </w:tc>
      </w:tr>
      <w:tr>
        <w:tblPrEx>
          <w:tblLayout w:type="fixed"/>
          <w:tblCellMar>
            <w:top w:w="0" w:type="dxa"/>
            <w:left w:w="0" w:type="dxa"/>
            <w:bottom w:w="0" w:type="dxa"/>
            <w:right w:w="0" w:type="dxa"/>
          </w:tblCellMar>
        </w:tblPrEx>
        <w:trPr>
          <w:trHeight w:val="480" w:hRule="atLeast"/>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447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缴纳会费标准</w:t>
            </w:r>
          </w:p>
        </w:tc>
        <w:tc>
          <w:tcPr>
            <w:tcW w:w="23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=0.18万元/次</w:t>
            </w:r>
          </w:p>
        </w:tc>
      </w:tr>
      <w:tr>
        <w:tblPrEx>
          <w:tblLayout w:type="fixed"/>
          <w:tblCellMar>
            <w:top w:w="0" w:type="dxa"/>
            <w:left w:w="0" w:type="dxa"/>
            <w:bottom w:w="0" w:type="dxa"/>
            <w:right w:w="0" w:type="dxa"/>
          </w:tblCellMar>
        </w:tblPrEx>
        <w:trPr>
          <w:trHeight w:val="480" w:hRule="atLeast"/>
        </w:trPr>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447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23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80" w:hRule="atLeast"/>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447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促进自治州企业与国外友城的经贸合作，促进中蒙俄走廊建设发展。</w:t>
            </w:r>
          </w:p>
        </w:tc>
        <w:tc>
          <w:tcPr>
            <w:tcW w:w="23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促进</w:t>
            </w:r>
          </w:p>
        </w:tc>
      </w:tr>
      <w:tr>
        <w:tblPrEx>
          <w:tblLayout w:type="fixed"/>
          <w:tblCellMar>
            <w:top w:w="0" w:type="dxa"/>
            <w:left w:w="0" w:type="dxa"/>
            <w:bottom w:w="0" w:type="dxa"/>
            <w:right w:w="0" w:type="dxa"/>
          </w:tblCellMar>
        </w:tblPrEx>
        <w:trPr>
          <w:trHeight w:val="480" w:hRule="atLeast"/>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447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23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80" w:hRule="atLeast"/>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447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通过友协平台进一步拓展加深自治州与国外友城之间的经济贸易、农业、矿产资源、口岸基础建设、文化旅游和警务合作的联系。</w:t>
            </w:r>
          </w:p>
        </w:tc>
        <w:tc>
          <w:tcPr>
            <w:tcW w:w="23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提升</w:t>
            </w:r>
          </w:p>
        </w:tc>
      </w:tr>
      <w:tr>
        <w:tblPrEx>
          <w:tblLayout w:type="fixed"/>
          <w:tblCellMar>
            <w:top w:w="0" w:type="dxa"/>
            <w:left w:w="0" w:type="dxa"/>
            <w:bottom w:w="0" w:type="dxa"/>
            <w:right w:w="0" w:type="dxa"/>
          </w:tblCellMar>
        </w:tblPrEx>
        <w:trPr>
          <w:trHeight w:val="480" w:hRule="atLeast"/>
        </w:trPr>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447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已缔结的友好城市满意度</w:t>
            </w:r>
          </w:p>
        </w:tc>
        <w:tc>
          <w:tcPr>
            <w:tcW w:w="23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&gt;=95%</w:t>
            </w:r>
          </w:p>
        </w:tc>
      </w:tr>
    </w:tbl>
    <w:p>
      <w:pPr>
        <w:spacing w:line="560" w:lineRule="exact"/>
        <w:ind w:firstLine="640" w:firstLineChars="200"/>
        <w:rPr>
          <w:rFonts w:ascii="仿宋_GB2312" w:hAnsi="仿宋_GB2312" w:eastAsia="仿宋_GB2312" w:cs="仿宋_GB2312"/>
          <w:kern w:val="0"/>
          <w:sz w:val="32"/>
          <w:szCs w:val="32"/>
        </w:rPr>
      </w:pPr>
    </w:p>
    <w:p>
      <w:pPr>
        <w:spacing w:line="560" w:lineRule="exact"/>
        <w:ind w:firstLine="640" w:firstLineChars="200"/>
        <w:rPr>
          <w:rFonts w:ascii="仿宋_GB2312" w:hAnsi="仿宋_GB2312" w:eastAsia="仿宋_GB2312" w:cs="仿宋_GB2312"/>
          <w:kern w:val="0"/>
          <w:sz w:val="32"/>
          <w:szCs w:val="32"/>
        </w:rPr>
      </w:pPr>
    </w:p>
    <w:tbl>
      <w:tblPr>
        <w:tblStyle w:val="6"/>
        <w:tblW w:w="8568" w:type="dxa"/>
        <w:tblInd w:w="0" w:type="dxa"/>
        <w:tblLayout w:type="fixed"/>
        <w:tblCellMar>
          <w:top w:w="0" w:type="dxa"/>
          <w:left w:w="0" w:type="dxa"/>
          <w:bottom w:w="0" w:type="dxa"/>
          <w:right w:w="0" w:type="dxa"/>
        </w:tblCellMar>
      </w:tblPr>
      <w:tblGrid>
        <w:gridCol w:w="1450"/>
        <w:gridCol w:w="664"/>
        <w:gridCol w:w="595"/>
        <w:gridCol w:w="110"/>
        <w:gridCol w:w="1697"/>
        <w:gridCol w:w="1121"/>
        <w:gridCol w:w="1532"/>
        <w:gridCol w:w="1399"/>
      </w:tblGrid>
      <w:tr>
        <w:tblPrEx>
          <w:tblLayout w:type="fixed"/>
          <w:tblCellMar>
            <w:top w:w="0" w:type="dxa"/>
            <w:left w:w="0" w:type="dxa"/>
            <w:bottom w:w="0" w:type="dxa"/>
            <w:right w:w="0" w:type="dxa"/>
          </w:tblCellMar>
        </w:tblPrEx>
        <w:trPr>
          <w:trHeight w:val="390" w:hRule="atLeast"/>
        </w:trPr>
        <w:tc>
          <w:tcPr>
            <w:tcW w:w="8568" w:type="dxa"/>
            <w:gridSpan w:val="8"/>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hint="eastAsia" w:ascii="宋体" w:hAnsi="宋体" w:cs="宋体"/>
                <w:b/>
                <w:color w:val="000000"/>
                <w:kern w:val="0"/>
                <w:sz w:val="32"/>
                <w:szCs w:val="32"/>
              </w:rPr>
            </w:pPr>
          </w:p>
          <w:p>
            <w:pPr>
              <w:widowControl/>
              <w:jc w:val="center"/>
              <w:textAlignment w:val="center"/>
              <w:rPr>
                <w:rFonts w:hint="eastAsia" w:ascii="宋体" w:hAnsi="宋体" w:cs="宋体"/>
                <w:b/>
                <w:color w:val="000000"/>
                <w:kern w:val="0"/>
                <w:sz w:val="32"/>
                <w:szCs w:val="32"/>
              </w:rPr>
            </w:pPr>
          </w:p>
          <w:p>
            <w:pPr>
              <w:widowControl/>
              <w:jc w:val="center"/>
              <w:textAlignment w:val="center"/>
              <w:rPr>
                <w:rFonts w:hint="eastAsia" w:ascii="宋体" w:hAnsi="宋体" w:cs="宋体"/>
                <w:b/>
                <w:color w:val="000000"/>
                <w:kern w:val="0"/>
                <w:sz w:val="32"/>
                <w:szCs w:val="32"/>
              </w:rPr>
            </w:pPr>
          </w:p>
          <w:p>
            <w:pPr>
              <w:widowControl/>
              <w:jc w:val="center"/>
              <w:textAlignment w:val="center"/>
              <w:rPr>
                <w:rFonts w:hint="eastAsia" w:ascii="宋体" w:hAnsi="宋体" w:cs="宋体"/>
                <w:b/>
                <w:color w:val="000000"/>
                <w:kern w:val="0"/>
                <w:sz w:val="32"/>
                <w:szCs w:val="32"/>
              </w:rPr>
            </w:pPr>
          </w:p>
          <w:p>
            <w:pPr>
              <w:widowControl/>
              <w:jc w:val="center"/>
              <w:textAlignment w:val="center"/>
              <w:rPr>
                <w:rFonts w:hint="eastAsia" w:ascii="宋体" w:hAnsi="宋体" w:cs="宋体"/>
                <w:b/>
                <w:color w:val="000000"/>
                <w:kern w:val="0"/>
                <w:sz w:val="32"/>
                <w:szCs w:val="32"/>
              </w:rPr>
            </w:pPr>
          </w:p>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rPr>
              <w:t>项  目  支  出  绩  效  目  标  表</w:t>
            </w:r>
          </w:p>
        </w:tc>
      </w:tr>
      <w:tr>
        <w:tblPrEx>
          <w:tblLayout w:type="fixed"/>
          <w:tblCellMar>
            <w:top w:w="0" w:type="dxa"/>
            <w:left w:w="0" w:type="dxa"/>
            <w:bottom w:w="0" w:type="dxa"/>
            <w:right w:w="0" w:type="dxa"/>
          </w:tblCellMar>
        </w:tblPrEx>
        <w:trPr>
          <w:trHeight w:val="405" w:hRule="atLeast"/>
        </w:trPr>
        <w:tc>
          <w:tcPr>
            <w:tcW w:w="8568" w:type="dxa"/>
            <w:gridSpan w:val="8"/>
            <w:tcBorders>
              <w:top w:val="nil"/>
              <w:left w:val="nil"/>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rPr>
              <w:t>(2022年)</w:t>
            </w:r>
          </w:p>
        </w:tc>
      </w:tr>
      <w:tr>
        <w:tblPrEx>
          <w:tblLayout w:type="fixed"/>
          <w:tblCellMar>
            <w:top w:w="0" w:type="dxa"/>
            <w:left w:w="0" w:type="dxa"/>
            <w:bottom w:w="0" w:type="dxa"/>
            <w:right w:w="0" w:type="dxa"/>
          </w:tblCellMar>
        </w:tblPrEx>
        <w:trPr>
          <w:trHeight w:val="270" w:hRule="atLeast"/>
        </w:trPr>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0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昌吉回族自治州人民政府外事侨务办公室</w:t>
            </w:r>
          </w:p>
        </w:tc>
        <w:tc>
          <w:tcPr>
            <w:tcW w:w="11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9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境外安保培训工作经费</w:t>
            </w:r>
          </w:p>
        </w:tc>
      </w:tr>
      <w:tr>
        <w:tblPrEx>
          <w:tblLayout w:type="fixed"/>
          <w:tblCellMar>
            <w:top w:w="0" w:type="dxa"/>
            <w:left w:w="0" w:type="dxa"/>
            <w:bottom w:w="0" w:type="dxa"/>
            <w:right w:w="0" w:type="dxa"/>
          </w:tblCellMar>
        </w:tblPrEx>
        <w:trPr>
          <w:trHeight w:val="450" w:hRule="atLeast"/>
        </w:trPr>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6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w:t>
            </w:r>
          </w:p>
        </w:tc>
        <w:tc>
          <w:tcPr>
            <w:tcW w:w="16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1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w:t>
            </w:r>
          </w:p>
        </w:tc>
        <w:tc>
          <w:tcPr>
            <w:tcW w:w="1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r>
      <w:tr>
        <w:tblPrEx>
          <w:tblLayout w:type="fixed"/>
          <w:tblCellMar>
            <w:top w:w="0" w:type="dxa"/>
            <w:left w:w="0" w:type="dxa"/>
            <w:bottom w:w="0" w:type="dxa"/>
            <w:right w:w="0" w:type="dxa"/>
          </w:tblCellMar>
        </w:tblPrEx>
        <w:trPr>
          <w:trHeight w:val="450" w:hRule="atLeast"/>
        </w:trPr>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11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kern w:val="0"/>
                <w:sz w:val="18"/>
                <w:szCs w:val="18"/>
              </w:rPr>
            </w:pPr>
            <w:r>
              <w:rPr>
                <w:rFonts w:hint="eastAsia" w:ascii="宋体" w:hAnsi="宋体" w:cs="宋体"/>
                <w:color w:val="000000"/>
                <w:kern w:val="0"/>
                <w:sz w:val="18"/>
                <w:szCs w:val="18"/>
              </w:rPr>
              <w:t>目标1：:组织开展境外安保培训1次，培训人数不少于50人，出勤率不低于95%。</w:t>
            </w:r>
          </w:p>
          <w:p>
            <w:pPr>
              <w:widowControl/>
              <w:jc w:val="left"/>
              <w:textAlignment w:val="top"/>
              <w:rPr>
                <w:rFonts w:ascii="宋体" w:hAnsi="宋体" w:cs="宋体"/>
                <w:color w:val="000000"/>
                <w:sz w:val="18"/>
                <w:szCs w:val="18"/>
              </w:rPr>
            </w:pPr>
            <w:r>
              <w:rPr>
                <w:rFonts w:hint="eastAsia" w:ascii="宋体" w:hAnsi="宋体" w:cs="宋体"/>
                <w:color w:val="000000"/>
                <w:kern w:val="0"/>
                <w:sz w:val="18"/>
                <w:szCs w:val="18"/>
              </w:rPr>
              <w:t>目标2：持续增强了企业的安全意识，为学员及企业后期在境外的工作中垫定了良好的理论及实践基础。</w:t>
            </w:r>
          </w:p>
        </w:tc>
      </w:tr>
      <w:tr>
        <w:tblPrEx>
          <w:tblLayout w:type="fixed"/>
          <w:tblCellMar>
            <w:top w:w="0" w:type="dxa"/>
            <w:left w:w="0" w:type="dxa"/>
            <w:bottom w:w="0" w:type="dxa"/>
            <w:right w:w="0" w:type="dxa"/>
          </w:tblCellMar>
        </w:tblPrEx>
        <w:trPr>
          <w:trHeight w:val="270" w:hRule="atLeast"/>
        </w:trPr>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292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9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80" w:hRule="atLeast"/>
        </w:trPr>
        <w:tc>
          <w:tcPr>
            <w:tcW w:w="14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292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组织境外安保培训班次</w:t>
            </w:r>
          </w:p>
        </w:tc>
        <w:tc>
          <w:tcPr>
            <w:tcW w:w="29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=1次</w:t>
            </w:r>
          </w:p>
        </w:tc>
      </w:tr>
      <w:tr>
        <w:tblPrEx>
          <w:tblLayout w:type="fixed"/>
          <w:tblCellMar>
            <w:top w:w="0" w:type="dxa"/>
            <w:left w:w="0" w:type="dxa"/>
            <w:bottom w:w="0" w:type="dxa"/>
            <w:right w:w="0" w:type="dxa"/>
          </w:tblCellMar>
        </w:tblPrEx>
        <w:trPr>
          <w:trHeight w:val="480" w:hRule="atLeast"/>
        </w:trPr>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292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培训天数</w:t>
            </w:r>
          </w:p>
        </w:tc>
        <w:tc>
          <w:tcPr>
            <w:tcW w:w="29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&gt;=2天</w:t>
            </w:r>
          </w:p>
        </w:tc>
      </w:tr>
      <w:tr>
        <w:tblPrEx>
          <w:tblLayout w:type="fixed"/>
          <w:tblCellMar>
            <w:top w:w="0" w:type="dxa"/>
            <w:left w:w="0" w:type="dxa"/>
            <w:bottom w:w="0" w:type="dxa"/>
            <w:right w:w="0" w:type="dxa"/>
          </w:tblCellMar>
        </w:tblPrEx>
        <w:trPr>
          <w:trHeight w:val="480" w:hRule="atLeast"/>
        </w:trPr>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292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培训人数</w:t>
            </w:r>
          </w:p>
        </w:tc>
        <w:tc>
          <w:tcPr>
            <w:tcW w:w="29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&gt;=50人</w:t>
            </w:r>
          </w:p>
        </w:tc>
      </w:tr>
      <w:tr>
        <w:tblPrEx>
          <w:tblLayout w:type="fixed"/>
          <w:tblCellMar>
            <w:top w:w="0" w:type="dxa"/>
            <w:left w:w="0" w:type="dxa"/>
            <w:bottom w:w="0" w:type="dxa"/>
            <w:right w:w="0" w:type="dxa"/>
          </w:tblCellMar>
        </w:tblPrEx>
        <w:trPr>
          <w:trHeight w:val="480" w:hRule="atLeast"/>
        </w:trPr>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292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培训学员出勤率</w:t>
            </w:r>
          </w:p>
        </w:tc>
        <w:tc>
          <w:tcPr>
            <w:tcW w:w="29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&gt;=95%</w:t>
            </w:r>
          </w:p>
        </w:tc>
      </w:tr>
      <w:tr>
        <w:tblPrEx>
          <w:tblLayout w:type="fixed"/>
          <w:tblCellMar>
            <w:top w:w="0" w:type="dxa"/>
            <w:left w:w="0" w:type="dxa"/>
            <w:bottom w:w="0" w:type="dxa"/>
            <w:right w:w="0" w:type="dxa"/>
          </w:tblCellMar>
        </w:tblPrEx>
        <w:trPr>
          <w:trHeight w:val="480" w:hRule="atLeast"/>
        </w:trPr>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292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培训按期完成率</w:t>
            </w:r>
          </w:p>
        </w:tc>
        <w:tc>
          <w:tcPr>
            <w:tcW w:w="29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w:t>
            </w:r>
          </w:p>
        </w:tc>
      </w:tr>
      <w:tr>
        <w:tblPrEx>
          <w:tblLayout w:type="fixed"/>
          <w:tblCellMar>
            <w:top w:w="0" w:type="dxa"/>
            <w:left w:w="0" w:type="dxa"/>
            <w:bottom w:w="0" w:type="dxa"/>
            <w:right w:w="0" w:type="dxa"/>
          </w:tblCellMar>
        </w:tblPrEx>
        <w:trPr>
          <w:trHeight w:val="480" w:hRule="atLeast"/>
        </w:trPr>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292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工作完成时间</w:t>
            </w:r>
          </w:p>
        </w:tc>
        <w:tc>
          <w:tcPr>
            <w:tcW w:w="29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=2022年12月31日</w:t>
            </w:r>
          </w:p>
        </w:tc>
      </w:tr>
      <w:tr>
        <w:tblPrEx>
          <w:tblLayout w:type="fixed"/>
          <w:tblCellMar>
            <w:top w:w="0" w:type="dxa"/>
            <w:left w:w="0" w:type="dxa"/>
            <w:bottom w:w="0" w:type="dxa"/>
            <w:right w:w="0" w:type="dxa"/>
          </w:tblCellMar>
        </w:tblPrEx>
        <w:trPr>
          <w:trHeight w:val="480" w:hRule="atLeast"/>
        </w:trPr>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292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培训人均支出标准</w:t>
            </w:r>
          </w:p>
        </w:tc>
        <w:tc>
          <w:tcPr>
            <w:tcW w:w="29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&lt;=2400元/人/天</w:t>
            </w:r>
          </w:p>
        </w:tc>
      </w:tr>
      <w:tr>
        <w:tblPrEx>
          <w:tblLayout w:type="fixed"/>
          <w:tblCellMar>
            <w:top w:w="0" w:type="dxa"/>
            <w:left w:w="0" w:type="dxa"/>
            <w:bottom w:w="0" w:type="dxa"/>
            <w:right w:w="0" w:type="dxa"/>
          </w:tblCellMar>
        </w:tblPrEx>
        <w:trPr>
          <w:trHeight w:val="480" w:hRule="atLeast"/>
        </w:trPr>
        <w:tc>
          <w:tcPr>
            <w:tcW w:w="14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292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29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80" w:hRule="atLeast"/>
        </w:trPr>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292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提升学员境外安保意识及应对处理突发事件能力</w:t>
            </w:r>
          </w:p>
        </w:tc>
        <w:tc>
          <w:tcPr>
            <w:tcW w:w="29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提升</w:t>
            </w:r>
          </w:p>
        </w:tc>
      </w:tr>
      <w:tr>
        <w:tblPrEx>
          <w:tblLayout w:type="fixed"/>
          <w:tblCellMar>
            <w:top w:w="0" w:type="dxa"/>
            <w:left w:w="0" w:type="dxa"/>
            <w:bottom w:w="0" w:type="dxa"/>
            <w:right w:w="0" w:type="dxa"/>
          </w:tblCellMar>
        </w:tblPrEx>
        <w:trPr>
          <w:trHeight w:val="480" w:hRule="atLeast"/>
        </w:trPr>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292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29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80" w:hRule="atLeast"/>
        </w:trPr>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292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持续增强了企业的安全意识，为学员及企业后期在境外的工作中垫定了良好的理论及实践基础</w:t>
            </w:r>
          </w:p>
        </w:tc>
        <w:tc>
          <w:tcPr>
            <w:tcW w:w="29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持续</w:t>
            </w:r>
          </w:p>
        </w:tc>
      </w:tr>
      <w:tr>
        <w:tblPrEx>
          <w:tblLayout w:type="fixed"/>
          <w:tblCellMar>
            <w:top w:w="0" w:type="dxa"/>
            <w:left w:w="0" w:type="dxa"/>
            <w:bottom w:w="0" w:type="dxa"/>
            <w:right w:w="0" w:type="dxa"/>
          </w:tblCellMar>
        </w:tblPrEx>
        <w:trPr>
          <w:trHeight w:val="480" w:hRule="atLeast"/>
        </w:trPr>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292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参训学员满意度</w:t>
            </w:r>
          </w:p>
        </w:tc>
        <w:tc>
          <w:tcPr>
            <w:tcW w:w="29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&gt;=95%</w:t>
            </w:r>
          </w:p>
        </w:tc>
      </w:tr>
    </w:tbl>
    <w:p>
      <w:pPr>
        <w:spacing w:line="600" w:lineRule="exact"/>
        <w:rPr>
          <w:rFonts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hint="eastAsia" w:ascii="黑体" w:hAnsi="黑体" w:eastAsia="黑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bookmarkStart w:id="0" w:name="_GoBack"/>
      <w:bookmarkEnd w:id="0"/>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昌吉州外事办公室</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0000000000000000000"/>
    <w:charset w:val="86"/>
    <w:family w:val="script"/>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OnoRdqrAQAAPQMA&#10;AA4AAAAAAAAAAQAgAAAAIAEAAGRycy9lMm9Eb2MueG1sUEsFBgAAAAAGAAYAWQEAAD0FAAAAAA==&#10;">
          <v:path/>
          <v:fill on="f" focussize="0,0"/>
          <v:stroke on="f" joinstyle="miter"/>
          <v:imagedata o:title=""/>
          <o:lock v:ext="edit"/>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_x0000_s1028" o:spid="_x0000_s1028"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J1viy2rAQAAPQMA&#10;AA4AAAAAAAAAAQAgAAAAIAEAAGRycy9lMm9Eb2MueG1sUEsFBgAAAAAGAAYAWQEAAD0FAAAAAA==&#10;">
          <v:path/>
          <v:fill on="f" focussize="0,0"/>
          <v:stroke on="f" joinstyle="miter"/>
          <v:imagedata o:title=""/>
          <o:lock v:ext="edit"/>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- 55 -</w:t>
                </w:r>
                <w:r>
                  <w:rPr>
                    <w:rFonts w:hint="eastAsia" w:ascii="宋体" w:hAnsi="宋体" w:cs="宋体"/>
                    <w:sz w:val="28"/>
                    <w:szCs w:val="28"/>
                  </w:rPr>
                  <w:fldChar w:fldCharType="end"/>
                </w:r>
              </w:p>
            </w:txbxContent>
          </v:textbox>
        </v:shape>
      </w:pic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_x0000_s1027" o:spid="_x0000_s1027"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bPU0HS&#10;AAAAAwEAAA8AAAAAAAAAAQAgAAAAIgAAAGRycy9kb3ducmV2LnhtbFBLAQIUABQAAAAIAIdO4kA5&#10;pQAGtAEAAEgDAAAOAAAAAAAAAAEAIAAAACEBAABkcnMvZTJvRG9jLnhtbFBLBQYAAAAABgAGAFkB&#10;AABHBQAAAAA=&#10;">
          <v:path/>
          <v:fill on="f" focussize="0,0"/>
          <v:stroke on="f" weight="0.5pt" joinstyle="miter"/>
          <v:imagedata o:title=""/>
          <o:lock v:ext="edit"/>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76</w:t>
                </w:r>
                <w:r>
                  <w:rPr>
                    <w:rFonts w:hint="eastAsia" w:ascii="宋体" w:hAnsi="宋体" w:cs="宋体"/>
                    <w:sz w:val="28"/>
                    <w:szCs w:val="28"/>
                  </w:rPr>
                  <w:fldChar w:fldCharType="end"/>
                </w:r>
              </w:p>
            </w:txbxContent>
          </v:textbox>
        </v:shape>
      </w:pic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D477F"/>
    <w:rsid w:val="001309DB"/>
    <w:rsid w:val="00297545"/>
    <w:rsid w:val="002B65EE"/>
    <w:rsid w:val="002E5250"/>
    <w:rsid w:val="003923D8"/>
    <w:rsid w:val="004265FD"/>
    <w:rsid w:val="00432BE1"/>
    <w:rsid w:val="0047118F"/>
    <w:rsid w:val="004D477F"/>
    <w:rsid w:val="0050216E"/>
    <w:rsid w:val="0059437A"/>
    <w:rsid w:val="005C6002"/>
    <w:rsid w:val="00780784"/>
    <w:rsid w:val="008024EF"/>
    <w:rsid w:val="008365AC"/>
    <w:rsid w:val="00856D23"/>
    <w:rsid w:val="008B14F8"/>
    <w:rsid w:val="008E7120"/>
    <w:rsid w:val="0090107A"/>
    <w:rsid w:val="00944B81"/>
    <w:rsid w:val="00AF3F7E"/>
    <w:rsid w:val="00B141E5"/>
    <w:rsid w:val="00C12D75"/>
    <w:rsid w:val="00C35AFE"/>
    <w:rsid w:val="00C66FA6"/>
    <w:rsid w:val="00C90694"/>
    <w:rsid w:val="00CE4C77"/>
    <w:rsid w:val="00D1700E"/>
    <w:rsid w:val="00D85033"/>
    <w:rsid w:val="00DE2374"/>
    <w:rsid w:val="00E64585"/>
    <w:rsid w:val="00F01CDF"/>
    <w:rsid w:val="00F91EEB"/>
    <w:rsid w:val="0209551A"/>
    <w:rsid w:val="06732320"/>
    <w:rsid w:val="06C70F3D"/>
    <w:rsid w:val="095A3FC0"/>
    <w:rsid w:val="0DE36100"/>
    <w:rsid w:val="0F1B0310"/>
    <w:rsid w:val="144E553D"/>
    <w:rsid w:val="1746619C"/>
    <w:rsid w:val="1F3926E7"/>
    <w:rsid w:val="20EC2889"/>
    <w:rsid w:val="24203D1D"/>
    <w:rsid w:val="2FF405BF"/>
    <w:rsid w:val="310D0A70"/>
    <w:rsid w:val="33246F0C"/>
    <w:rsid w:val="45041B5D"/>
    <w:rsid w:val="4A446AAC"/>
    <w:rsid w:val="4AFC0305"/>
    <w:rsid w:val="4BA968E1"/>
    <w:rsid w:val="4C665ACE"/>
    <w:rsid w:val="4F2E2911"/>
    <w:rsid w:val="54F75565"/>
    <w:rsid w:val="6083793E"/>
    <w:rsid w:val="61F32FFF"/>
    <w:rsid w:val="63E24ABD"/>
    <w:rsid w:val="6ADB296E"/>
    <w:rsid w:val="6BF47B21"/>
    <w:rsid w:val="6F4411F2"/>
    <w:rsid w:val="722D298B"/>
    <w:rsid w:val="741E7BF4"/>
    <w:rsid w:val="75443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29</Pages>
  <Words>2259</Words>
  <Characters>12882</Characters>
  <Lines>107</Lines>
  <Paragraphs>30</Paragraphs>
  <TotalTime>136</TotalTime>
  <ScaleCrop>false</ScaleCrop>
  <LinksUpToDate>false</LinksUpToDate>
  <CharactersWithSpaces>15111</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cp:lastModifiedBy>
  <cp:lastPrinted>2022-04-01T02:17:00Z</cp:lastPrinted>
  <dcterms:modified xsi:type="dcterms:W3CDTF">2022-04-13T11:36:30Z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