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民盟昌吉市委会</w:t>
      </w: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民盟昌吉市委会</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民盟昌吉市委会</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民盟昌吉市委会</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民盟昌吉市委会</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贯彻执行中国共产党领导的多党合作和政治协商制度。在宪法赋予的权限之内，按照章程和有关规定，履行政治协商、民主监督、参政议政职能，为自治州社会稳定和长治久安服务。</w:t>
      </w:r>
      <w:r>
        <w:rPr>
          <w:rFonts w:hint="eastAsia" w:ascii="仿宋_GB2312" w:hAnsi="仿宋_GB2312" w:eastAsia="仿宋_GB2312" w:cs="仿宋_GB2312"/>
          <w:bCs/>
          <w:kern w:val="0"/>
          <w:sz w:val="32"/>
          <w:szCs w:val="32"/>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b/>
          <w:sz w:val="32"/>
          <w:szCs w:val="32"/>
        </w:rPr>
        <w:t>政治协商</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 xml:space="preserve">是对国家和地方的大政方针以及政治、经济、文化和社会生活中的重要问题在决策之前进行协商和就决策执行过程中的重要问题进行协商。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民主监督</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 xml:space="preserve">是对国家宪法、法律和法规的实施，重大方针政策的贯彻执行、国家机关及其工作人员的工作，通过建议和批评进行监督。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eastAsia="仿宋_GB2312" w:cs="宋体"/>
          <w:bCs/>
          <w:kern w:val="0"/>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sz w:val="32"/>
          <w:szCs w:val="32"/>
        </w:rPr>
        <w:t>参政议政</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0"/>
          <w:sz w:val="32"/>
          <w:szCs w:val="32"/>
        </w:rPr>
        <w:t>是对政治、经济、文化和社会生活中的重要问题以及人民群众普遍关心的问题，开展调查研究，反映社情民意，进行协商讨论。通过调研报告、提案、建议案或其他形式，向中国共产党和国家机关提出意见和建议。</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民盟昌吉市委员会</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1</w:t>
      </w:r>
      <w:r>
        <w:rPr>
          <w:rFonts w:hint="eastAsia" w:ascii="仿宋_GB2312" w:hAnsi="黑体" w:eastAsia="仿宋_GB2312" w:cs="宋体"/>
          <w:bCs/>
          <w:kern w:val="0"/>
          <w:sz w:val="32"/>
          <w:szCs w:val="32"/>
        </w:rPr>
        <w:t>个处室：</w:t>
      </w:r>
      <w:r>
        <w:rPr>
          <w:rFonts w:hint="eastAsia" w:ascii="仿宋_GB2312" w:hAnsi="黑体" w:eastAsia="仿宋_GB2312" w:cs="宋体"/>
          <w:bCs/>
          <w:kern w:val="0"/>
          <w:sz w:val="32"/>
          <w:szCs w:val="32"/>
          <w:lang w:val="en-US" w:eastAsia="zh-CN"/>
        </w:rPr>
        <w:t>办公室</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kern w:val="0"/>
          <w:sz w:val="32"/>
          <w:szCs w:val="32"/>
        </w:rPr>
      </w:pPr>
      <w:r>
        <w:rPr>
          <w:rFonts w:hint="eastAsia" w:ascii="仿宋_GB2312" w:hAnsi="黑体" w:eastAsia="仿宋_GB2312" w:cs="宋体"/>
          <w:bCs/>
          <w:kern w:val="0"/>
          <w:sz w:val="32"/>
          <w:szCs w:val="32"/>
        </w:rPr>
        <w:t>民盟昌吉市委</w:t>
      </w:r>
      <w:r>
        <w:rPr>
          <w:rFonts w:hint="eastAsia" w:ascii="仿宋_GB2312" w:hAnsi="黑体" w:eastAsia="仿宋_GB2312" w:cs="宋体"/>
          <w:bCs/>
          <w:kern w:val="0"/>
          <w:sz w:val="32"/>
          <w:szCs w:val="32"/>
          <w:lang w:val="en-US" w:eastAsia="zh-CN"/>
        </w:rPr>
        <w:t>员</w:t>
      </w:r>
      <w:r>
        <w:rPr>
          <w:rFonts w:hint="eastAsia" w:ascii="仿宋_GB2312" w:hAnsi="黑体" w:eastAsia="仿宋_GB2312" w:cs="宋体"/>
          <w:bCs/>
          <w:kern w:val="0"/>
          <w:sz w:val="32"/>
          <w:szCs w:val="32"/>
        </w:rPr>
        <w:t>会</w:t>
      </w:r>
      <w:r>
        <w:rPr>
          <w:rFonts w:hint="eastAsia" w:ascii="仿宋_GB2312" w:hAnsi="宋体" w:eastAsia="仿宋_GB2312" w:cs="宋体"/>
          <w:kern w:val="0"/>
          <w:sz w:val="32"/>
          <w:szCs w:val="32"/>
        </w:rPr>
        <w:t>编制数3</w:t>
      </w:r>
      <w:r>
        <w:rPr>
          <w:rFonts w:hint="eastAsia" w:ascii="仿宋_GB2312" w:hAnsi="宋体" w:eastAsia="仿宋_GB2312" w:cs="宋体"/>
          <w:kern w:val="0"/>
          <w:sz w:val="32"/>
          <w:szCs w:val="32"/>
          <w:lang w:val="en-US" w:eastAsia="zh-CN"/>
        </w:rPr>
        <w:t>个</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人；退休3人，增加或减少0人；离休0人，增加0人。   </w:t>
      </w:r>
    </w:p>
    <w:p>
      <w:pPr>
        <w:widowControl/>
        <w:spacing w:line="540" w:lineRule="exact"/>
        <w:ind w:firstLine="640"/>
        <w:jc w:val="left"/>
        <w:rPr>
          <w:rFonts w:ascii="仿宋_GB2312" w:hAnsi="宋体" w:eastAsia="仿宋_GB2312" w:cs="宋体"/>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w:t>
      </w:r>
      <w:r>
        <w:rPr>
          <w:rFonts w:hint="eastAsia" w:ascii="黑体" w:hAnsi="黑体" w:eastAsia="黑体"/>
          <w:kern w:val="0"/>
          <w:sz w:val="32"/>
          <w:szCs w:val="32"/>
          <w:lang w:eastAsia="zh-CN"/>
        </w:rPr>
        <w:t>民盟昌吉市委会</w:t>
      </w:r>
      <w:r>
        <w:rPr>
          <w:rFonts w:hint="eastAsia" w:ascii="黑体" w:hAnsi="黑体" w:eastAsia="黑体"/>
          <w:kern w:val="0"/>
          <w:sz w:val="32"/>
          <w:szCs w:val="32"/>
        </w:rPr>
        <w:t>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民盟昌吉市委会</w:t>
      </w:r>
      <w:r>
        <w:rPr>
          <w:rFonts w:hint="eastAsia" w:ascii="仿宋_GB2312" w:hAnsi="宋体" w:eastAsia="仿宋_GB2312"/>
          <w:b/>
          <w:kern w:val="0"/>
          <w:sz w:val="32"/>
          <w:szCs w:val="32"/>
        </w:rPr>
        <w:t>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民盟昌吉市委会</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tabs>
                <w:tab w:val="center" w:pos="886"/>
                <w:tab w:val="right" w:pos="2072"/>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val="en-US" w:eastAsia="zh-CN"/>
              </w:rPr>
              <w:t>57.86</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tabs>
                <w:tab w:val="center" w:pos="742"/>
                <w:tab w:val="right" w:pos="1785"/>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val="en-US" w:eastAsia="zh-CN"/>
              </w:rPr>
              <w:t>48.01</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tabs>
                <w:tab w:val="center" w:pos="886"/>
                <w:tab w:val="right" w:pos="2072"/>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val="en-US" w:eastAsia="zh-CN"/>
              </w:rPr>
              <w:t>57.86</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tabs>
                <w:tab w:val="center" w:pos="742"/>
                <w:tab w:val="right" w:pos="1785"/>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val="en-US" w:eastAsia="zh-CN"/>
              </w:rPr>
              <w:t>3.80</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2.77</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tabs>
                <w:tab w:val="center" w:pos="742"/>
                <w:tab w:val="right" w:pos="1785"/>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val="en-US" w:eastAsia="zh-CN"/>
              </w:rPr>
              <w:t>3.28</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tabs>
                <w:tab w:val="center" w:pos="886"/>
                <w:tab w:val="right" w:pos="2072"/>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val="en-US" w:eastAsia="zh-CN"/>
              </w:rPr>
              <w:t>57.86</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tabs>
                <w:tab w:val="center" w:pos="742"/>
                <w:tab w:val="right" w:pos="1785"/>
              </w:tabs>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val="en-US" w:eastAsia="zh-CN"/>
              </w:rPr>
              <w:t>57.86</w:t>
            </w: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rPr>
              <w:t>　</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民盟昌吉市委会</w:t>
      </w:r>
      <w:r>
        <w:rPr>
          <w:rFonts w:hint="eastAsia" w:ascii="方正小标宋_GBK" w:hAnsi="方正小标宋_GBK" w:eastAsia="方正小标宋_GBK" w:cs="方正小标宋_GBK"/>
          <w:bCs/>
          <w:kern w:val="0"/>
          <w:sz w:val="36"/>
          <w:szCs w:val="36"/>
        </w:rPr>
        <w:t>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民盟昌吉市委会</w:t>
      </w:r>
      <w:r>
        <w:rPr>
          <w:rFonts w:hint="eastAsia" w:ascii="仿宋_GB2312" w:hAnsi="宋体" w:eastAsia="仿宋_GB2312"/>
          <w:kern w:val="0"/>
          <w:sz w:val="24"/>
        </w:rPr>
        <w:t xml:space="preserve">                             单位：万元</w:t>
      </w:r>
    </w:p>
    <w:tbl>
      <w:tblPr>
        <w:tblStyle w:val="6"/>
        <w:tblW w:w="9942" w:type="dxa"/>
        <w:tblInd w:w="-450" w:type="dxa"/>
        <w:tblLayout w:type="fixed"/>
        <w:tblCellMar>
          <w:top w:w="0" w:type="dxa"/>
          <w:left w:w="108" w:type="dxa"/>
          <w:bottom w:w="0" w:type="dxa"/>
          <w:right w:w="108" w:type="dxa"/>
        </w:tblCellMar>
      </w:tblPr>
      <w:tblGrid>
        <w:gridCol w:w="570"/>
        <w:gridCol w:w="480"/>
        <w:gridCol w:w="456"/>
        <w:gridCol w:w="2280"/>
        <w:gridCol w:w="840"/>
        <w:gridCol w:w="780"/>
        <w:gridCol w:w="828"/>
        <w:gridCol w:w="744"/>
        <w:gridCol w:w="852"/>
        <w:gridCol w:w="696"/>
        <w:gridCol w:w="684"/>
        <w:gridCol w:w="732"/>
      </w:tblGrid>
      <w:tr>
        <w:tblPrEx>
          <w:tblCellMar>
            <w:top w:w="0" w:type="dxa"/>
            <w:left w:w="108" w:type="dxa"/>
            <w:bottom w:w="0" w:type="dxa"/>
            <w:right w:w="108" w:type="dxa"/>
          </w:tblCellMar>
        </w:tblPrEx>
        <w:trPr>
          <w:trHeight w:val="510" w:hRule="atLeast"/>
        </w:trPr>
        <w:tc>
          <w:tcPr>
            <w:tcW w:w="150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280"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40"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80"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828"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44"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852"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96"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4"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32" w:type="dxa"/>
            <w:vMerge w:val="restart"/>
            <w:tcBorders>
              <w:top w:val="single" w:color="auto" w:sz="4" w:space="0"/>
              <w:left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730" w:hRule="atLeast"/>
        </w:trPr>
        <w:tc>
          <w:tcPr>
            <w:tcW w:w="57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280" w:type="dxa"/>
            <w:vMerge w:val="continue"/>
            <w:tcBorders>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840" w:type="dxa"/>
            <w:vMerge w:val="continue"/>
            <w:tcBorders>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80" w:type="dxa"/>
            <w:vMerge w:val="continue"/>
            <w:tcBorders>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828" w:type="dxa"/>
            <w:vMerge w:val="continue"/>
            <w:tcBorders>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44" w:type="dxa"/>
            <w:vMerge w:val="continue"/>
            <w:tcBorders>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852" w:type="dxa"/>
            <w:vMerge w:val="continue"/>
            <w:tcBorders>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696" w:type="dxa"/>
            <w:vMerge w:val="continue"/>
            <w:tcBorders>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c>
          <w:tcPr>
            <w:tcW w:w="732" w:type="dxa"/>
            <w:vMerge w:val="continue"/>
            <w:tcBorders>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shd w:val="clear" w:color="auto" w:fill="auto"/>
            <w:vAlign w:val="center"/>
          </w:tcPr>
          <w:p>
            <w:pPr>
              <w:jc w:val="both"/>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8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p>
        </w:tc>
        <w:tc>
          <w:tcPr>
            <w:tcW w:w="45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一般公共服务支出</w:t>
            </w:r>
          </w:p>
        </w:tc>
        <w:tc>
          <w:tcPr>
            <w:tcW w:w="840" w:type="dxa"/>
            <w:tcBorders>
              <w:top w:val="single" w:color="auto" w:sz="4" w:space="0"/>
              <w:left w:val="nil"/>
              <w:bottom w:val="single" w:color="auto" w:sz="4" w:space="0"/>
              <w:right w:val="single" w:color="auto" w:sz="4" w:space="0"/>
            </w:tcBorders>
            <w:shd w:val="clear" w:color="000000" w:fill="FFFFFF"/>
            <w:vAlign w:val="center"/>
          </w:tcPr>
          <w:p>
            <w:pPr>
              <w:widowControl/>
              <w:tabs>
                <w:tab w:val="left" w:pos="372"/>
              </w:tabs>
              <w:spacing w:line="280" w:lineRule="exact"/>
              <w:jc w:val="center"/>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53.01</w:t>
            </w:r>
          </w:p>
        </w:tc>
        <w:tc>
          <w:tcPr>
            <w:tcW w:w="780"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53.01</w:t>
            </w:r>
          </w:p>
        </w:tc>
        <w:tc>
          <w:tcPr>
            <w:tcW w:w="82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44"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52"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9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32"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shd w:val="clear" w:color="auto" w:fill="auto"/>
            <w:vAlign w:val="center"/>
          </w:tcPr>
          <w:p>
            <w:pPr>
              <w:jc w:val="both"/>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201</w:t>
            </w:r>
          </w:p>
        </w:tc>
        <w:tc>
          <w:tcPr>
            <w:tcW w:w="48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w:t>
            </w:r>
          </w:p>
        </w:tc>
        <w:tc>
          <w:tcPr>
            <w:tcW w:w="45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民主党派及工商联事务</w:t>
            </w:r>
          </w:p>
        </w:tc>
        <w:tc>
          <w:tcPr>
            <w:tcW w:w="840" w:type="dxa"/>
            <w:tcBorders>
              <w:top w:val="single" w:color="auto" w:sz="4" w:space="0"/>
              <w:left w:val="nil"/>
              <w:bottom w:val="single" w:color="auto" w:sz="4" w:space="0"/>
              <w:right w:val="single" w:color="auto" w:sz="4" w:space="0"/>
            </w:tcBorders>
            <w:shd w:val="clear" w:color="000000" w:fill="FFFFFF"/>
            <w:vAlign w:val="center"/>
          </w:tcPr>
          <w:p>
            <w:pPr>
              <w:widowControl/>
              <w:tabs>
                <w:tab w:val="left" w:pos="372"/>
              </w:tabs>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53.01</w:t>
            </w:r>
          </w:p>
        </w:tc>
        <w:tc>
          <w:tcPr>
            <w:tcW w:w="780"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53.01</w:t>
            </w:r>
          </w:p>
        </w:tc>
        <w:tc>
          <w:tcPr>
            <w:tcW w:w="82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44"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52"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9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32"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shd w:val="clear" w:color="auto" w:fill="auto"/>
            <w:vAlign w:val="center"/>
          </w:tcPr>
          <w:p>
            <w:pPr>
              <w:jc w:val="both"/>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80"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w:t>
            </w:r>
          </w:p>
        </w:tc>
        <w:tc>
          <w:tcPr>
            <w:tcW w:w="45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行政运行</w:t>
            </w:r>
          </w:p>
        </w:tc>
        <w:tc>
          <w:tcPr>
            <w:tcW w:w="840" w:type="dxa"/>
            <w:tcBorders>
              <w:top w:val="single" w:color="auto" w:sz="4" w:space="0"/>
              <w:left w:val="nil"/>
              <w:bottom w:val="single" w:color="auto" w:sz="4" w:space="0"/>
              <w:right w:val="single" w:color="auto" w:sz="4" w:space="0"/>
            </w:tcBorders>
            <w:shd w:val="clear" w:color="000000" w:fill="FFFFFF"/>
            <w:vAlign w:val="center"/>
          </w:tcPr>
          <w:p>
            <w:pPr>
              <w:widowControl/>
              <w:tabs>
                <w:tab w:val="left" w:pos="372"/>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30.01</w:t>
            </w:r>
          </w:p>
        </w:tc>
        <w:tc>
          <w:tcPr>
            <w:tcW w:w="780"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30.01</w:t>
            </w:r>
          </w:p>
        </w:tc>
        <w:tc>
          <w:tcPr>
            <w:tcW w:w="82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44"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52"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96"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32"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w:t>
            </w:r>
          </w:p>
        </w:tc>
        <w:tc>
          <w:tcPr>
            <w:tcW w:w="4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280" w:type="dxa"/>
            <w:tcBorders>
              <w:top w:val="single" w:color="auto" w:sz="4" w:space="0"/>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一般行政管理事务</w:t>
            </w:r>
          </w:p>
        </w:tc>
        <w:tc>
          <w:tcPr>
            <w:tcW w:w="840" w:type="dxa"/>
            <w:tcBorders>
              <w:top w:val="single" w:color="auto" w:sz="4" w:space="0"/>
              <w:left w:val="nil"/>
              <w:bottom w:val="single" w:color="auto" w:sz="4" w:space="0"/>
              <w:right w:val="single" w:color="auto" w:sz="4" w:space="0"/>
            </w:tcBorders>
            <w:vAlign w:val="center"/>
          </w:tcPr>
          <w:p>
            <w:pPr>
              <w:widowControl/>
              <w:tabs>
                <w:tab w:val="left" w:pos="360"/>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14</w:t>
            </w:r>
          </w:p>
        </w:tc>
        <w:tc>
          <w:tcPr>
            <w:tcW w:w="780" w:type="dxa"/>
            <w:tcBorders>
              <w:top w:val="single" w:color="auto" w:sz="4" w:space="0"/>
              <w:left w:val="nil"/>
              <w:bottom w:val="single" w:color="auto" w:sz="4" w:space="0"/>
              <w:right w:val="single" w:color="auto" w:sz="4" w:space="0"/>
            </w:tcBorders>
            <w:vAlign w:val="center"/>
          </w:tcPr>
          <w:p>
            <w:pPr>
              <w:widowControl/>
              <w:tabs>
                <w:tab w:val="left" w:pos="240"/>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14</w:t>
            </w:r>
          </w:p>
        </w:tc>
        <w:tc>
          <w:tcPr>
            <w:tcW w:w="828"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w:t>
            </w:r>
          </w:p>
        </w:tc>
        <w:tc>
          <w:tcPr>
            <w:tcW w:w="4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04</w:t>
            </w: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参政议政</w:t>
            </w:r>
          </w:p>
        </w:tc>
        <w:tc>
          <w:tcPr>
            <w:tcW w:w="840" w:type="dxa"/>
            <w:tcBorders>
              <w:top w:val="nil"/>
              <w:left w:val="nil"/>
              <w:bottom w:val="single" w:color="auto" w:sz="4" w:space="0"/>
              <w:right w:val="single" w:color="auto" w:sz="4" w:space="0"/>
            </w:tcBorders>
            <w:vAlign w:val="center"/>
          </w:tcPr>
          <w:p>
            <w:pPr>
              <w:widowControl/>
              <w:tabs>
                <w:tab w:val="left" w:pos="312"/>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w:t>
            </w:r>
          </w:p>
        </w:tc>
        <w:tc>
          <w:tcPr>
            <w:tcW w:w="780" w:type="dxa"/>
            <w:tcBorders>
              <w:top w:val="nil"/>
              <w:left w:val="nil"/>
              <w:bottom w:val="single" w:color="auto" w:sz="4" w:space="0"/>
              <w:right w:val="single" w:color="auto" w:sz="4" w:space="0"/>
            </w:tcBorders>
            <w:vAlign w:val="center"/>
          </w:tcPr>
          <w:p>
            <w:pPr>
              <w:widowControl/>
              <w:tabs>
                <w:tab w:val="left" w:pos="300"/>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社会保障和就业支出</w:t>
            </w:r>
          </w:p>
        </w:tc>
        <w:tc>
          <w:tcPr>
            <w:tcW w:w="840" w:type="dxa"/>
            <w:tcBorders>
              <w:top w:val="nil"/>
              <w:left w:val="nil"/>
              <w:bottom w:val="single" w:color="auto" w:sz="4" w:space="0"/>
              <w:right w:val="single" w:color="auto" w:sz="4" w:space="0"/>
            </w:tcBorders>
            <w:vAlign w:val="center"/>
          </w:tcPr>
          <w:p>
            <w:pPr>
              <w:widowControl/>
              <w:tabs>
                <w:tab w:val="left" w:pos="384"/>
              </w:tabs>
              <w:spacing w:line="280" w:lineRule="exact"/>
              <w:jc w:val="center"/>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780" w:type="dxa"/>
            <w:tcBorders>
              <w:top w:val="nil"/>
              <w:left w:val="nil"/>
              <w:bottom w:val="single" w:color="auto" w:sz="4" w:space="0"/>
              <w:right w:val="single" w:color="auto" w:sz="4" w:space="0"/>
            </w:tcBorders>
            <w:vAlign w:val="center"/>
          </w:tcPr>
          <w:p>
            <w:pPr>
              <w:widowControl/>
              <w:tabs>
                <w:tab w:val="left" w:pos="276"/>
              </w:tabs>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行政事业单位养老支出</w:t>
            </w:r>
          </w:p>
        </w:tc>
        <w:tc>
          <w:tcPr>
            <w:tcW w:w="8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7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行政单位离退休</w:t>
            </w:r>
          </w:p>
        </w:tc>
        <w:tc>
          <w:tcPr>
            <w:tcW w:w="840" w:type="dxa"/>
            <w:tcBorders>
              <w:top w:val="nil"/>
              <w:left w:val="nil"/>
              <w:bottom w:val="single" w:color="auto" w:sz="4" w:space="0"/>
              <w:right w:val="single" w:color="auto" w:sz="4" w:space="0"/>
            </w:tcBorders>
            <w:vAlign w:val="center"/>
          </w:tcPr>
          <w:p>
            <w:pPr>
              <w:widowControl/>
              <w:tabs>
                <w:tab w:val="left" w:pos="384"/>
              </w:tabs>
              <w:spacing w:line="280" w:lineRule="exact"/>
              <w:jc w:val="center"/>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0.3</w:t>
            </w:r>
          </w:p>
        </w:tc>
        <w:tc>
          <w:tcPr>
            <w:tcW w:w="780" w:type="dxa"/>
            <w:tcBorders>
              <w:top w:val="nil"/>
              <w:left w:val="nil"/>
              <w:bottom w:val="single" w:color="auto" w:sz="4" w:space="0"/>
              <w:right w:val="single" w:color="auto" w:sz="4" w:space="0"/>
            </w:tcBorders>
            <w:vAlign w:val="center"/>
          </w:tcPr>
          <w:p>
            <w:pPr>
              <w:widowControl/>
              <w:tabs>
                <w:tab w:val="left" w:pos="276"/>
              </w:tabs>
              <w:spacing w:line="280" w:lineRule="exact"/>
              <w:jc w:val="center"/>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0.3</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机关事业单位基本养老保险</w:t>
            </w:r>
          </w:p>
        </w:tc>
        <w:tc>
          <w:tcPr>
            <w:tcW w:w="840" w:type="dxa"/>
            <w:tcBorders>
              <w:top w:val="nil"/>
              <w:left w:val="nil"/>
              <w:bottom w:val="single" w:color="auto" w:sz="4" w:space="0"/>
              <w:right w:val="single" w:color="auto" w:sz="4" w:space="0"/>
            </w:tcBorders>
            <w:vAlign w:val="center"/>
          </w:tcPr>
          <w:p>
            <w:pPr>
              <w:widowControl/>
              <w:tabs>
                <w:tab w:val="left" w:pos="384"/>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780" w:type="dxa"/>
            <w:tcBorders>
              <w:top w:val="nil"/>
              <w:left w:val="nil"/>
              <w:bottom w:val="single" w:color="auto" w:sz="4" w:space="0"/>
              <w:right w:val="single" w:color="auto" w:sz="4" w:space="0"/>
            </w:tcBorders>
            <w:vAlign w:val="center"/>
          </w:tcPr>
          <w:p>
            <w:pPr>
              <w:widowControl/>
              <w:tabs>
                <w:tab w:val="left" w:pos="276"/>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卫生健康支出</w:t>
            </w:r>
          </w:p>
        </w:tc>
        <w:tc>
          <w:tcPr>
            <w:tcW w:w="84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7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行政事业单位医疗</w:t>
            </w:r>
          </w:p>
        </w:tc>
        <w:tc>
          <w:tcPr>
            <w:tcW w:w="8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7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行政单位医疗</w:t>
            </w:r>
          </w:p>
        </w:tc>
        <w:tc>
          <w:tcPr>
            <w:tcW w:w="840" w:type="dxa"/>
            <w:tcBorders>
              <w:top w:val="nil"/>
              <w:left w:val="nil"/>
              <w:bottom w:val="single" w:color="auto" w:sz="4" w:space="0"/>
              <w:right w:val="single" w:color="auto" w:sz="4" w:space="0"/>
            </w:tcBorders>
            <w:vAlign w:val="center"/>
          </w:tcPr>
          <w:p>
            <w:pPr>
              <w:widowControl/>
              <w:tabs>
                <w:tab w:val="left" w:pos="312"/>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2.08</w:t>
            </w:r>
          </w:p>
        </w:tc>
        <w:tc>
          <w:tcPr>
            <w:tcW w:w="7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2.08</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公务员医疗补助</w:t>
            </w:r>
          </w:p>
        </w:tc>
        <w:tc>
          <w:tcPr>
            <w:tcW w:w="840" w:type="dxa"/>
            <w:tcBorders>
              <w:top w:val="nil"/>
              <w:left w:val="nil"/>
              <w:bottom w:val="single" w:color="auto" w:sz="4" w:space="0"/>
              <w:right w:val="single" w:color="auto" w:sz="4" w:space="0"/>
            </w:tcBorders>
            <w:vAlign w:val="center"/>
          </w:tcPr>
          <w:p>
            <w:pPr>
              <w:widowControl/>
              <w:tabs>
                <w:tab w:val="left" w:pos="336"/>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0.66</w:t>
            </w:r>
          </w:p>
        </w:tc>
        <w:tc>
          <w:tcPr>
            <w:tcW w:w="780" w:type="dxa"/>
            <w:tcBorders>
              <w:top w:val="nil"/>
              <w:left w:val="nil"/>
              <w:bottom w:val="single" w:color="auto" w:sz="4" w:space="0"/>
              <w:right w:val="single" w:color="auto" w:sz="4" w:space="0"/>
            </w:tcBorders>
            <w:vAlign w:val="center"/>
          </w:tcPr>
          <w:p>
            <w:pPr>
              <w:widowControl/>
              <w:tabs>
                <w:tab w:val="left" w:pos="264"/>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0.66</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其他行政事业单位医疗支出</w:t>
            </w:r>
          </w:p>
        </w:tc>
        <w:tc>
          <w:tcPr>
            <w:tcW w:w="840" w:type="dxa"/>
            <w:tcBorders>
              <w:top w:val="nil"/>
              <w:left w:val="nil"/>
              <w:bottom w:val="single" w:color="auto" w:sz="4" w:space="0"/>
              <w:right w:val="single" w:color="auto" w:sz="4" w:space="0"/>
            </w:tcBorders>
            <w:vAlign w:val="center"/>
          </w:tcPr>
          <w:p>
            <w:pPr>
              <w:widowControl/>
              <w:tabs>
                <w:tab w:val="left" w:pos="288"/>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0.04</w:t>
            </w:r>
          </w:p>
        </w:tc>
        <w:tc>
          <w:tcPr>
            <w:tcW w:w="7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0.04</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8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7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5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住房改革支出</w:t>
            </w:r>
          </w:p>
        </w:tc>
        <w:tc>
          <w:tcPr>
            <w:tcW w:w="84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78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8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2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住房公积金</w:t>
            </w:r>
          </w:p>
        </w:tc>
        <w:tc>
          <w:tcPr>
            <w:tcW w:w="840" w:type="dxa"/>
            <w:tcBorders>
              <w:top w:val="nil"/>
              <w:left w:val="nil"/>
              <w:bottom w:val="single" w:color="auto" w:sz="4" w:space="0"/>
              <w:right w:val="single" w:color="auto" w:sz="4" w:space="0"/>
            </w:tcBorders>
            <w:vAlign w:val="center"/>
          </w:tcPr>
          <w:p>
            <w:pPr>
              <w:widowControl/>
              <w:tabs>
                <w:tab w:val="left" w:pos="360"/>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7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2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widowControl/>
              <w:tabs>
                <w:tab w:val="left" w:pos="444"/>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57.86</w:t>
            </w:r>
          </w:p>
        </w:tc>
        <w:tc>
          <w:tcPr>
            <w:tcW w:w="78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57.86</w:t>
            </w:r>
          </w:p>
        </w:tc>
        <w:tc>
          <w:tcPr>
            <w:tcW w:w="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4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9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3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lang w:eastAsia="zh-CN"/>
        </w:rPr>
        <w:t>民盟昌吉市委会</w:t>
      </w:r>
      <w:r>
        <w:rPr>
          <w:rFonts w:hint="eastAsia" w:ascii="方正小标宋_GBK" w:hAnsi="方正小标宋_GBK" w:eastAsia="方正小标宋_GBK" w:cs="方正小标宋_GBK"/>
          <w:bCs/>
          <w:kern w:val="0"/>
          <w:sz w:val="36"/>
          <w:szCs w:val="36"/>
        </w:rPr>
        <w:t>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民盟昌吉市委会</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516"/>
        <w:gridCol w:w="416"/>
        <w:gridCol w:w="416"/>
        <w:gridCol w:w="2549"/>
        <w:gridCol w:w="1828"/>
        <w:gridCol w:w="1829"/>
        <w:gridCol w:w="1866"/>
      </w:tblGrid>
      <w:tr>
        <w:tblPrEx>
          <w:tblCellMar>
            <w:top w:w="0" w:type="dxa"/>
            <w:left w:w="108" w:type="dxa"/>
            <w:bottom w:w="0" w:type="dxa"/>
            <w:right w:w="108" w:type="dxa"/>
          </w:tblCellMar>
        </w:tblPrEx>
        <w:trPr>
          <w:trHeight w:val="345" w:hRule="atLeast"/>
        </w:trPr>
        <w:tc>
          <w:tcPr>
            <w:tcW w:w="389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一般公共服务支出</w:t>
            </w:r>
          </w:p>
        </w:tc>
        <w:tc>
          <w:tcPr>
            <w:tcW w:w="1828" w:type="dxa"/>
            <w:tcBorders>
              <w:top w:val="nil"/>
              <w:left w:val="nil"/>
              <w:bottom w:val="single" w:color="auto" w:sz="4" w:space="0"/>
              <w:right w:val="single" w:color="auto" w:sz="4" w:space="0"/>
            </w:tcBorders>
            <w:vAlign w:val="center"/>
          </w:tcPr>
          <w:p>
            <w:pPr>
              <w:widowControl/>
              <w:tabs>
                <w:tab w:val="left" w:pos="372"/>
              </w:tabs>
              <w:spacing w:line="280" w:lineRule="exact"/>
              <w:jc w:val="center"/>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53.01</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35.01</w:t>
            </w:r>
          </w:p>
        </w:tc>
        <w:tc>
          <w:tcPr>
            <w:tcW w:w="186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w:t>
            </w: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民主党派及工商联事务</w:t>
            </w:r>
          </w:p>
        </w:tc>
        <w:tc>
          <w:tcPr>
            <w:tcW w:w="1828" w:type="dxa"/>
            <w:tcBorders>
              <w:top w:val="nil"/>
              <w:left w:val="nil"/>
              <w:bottom w:val="single" w:color="auto" w:sz="4" w:space="0"/>
              <w:right w:val="single" w:color="auto" w:sz="4" w:space="0"/>
            </w:tcBorders>
            <w:vAlign w:val="center"/>
          </w:tcPr>
          <w:p>
            <w:pPr>
              <w:widowControl/>
              <w:tabs>
                <w:tab w:val="left" w:pos="372"/>
              </w:tabs>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53.01</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35.01</w:t>
            </w:r>
          </w:p>
        </w:tc>
        <w:tc>
          <w:tcPr>
            <w:tcW w:w="186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both"/>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行政运行</w:t>
            </w:r>
          </w:p>
        </w:tc>
        <w:tc>
          <w:tcPr>
            <w:tcW w:w="1828" w:type="dxa"/>
            <w:tcBorders>
              <w:top w:val="nil"/>
              <w:left w:val="nil"/>
              <w:bottom w:val="single" w:color="auto" w:sz="4" w:space="0"/>
              <w:right w:val="single" w:color="auto" w:sz="4" w:space="0"/>
            </w:tcBorders>
            <w:vAlign w:val="center"/>
          </w:tcPr>
          <w:p>
            <w:pPr>
              <w:widowControl/>
              <w:tabs>
                <w:tab w:val="left" w:pos="372"/>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30.01</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30.01</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一般行政管理事务</w:t>
            </w:r>
          </w:p>
        </w:tc>
        <w:tc>
          <w:tcPr>
            <w:tcW w:w="1828" w:type="dxa"/>
            <w:tcBorders>
              <w:top w:val="nil"/>
              <w:left w:val="nil"/>
              <w:bottom w:val="single" w:color="auto" w:sz="4" w:space="0"/>
              <w:right w:val="single" w:color="auto" w:sz="4" w:space="0"/>
            </w:tcBorders>
            <w:vAlign w:val="center"/>
          </w:tcPr>
          <w:p>
            <w:pPr>
              <w:widowControl/>
              <w:tabs>
                <w:tab w:val="left" w:pos="360"/>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14</w:t>
            </w:r>
          </w:p>
        </w:tc>
        <w:tc>
          <w:tcPr>
            <w:tcW w:w="1829" w:type="dxa"/>
            <w:tcBorders>
              <w:top w:val="nil"/>
              <w:left w:val="nil"/>
              <w:bottom w:val="single" w:color="auto" w:sz="4" w:space="0"/>
              <w:right w:val="single" w:color="auto" w:sz="4" w:space="0"/>
            </w:tcBorders>
            <w:vAlign w:val="center"/>
          </w:tcPr>
          <w:p>
            <w:pPr>
              <w:widowControl/>
              <w:tabs>
                <w:tab w:val="left" w:pos="240"/>
              </w:tabs>
              <w:spacing w:line="280" w:lineRule="exact"/>
              <w:jc w:val="center"/>
              <w:rPr>
                <w:rFonts w:hint="default" w:ascii="宋体" w:hAnsi="宋体" w:eastAsia="宋体" w:cs="宋体"/>
                <w:b/>
                <w:bCs/>
                <w:color w:val="000000"/>
                <w:kern w:val="0"/>
                <w:sz w:val="22"/>
                <w:szCs w:val="22"/>
                <w:lang w:val="en-US" w:eastAsia="zh-CN" w:bidi="ar-SA"/>
              </w:rPr>
            </w:pPr>
          </w:p>
        </w:tc>
        <w:tc>
          <w:tcPr>
            <w:tcW w:w="1866" w:type="dxa"/>
            <w:tcBorders>
              <w:top w:val="nil"/>
              <w:left w:val="nil"/>
              <w:bottom w:val="single" w:color="auto" w:sz="4" w:space="0"/>
              <w:right w:val="single" w:color="auto" w:sz="4" w:space="0"/>
            </w:tcBorders>
            <w:vAlign w:val="center"/>
          </w:tcPr>
          <w:p>
            <w:pPr>
              <w:widowControl/>
              <w:tabs>
                <w:tab w:val="left" w:pos="240"/>
              </w:tabs>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14</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04</w:t>
            </w: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参政议政</w:t>
            </w:r>
          </w:p>
        </w:tc>
        <w:tc>
          <w:tcPr>
            <w:tcW w:w="1828" w:type="dxa"/>
            <w:tcBorders>
              <w:top w:val="nil"/>
              <w:left w:val="nil"/>
              <w:bottom w:val="single" w:color="auto" w:sz="4" w:space="0"/>
              <w:right w:val="single" w:color="auto" w:sz="4" w:space="0"/>
            </w:tcBorders>
            <w:vAlign w:val="center"/>
          </w:tcPr>
          <w:p>
            <w:pPr>
              <w:widowControl/>
              <w:tabs>
                <w:tab w:val="left" w:pos="312"/>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w:t>
            </w:r>
          </w:p>
        </w:tc>
        <w:tc>
          <w:tcPr>
            <w:tcW w:w="1829" w:type="dxa"/>
            <w:tcBorders>
              <w:top w:val="nil"/>
              <w:left w:val="nil"/>
              <w:bottom w:val="single" w:color="auto" w:sz="4" w:space="0"/>
              <w:right w:val="single" w:color="auto" w:sz="4" w:space="0"/>
            </w:tcBorders>
            <w:vAlign w:val="center"/>
          </w:tcPr>
          <w:p>
            <w:pPr>
              <w:widowControl/>
              <w:tabs>
                <w:tab w:val="left" w:pos="300"/>
              </w:tabs>
              <w:spacing w:line="280" w:lineRule="exact"/>
              <w:jc w:val="center"/>
              <w:rPr>
                <w:rFonts w:hint="default" w:ascii="宋体" w:hAnsi="宋体" w:eastAsia="宋体" w:cs="宋体"/>
                <w:b/>
                <w:bCs/>
                <w:color w:val="000000"/>
                <w:kern w:val="0"/>
                <w:sz w:val="22"/>
                <w:szCs w:val="22"/>
                <w:lang w:val="en-US" w:eastAsia="zh-CN" w:bidi="ar-SA"/>
              </w:rPr>
            </w:pPr>
          </w:p>
        </w:tc>
        <w:tc>
          <w:tcPr>
            <w:tcW w:w="1866" w:type="dxa"/>
            <w:tcBorders>
              <w:top w:val="nil"/>
              <w:left w:val="nil"/>
              <w:bottom w:val="single" w:color="auto" w:sz="4" w:space="0"/>
              <w:right w:val="single" w:color="auto" w:sz="4" w:space="0"/>
            </w:tcBorders>
            <w:vAlign w:val="center"/>
          </w:tcPr>
          <w:p>
            <w:pPr>
              <w:widowControl/>
              <w:tabs>
                <w:tab w:val="left" w:pos="300"/>
              </w:tabs>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w:t>
            </w: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社会保障和就业支出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行政事业单位养老支出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行政单位离退休</w:t>
            </w:r>
          </w:p>
        </w:tc>
        <w:tc>
          <w:tcPr>
            <w:tcW w:w="1828" w:type="dxa"/>
            <w:tcBorders>
              <w:top w:val="nil"/>
              <w:left w:val="nil"/>
              <w:bottom w:val="single" w:color="auto" w:sz="4" w:space="0"/>
              <w:right w:val="single" w:color="auto" w:sz="4" w:space="0"/>
            </w:tcBorders>
            <w:vAlign w:val="center"/>
          </w:tcPr>
          <w:p>
            <w:pPr>
              <w:widowControl/>
              <w:tabs>
                <w:tab w:val="left" w:pos="384"/>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0.3</w:t>
            </w:r>
          </w:p>
        </w:tc>
        <w:tc>
          <w:tcPr>
            <w:tcW w:w="1829" w:type="dxa"/>
            <w:tcBorders>
              <w:top w:val="nil"/>
              <w:left w:val="nil"/>
              <w:bottom w:val="single" w:color="auto" w:sz="4" w:space="0"/>
              <w:right w:val="single" w:color="auto" w:sz="4" w:space="0"/>
            </w:tcBorders>
            <w:vAlign w:val="center"/>
          </w:tcPr>
          <w:p>
            <w:pPr>
              <w:widowControl/>
              <w:tabs>
                <w:tab w:val="left" w:pos="276"/>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0.3</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机关事业单位基本养老保险</w:t>
            </w:r>
          </w:p>
        </w:tc>
        <w:tc>
          <w:tcPr>
            <w:tcW w:w="1828" w:type="dxa"/>
            <w:tcBorders>
              <w:top w:val="nil"/>
              <w:left w:val="nil"/>
              <w:bottom w:val="single" w:color="auto" w:sz="4" w:space="0"/>
              <w:right w:val="single" w:color="auto" w:sz="4" w:space="0"/>
            </w:tcBorders>
            <w:vAlign w:val="center"/>
          </w:tcPr>
          <w:p>
            <w:pPr>
              <w:widowControl/>
              <w:tabs>
                <w:tab w:val="left" w:pos="384"/>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3.5</w:t>
            </w:r>
          </w:p>
        </w:tc>
        <w:tc>
          <w:tcPr>
            <w:tcW w:w="1829" w:type="dxa"/>
            <w:tcBorders>
              <w:top w:val="nil"/>
              <w:left w:val="nil"/>
              <w:bottom w:val="single" w:color="auto" w:sz="4" w:space="0"/>
              <w:right w:val="single" w:color="auto" w:sz="4" w:space="0"/>
            </w:tcBorders>
            <w:vAlign w:val="center"/>
          </w:tcPr>
          <w:p>
            <w:pPr>
              <w:widowControl/>
              <w:tabs>
                <w:tab w:val="left" w:pos="276"/>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3.5</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卫生健康支出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行政事业单位医疗</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行政单位医疗</w:t>
            </w:r>
          </w:p>
        </w:tc>
        <w:tc>
          <w:tcPr>
            <w:tcW w:w="1828" w:type="dxa"/>
            <w:tcBorders>
              <w:top w:val="nil"/>
              <w:left w:val="nil"/>
              <w:bottom w:val="single" w:color="auto" w:sz="4" w:space="0"/>
              <w:right w:val="single" w:color="auto" w:sz="4" w:space="0"/>
            </w:tcBorders>
            <w:vAlign w:val="center"/>
          </w:tcPr>
          <w:p>
            <w:pPr>
              <w:widowControl/>
              <w:tabs>
                <w:tab w:val="left" w:pos="312"/>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2.08</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2.08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公务员医疗补助</w:t>
            </w:r>
          </w:p>
        </w:tc>
        <w:tc>
          <w:tcPr>
            <w:tcW w:w="1828" w:type="dxa"/>
            <w:tcBorders>
              <w:top w:val="nil"/>
              <w:left w:val="nil"/>
              <w:bottom w:val="single" w:color="auto" w:sz="4" w:space="0"/>
              <w:right w:val="single" w:color="auto" w:sz="4" w:space="0"/>
            </w:tcBorders>
            <w:vAlign w:val="center"/>
          </w:tcPr>
          <w:p>
            <w:pPr>
              <w:widowControl/>
              <w:tabs>
                <w:tab w:val="left" w:pos="336"/>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0.66</w:t>
            </w:r>
          </w:p>
        </w:tc>
        <w:tc>
          <w:tcPr>
            <w:tcW w:w="1829" w:type="dxa"/>
            <w:tcBorders>
              <w:top w:val="nil"/>
              <w:left w:val="nil"/>
              <w:bottom w:val="single" w:color="auto" w:sz="4" w:space="0"/>
              <w:right w:val="single" w:color="auto" w:sz="4" w:space="0"/>
            </w:tcBorders>
            <w:vAlign w:val="center"/>
          </w:tcPr>
          <w:p>
            <w:pPr>
              <w:widowControl/>
              <w:tabs>
                <w:tab w:val="left" w:pos="264"/>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0.66</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其他行政事业单位医疗支出</w:t>
            </w:r>
          </w:p>
        </w:tc>
        <w:tc>
          <w:tcPr>
            <w:tcW w:w="1828" w:type="dxa"/>
            <w:tcBorders>
              <w:top w:val="nil"/>
              <w:left w:val="nil"/>
              <w:bottom w:val="single" w:color="auto" w:sz="4" w:space="0"/>
              <w:right w:val="single" w:color="auto" w:sz="4" w:space="0"/>
            </w:tcBorders>
            <w:vAlign w:val="center"/>
          </w:tcPr>
          <w:p>
            <w:pPr>
              <w:widowControl/>
              <w:tabs>
                <w:tab w:val="left" w:pos="288"/>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0.04</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0.04</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住房改革支出</w:t>
            </w:r>
          </w:p>
        </w:tc>
        <w:tc>
          <w:tcPr>
            <w:tcW w:w="1828"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4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住房公积金</w:t>
            </w:r>
          </w:p>
        </w:tc>
        <w:tc>
          <w:tcPr>
            <w:tcW w:w="1828" w:type="dxa"/>
            <w:tcBorders>
              <w:top w:val="nil"/>
              <w:left w:val="nil"/>
              <w:bottom w:val="single" w:color="auto" w:sz="4" w:space="0"/>
              <w:right w:val="single" w:color="auto" w:sz="4" w:space="0"/>
            </w:tcBorders>
            <w:vAlign w:val="center"/>
          </w:tcPr>
          <w:p>
            <w:pPr>
              <w:widowControl/>
              <w:tabs>
                <w:tab w:val="left" w:pos="360"/>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3.28</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3.28</w:t>
            </w:r>
          </w:p>
        </w:tc>
        <w:tc>
          <w:tcPr>
            <w:tcW w:w="186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8" w:type="dxa"/>
            <w:tcBorders>
              <w:top w:val="nil"/>
              <w:left w:val="nil"/>
              <w:bottom w:val="single" w:color="auto" w:sz="4" w:space="0"/>
              <w:right w:val="single" w:color="auto" w:sz="4" w:space="0"/>
            </w:tcBorders>
            <w:vAlign w:val="center"/>
          </w:tcPr>
          <w:p>
            <w:pPr>
              <w:widowControl/>
              <w:tabs>
                <w:tab w:val="left" w:pos="444"/>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57.86</w:t>
            </w:r>
          </w:p>
        </w:tc>
        <w:tc>
          <w:tcPr>
            <w:tcW w:w="182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bidi="ar-SA"/>
              </w:rPr>
              <w:t>39.86</w:t>
            </w:r>
          </w:p>
        </w:tc>
        <w:tc>
          <w:tcPr>
            <w:tcW w:w="186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w:t>
            </w: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eastAsia="zh-CN"/>
        </w:rPr>
        <w:t>民盟昌吉市委会</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tabs>
                <w:tab w:val="left" w:pos="332"/>
              </w:tabs>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57.86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48.01</w:t>
            </w: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48.01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tabs>
                <w:tab w:val="left" w:pos="284"/>
              </w:tabs>
              <w:spacing w:line="280" w:lineRule="exact"/>
              <w:jc w:val="center"/>
              <w:rPr>
                <w:rFonts w:hint="eastAsia" w:ascii="宋体" w:hAnsi="宋体" w:eastAsia="宋体" w:cs="宋体"/>
                <w:b/>
                <w:bCs/>
                <w:color w:val="000000"/>
                <w:kern w:val="0"/>
                <w:sz w:val="22"/>
                <w:szCs w:val="22"/>
                <w:lang w:eastAsia="zh-CN"/>
              </w:rPr>
            </w:pPr>
            <w:r>
              <w:rPr>
                <w:rFonts w:hint="eastAsia" w:ascii="宋体" w:hAnsi="宋体" w:cs="宋体"/>
                <w:b/>
                <w:bCs/>
                <w:color w:val="000000"/>
                <w:kern w:val="0"/>
                <w:sz w:val="22"/>
                <w:szCs w:val="22"/>
                <w:lang w:val="en-US" w:eastAsia="zh-CN"/>
              </w:rPr>
              <w:t>57.86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3.8</w:t>
            </w: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3.8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tabs>
                <w:tab w:val="left" w:pos="270"/>
              </w:tabs>
              <w:spacing w:line="28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2.77</w:t>
            </w:r>
          </w:p>
        </w:tc>
        <w:tc>
          <w:tcPr>
            <w:tcW w:w="851" w:type="dxa"/>
            <w:tcBorders>
              <w:top w:val="nil"/>
              <w:left w:val="nil"/>
              <w:bottom w:val="single" w:color="auto" w:sz="4" w:space="0"/>
              <w:right w:val="single" w:color="auto" w:sz="4" w:space="0"/>
            </w:tcBorders>
            <w:vAlign w:val="center"/>
          </w:tcPr>
          <w:p>
            <w:pPr>
              <w:widowControl/>
              <w:tabs>
                <w:tab w:val="left" w:pos="270"/>
              </w:tabs>
              <w:spacing w:line="28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2.77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tabs>
                <w:tab w:val="left" w:pos="222"/>
              </w:tabs>
              <w:spacing w:line="28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3.28</w:t>
            </w:r>
          </w:p>
        </w:tc>
        <w:tc>
          <w:tcPr>
            <w:tcW w:w="851" w:type="dxa"/>
            <w:tcBorders>
              <w:top w:val="nil"/>
              <w:left w:val="nil"/>
              <w:bottom w:val="single" w:color="auto" w:sz="4" w:space="0"/>
              <w:right w:val="single" w:color="auto" w:sz="4" w:space="0"/>
            </w:tcBorders>
            <w:vAlign w:val="center"/>
          </w:tcPr>
          <w:p>
            <w:pPr>
              <w:widowControl/>
              <w:tabs>
                <w:tab w:val="left" w:pos="222"/>
              </w:tabs>
              <w:spacing w:line="28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3.28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kern w:val="0"/>
                <w:sz w:val="18"/>
                <w:szCs w:val="18"/>
                <w:lang w:val="en-US" w:eastAsia="zh-CN" w:bidi="ar-SA"/>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宋体" w:hAnsi="宋体" w:cs="宋体"/>
                <w:b/>
                <w:bCs/>
                <w:color w:val="000000"/>
                <w:kern w:val="0"/>
                <w:sz w:val="22"/>
                <w:szCs w:val="22"/>
                <w:lang w:val="en-US" w:eastAsia="zh-CN"/>
              </w:rPr>
              <w:t>57.86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tabs>
                <w:tab w:val="left" w:pos="318"/>
              </w:tabs>
              <w:spacing w:line="28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57.86</w:t>
            </w:r>
          </w:p>
        </w:tc>
        <w:tc>
          <w:tcPr>
            <w:tcW w:w="851" w:type="dxa"/>
            <w:tcBorders>
              <w:top w:val="nil"/>
              <w:left w:val="nil"/>
              <w:bottom w:val="single" w:color="auto" w:sz="4" w:space="0"/>
              <w:right w:val="single" w:color="auto" w:sz="4" w:space="0"/>
            </w:tcBorders>
            <w:vAlign w:val="center"/>
          </w:tcPr>
          <w:p>
            <w:pPr>
              <w:widowControl/>
              <w:tabs>
                <w:tab w:val="left" w:pos="318"/>
              </w:tabs>
              <w:spacing w:line="280" w:lineRule="exact"/>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57.86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民盟昌吉市委会</w:t>
            </w:r>
            <w:r>
              <w:rPr>
                <w:rFonts w:hint="eastAsia" w:ascii="仿宋_GB2312" w:hAnsi="宋体" w:eastAsia="仿宋_GB2312"/>
                <w:kern w:val="0"/>
                <w:sz w:val="24"/>
              </w:rPr>
              <w:t xml:space="preserve">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一般公共服务支出</w:t>
            </w:r>
          </w:p>
        </w:tc>
        <w:tc>
          <w:tcPr>
            <w:tcW w:w="1684" w:type="dxa"/>
            <w:gridSpan w:val="2"/>
            <w:tcBorders>
              <w:top w:val="nil"/>
              <w:left w:val="nil"/>
              <w:bottom w:val="single" w:color="auto" w:sz="4" w:space="0"/>
              <w:right w:val="single" w:color="auto" w:sz="4" w:space="0"/>
            </w:tcBorders>
            <w:vAlign w:val="center"/>
          </w:tcPr>
          <w:p>
            <w:pPr>
              <w:widowControl/>
              <w:tabs>
                <w:tab w:val="left" w:pos="372"/>
              </w:tabs>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53.01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35.01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民主党派及工商联事务</w:t>
            </w:r>
          </w:p>
        </w:tc>
        <w:tc>
          <w:tcPr>
            <w:tcW w:w="1684" w:type="dxa"/>
            <w:gridSpan w:val="2"/>
            <w:tcBorders>
              <w:top w:val="nil"/>
              <w:left w:val="nil"/>
              <w:bottom w:val="single" w:color="auto" w:sz="4" w:space="0"/>
              <w:right w:val="single" w:color="auto" w:sz="4" w:space="0"/>
            </w:tcBorders>
            <w:vAlign w:val="center"/>
          </w:tcPr>
          <w:p>
            <w:pPr>
              <w:widowControl/>
              <w:tabs>
                <w:tab w:val="left" w:pos="372"/>
              </w:tabs>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53.01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35.01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行政运行</w:t>
            </w:r>
          </w:p>
        </w:tc>
        <w:tc>
          <w:tcPr>
            <w:tcW w:w="1684" w:type="dxa"/>
            <w:gridSpan w:val="2"/>
            <w:tcBorders>
              <w:top w:val="nil"/>
              <w:left w:val="nil"/>
              <w:bottom w:val="single" w:color="auto" w:sz="4" w:space="0"/>
              <w:right w:val="single" w:color="auto" w:sz="4" w:space="0"/>
            </w:tcBorders>
            <w:vAlign w:val="center"/>
          </w:tcPr>
          <w:p>
            <w:pPr>
              <w:widowControl/>
              <w:tabs>
                <w:tab w:val="left" w:pos="372"/>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30.01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30.01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一般行政管理事务</w:t>
            </w:r>
          </w:p>
        </w:tc>
        <w:tc>
          <w:tcPr>
            <w:tcW w:w="1684" w:type="dxa"/>
            <w:gridSpan w:val="2"/>
            <w:tcBorders>
              <w:top w:val="nil"/>
              <w:left w:val="nil"/>
              <w:bottom w:val="single" w:color="auto" w:sz="4" w:space="0"/>
              <w:right w:val="single" w:color="auto" w:sz="4" w:space="0"/>
            </w:tcBorders>
            <w:vAlign w:val="center"/>
          </w:tcPr>
          <w:p>
            <w:pPr>
              <w:widowControl/>
              <w:tabs>
                <w:tab w:val="left" w:pos="360"/>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14</w:t>
            </w:r>
          </w:p>
        </w:tc>
        <w:tc>
          <w:tcPr>
            <w:tcW w:w="1842" w:type="dxa"/>
            <w:gridSpan w:val="2"/>
            <w:tcBorders>
              <w:top w:val="nil"/>
              <w:left w:val="nil"/>
              <w:bottom w:val="single" w:color="auto" w:sz="4" w:space="0"/>
              <w:right w:val="single" w:color="auto" w:sz="4" w:space="0"/>
            </w:tcBorders>
            <w:vAlign w:val="center"/>
          </w:tcPr>
          <w:p>
            <w:pPr>
              <w:widowControl/>
              <w:tabs>
                <w:tab w:val="left" w:pos="240"/>
              </w:tabs>
              <w:spacing w:line="280" w:lineRule="exact"/>
              <w:jc w:val="center"/>
              <w:rPr>
                <w:rFonts w:hint="default" w:ascii="宋体" w:hAnsi="宋体" w:eastAsia="宋体" w:cs="宋体"/>
                <w:b/>
                <w:bCs/>
                <w:color w:val="000000"/>
                <w:kern w:val="0"/>
                <w:sz w:val="22"/>
                <w:szCs w:val="22"/>
                <w:lang w:val="en-US" w:eastAsia="zh-CN" w:bidi="ar-SA"/>
              </w:rPr>
            </w:pPr>
          </w:p>
        </w:tc>
        <w:tc>
          <w:tcPr>
            <w:tcW w:w="1701" w:type="dxa"/>
            <w:tcBorders>
              <w:top w:val="nil"/>
              <w:left w:val="nil"/>
              <w:bottom w:val="single" w:color="auto" w:sz="4" w:space="0"/>
              <w:right w:val="single" w:color="auto" w:sz="4" w:space="0"/>
            </w:tcBorders>
            <w:vAlign w:val="center"/>
          </w:tcPr>
          <w:p>
            <w:pPr>
              <w:widowControl/>
              <w:tabs>
                <w:tab w:val="left" w:pos="240"/>
              </w:tabs>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14</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04</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参政议政</w:t>
            </w:r>
          </w:p>
        </w:tc>
        <w:tc>
          <w:tcPr>
            <w:tcW w:w="1684" w:type="dxa"/>
            <w:gridSpan w:val="2"/>
            <w:tcBorders>
              <w:top w:val="nil"/>
              <w:left w:val="nil"/>
              <w:bottom w:val="single" w:color="auto" w:sz="4" w:space="0"/>
              <w:right w:val="single" w:color="auto" w:sz="4" w:space="0"/>
            </w:tcBorders>
            <w:vAlign w:val="center"/>
          </w:tcPr>
          <w:p>
            <w:pPr>
              <w:widowControl/>
              <w:tabs>
                <w:tab w:val="left" w:pos="312"/>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w:t>
            </w:r>
          </w:p>
        </w:tc>
        <w:tc>
          <w:tcPr>
            <w:tcW w:w="1842" w:type="dxa"/>
            <w:gridSpan w:val="2"/>
            <w:tcBorders>
              <w:top w:val="nil"/>
              <w:left w:val="nil"/>
              <w:bottom w:val="single" w:color="auto" w:sz="4" w:space="0"/>
              <w:right w:val="single" w:color="auto" w:sz="4" w:space="0"/>
            </w:tcBorders>
            <w:vAlign w:val="center"/>
          </w:tcPr>
          <w:p>
            <w:pPr>
              <w:widowControl/>
              <w:tabs>
                <w:tab w:val="left" w:pos="300"/>
              </w:tabs>
              <w:spacing w:line="280" w:lineRule="exact"/>
              <w:jc w:val="center"/>
              <w:rPr>
                <w:rFonts w:hint="default" w:ascii="宋体" w:hAnsi="宋体" w:eastAsia="宋体" w:cs="宋体"/>
                <w:b/>
                <w:bCs/>
                <w:color w:val="000000"/>
                <w:kern w:val="0"/>
                <w:sz w:val="22"/>
                <w:szCs w:val="22"/>
                <w:lang w:val="en-US" w:eastAsia="zh-CN" w:bidi="ar-SA"/>
              </w:rPr>
            </w:pPr>
          </w:p>
        </w:tc>
        <w:tc>
          <w:tcPr>
            <w:tcW w:w="1701" w:type="dxa"/>
            <w:tcBorders>
              <w:top w:val="nil"/>
              <w:left w:val="nil"/>
              <w:bottom w:val="single" w:color="auto" w:sz="4" w:space="0"/>
              <w:right w:val="single" w:color="auto" w:sz="4" w:space="0"/>
            </w:tcBorders>
            <w:vAlign w:val="center"/>
          </w:tcPr>
          <w:p>
            <w:pPr>
              <w:widowControl/>
              <w:tabs>
                <w:tab w:val="left" w:pos="300"/>
              </w:tabs>
              <w:spacing w:line="280" w:lineRule="exact"/>
              <w:jc w:val="center"/>
              <w:rPr>
                <w:rFonts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行政单位离退休</w:t>
            </w:r>
          </w:p>
        </w:tc>
        <w:tc>
          <w:tcPr>
            <w:tcW w:w="1684" w:type="dxa"/>
            <w:gridSpan w:val="2"/>
            <w:tcBorders>
              <w:top w:val="nil"/>
              <w:left w:val="nil"/>
              <w:bottom w:val="single" w:color="auto" w:sz="4" w:space="0"/>
              <w:right w:val="single" w:color="auto" w:sz="4" w:space="0"/>
            </w:tcBorders>
            <w:vAlign w:val="center"/>
          </w:tcPr>
          <w:p>
            <w:pPr>
              <w:widowControl/>
              <w:tabs>
                <w:tab w:val="left" w:pos="384"/>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0.3</w:t>
            </w:r>
          </w:p>
        </w:tc>
        <w:tc>
          <w:tcPr>
            <w:tcW w:w="1842" w:type="dxa"/>
            <w:gridSpan w:val="2"/>
            <w:tcBorders>
              <w:top w:val="nil"/>
              <w:left w:val="nil"/>
              <w:bottom w:val="single" w:color="auto" w:sz="4" w:space="0"/>
              <w:right w:val="single" w:color="auto" w:sz="4" w:space="0"/>
            </w:tcBorders>
            <w:vAlign w:val="center"/>
          </w:tcPr>
          <w:p>
            <w:pPr>
              <w:widowControl/>
              <w:tabs>
                <w:tab w:val="left" w:pos="276"/>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机关事业单位基本养老保险</w:t>
            </w:r>
          </w:p>
        </w:tc>
        <w:tc>
          <w:tcPr>
            <w:tcW w:w="1684" w:type="dxa"/>
            <w:gridSpan w:val="2"/>
            <w:tcBorders>
              <w:top w:val="nil"/>
              <w:left w:val="nil"/>
              <w:bottom w:val="single" w:color="auto" w:sz="4" w:space="0"/>
              <w:right w:val="single" w:color="auto" w:sz="4" w:space="0"/>
            </w:tcBorders>
            <w:vAlign w:val="center"/>
          </w:tcPr>
          <w:p>
            <w:pPr>
              <w:widowControl/>
              <w:tabs>
                <w:tab w:val="left" w:pos="384"/>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3.5</w:t>
            </w:r>
          </w:p>
        </w:tc>
        <w:tc>
          <w:tcPr>
            <w:tcW w:w="1842" w:type="dxa"/>
            <w:gridSpan w:val="2"/>
            <w:tcBorders>
              <w:top w:val="nil"/>
              <w:left w:val="nil"/>
              <w:bottom w:val="single" w:color="auto" w:sz="4" w:space="0"/>
              <w:right w:val="single" w:color="auto" w:sz="4" w:space="0"/>
            </w:tcBorders>
            <w:vAlign w:val="center"/>
          </w:tcPr>
          <w:p>
            <w:pPr>
              <w:widowControl/>
              <w:tabs>
                <w:tab w:val="left" w:pos="276"/>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2.77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行政单位医疗</w:t>
            </w:r>
          </w:p>
        </w:tc>
        <w:tc>
          <w:tcPr>
            <w:tcW w:w="1684" w:type="dxa"/>
            <w:gridSpan w:val="2"/>
            <w:tcBorders>
              <w:top w:val="nil"/>
              <w:left w:val="nil"/>
              <w:bottom w:val="single" w:color="auto" w:sz="4" w:space="0"/>
              <w:right w:val="single" w:color="auto" w:sz="4" w:space="0"/>
            </w:tcBorders>
            <w:vAlign w:val="center"/>
          </w:tcPr>
          <w:p>
            <w:pPr>
              <w:widowControl/>
              <w:tabs>
                <w:tab w:val="left" w:pos="312"/>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2.08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2.08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tabs>
                <w:tab w:val="left" w:pos="336"/>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0.66</w:t>
            </w:r>
          </w:p>
        </w:tc>
        <w:tc>
          <w:tcPr>
            <w:tcW w:w="1842" w:type="dxa"/>
            <w:gridSpan w:val="2"/>
            <w:tcBorders>
              <w:top w:val="nil"/>
              <w:left w:val="nil"/>
              <w:bottom w:val="single" w:color="auto" w:sz="4" w:space="0"/>
              <w:right w:val="single" w:color="auto" w:sz="4" w:space="0"/>
            </w:tcBorders>
            <w:vAlign w:val="center"/>
          </w:tcPr>
          <w:p>
            <w:pPr>
              <w:widowControl/>
              <w:tabs>
                <w:tab w:val="left" w:pos="264"/>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0.66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tabs>
                <w:tab w:val="left" w:pos="288"/>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0.04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0.04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住房改革支出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eastAsia="zh-CN"/>
              </w:rPr>
              <w:t>住房公积金</w:t>
            </w:r>
          </w:p>
        </w:tc>
        <w:tc>
          <w:tcPr>
            <w:tcW w:w="1684" w:type="dxa"/>
            <w:gridSpan w:val="2"/>
            <w:tcBorders>
              <w:top w:val="nil"/>
              <w:left w:val="nil"/>
              <w:bottom w:val="single" w:color="auto" w:sz="4" w:space="0"/>
              <w:right w:val="single" w:color="auto" w:sz="4" w:space="0"/>
            </w:tcBorders>
            <w:vAlign w:val="center"/>
          </w:tcPr>
          <w:p>
            <w:pPr>
              <w:widowControl/>
              <w:tabs>
                <w:tab w:val="left" w:pos="360"/>
              </w:tabs>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3.28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3.28</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b/>
                <w:bCs/>
                <w:color w:val="000000"/>
                <w:kern w:val="0"/>
                <w:sz w:val="22"/>
                <w:szCs w:val="22"/>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tabs>
                <w:tab w:val="left" w:pos="444"/>
              </w:tabs>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57.86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bidi="ar-SA"/>
              </w:rPr>
              <w:t>39.86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18</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民盟昌吉市委会</w:t>
            </w:r>
            <w:r>
              <w:rPr>
                <w:rFonts w:hint="eastAsia" w:ascii="仿宋_GB2312" w:hAnsi="宋体" w:eastAsia="仿宋_GB2312"/>
                <w:kern w:val="0"/>
                <w:sz w:val="24"/>
              </w:rPr>
              <w:t xml:space="preserve">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tabs>
                <w:tab w:val="left" w:pos="579"/>
              </w:tabs>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31.75</w:t>
            </w:r>
          </w:p>
        </w:tc>
        <w:tc>
          <w:tcPr>
            <w:tcW w:w="1701" w:type="dxa"/>
            <w:gridSpan w:val="2"/>
            <w:tcBorders>
              <w:top w:val="nil"/>
              <w:left w:val="nil"/>
              <w:bottom w:val="single" w:color="auto" w:sz="4" w:space="0"/>
              <w:right w:val="single" w:color="auto" w:sz="4" w:space="0"/>
            </w:tcBorders>
            <w:vAlign w:val="center"/>
          </w:tcPr>
          <w:p>
            <w:pPr>
              <w:widowControl/>
              <w:tabs>
                <w:tab w:val="left" w:pos="579"/>
              </w:tabs>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31.75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基本工资</w:t>
            </w:r>
          </w:p>
        </w:tc>
        <w:tc>
          <w:tcPr>
            <w:tcW w:w="1701" w:type="dxa"/>
            <w:gridSpan w:val="2"/>
            <w:tcBorders>
              <w:top w:val="nil"/>
              <w:left w:val="nil"/>
              <w:bottom w:val="single" w:color="auto" w:sz="4" w:space="0"/>
              <w:right w:val="single" w:color="auto" w:sz="4" w:space="0"/>
            </w:tcBorders>
            <w:vAlign w:val="center"/>
          </w:tcPr>
          <w:p>
            <w:pPr>
              <w:widowControl/>
              <w:tabs>
                <w:tab w:val="left" w:pos="579"/>
              </w:tabs>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31.75</w:t>
            </w:r>
          </w:p>
        </w:tc>
        <w:tc>
          <w:tcPr>
            <w:tcW w:w="1701" w:type="dxa"/>
            <w:gridSpan w:val="2"/>
            <w:tcBorders>
              <w:top w:val="nil"/>
              <w:left w:val="nil"/>
              <w:bottom w:val="single" w:color="auto" w:sz="4" w:space="0"/>
              <w:right w:val="single" w:color="auto" w:sz="4" w:space="0"/>
            </w:tcBorders>
            <w:vAlign w:val="center"/>
          </w:tcPr>
          <w:p>
            <w:pPr>
              <w:widowControl/>
              <w:tabs>
                <w:tab w:val="left" w:pos="579"/>
              </w:tabs>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31.75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9.68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9.68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both"/>
              <w:rPr>
                <w:rFonts w:hint="eastAsia" w:ascii="宋体" w:hAnsi="宋体" w:eastAsia="宋体" w:cs="宋体"/>
                <w:color w:val="000000"/>
                <w:kern w:val="0"/>
                <w:sz w:val="20"/>
                <w:szCs w:val="20"/>
                <w:lang w:eastAsia="zh-CN"/>
              </w:rPr>
            </w:pPr>
            <w:r>
              <w:rPr>
                <w:rFonts w:hint="eastAsia" w:ascii="仿宋_GB2312" w:hAnsi="宋体" w:eastAsia="仿宋_GB2312" w:cs="宋体"/>
                <w:color w:val="000000"/>
                <w:kern w:val="0"/>
                <w:sz w:val="20"/>
                <w:szCs w:val="20"/>
                <w:lang w:eastAsia="zh-CN"/>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0.79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3.50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10</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城镇职工基本医疗保险缴费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2.08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0.66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0.04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3.28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3.28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4.21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4.21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2.16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0.12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0.18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公务接待费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26</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0.41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0.37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0.72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tabs>
                <w:tab w:val="left" w:pos="591"/>
              </w:tabs>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3.90</w:t>
            </w:r>
          </w:p>
        </w:tc>
        <w:tc>
          <w:tcPr>
            <w:tcW w:w="1701" w:type="dxa"/>
            <w:gridSpan w:val="2"/>
            <w:tcBorders>
              <w:top w:val="nil"/>
              <w:left w:val="nil"/>
              <w:bottom w:val="single" w:color="auto" w:sz="4" w:space="0"/>
              <w:right w:val="single" w:color="auto" w:sz="4" w:space="0"/>
            </w:tcBorders>
            <w:vAlign w:val="center"/>
          </w:tcPr>
          <w:p>
            <w:pPr>
              <w:widowControl/>
              <w:tabs>
                <w:tab w:val="left" w:pos="591"/>
              </w:tabs>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3.90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离休费</w:t>
            </w:r>
          </w:p>
        </w:tc>
        <w:tc>
          <w:tcPr>
            <w:tcW w:w="1701" w:type="dxa"/>
            <w:gridSpan w:val="2"/>
            <w:tcBorders>
              <w:top w:val="nil"/>
              <w:left w:val="nil"/>
              <w:bottom w:val="single" w:color="auto" w:sz="4" w:space="0"/>
              <w:right w:val="single" w:color="auto" w:sz="4" w:space="0"/>
            </w:tcBorders>
            <w:vAlign w:val="center"/>
          </w:tcPr>
          <w:p>
            <w:pPr>
              <w:widowControl/>
              <w:tabs>
                <w:tab w:val="left" w:pos="591"/>
              </w:tabs>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0.30</w:t>
            </w:r>
          </w:p>
        </w:tc>
        <w:tc>
          <w:tcPr>
            <w:tcW w:w="1701" w:type="dxa"/>
            <w:gridSpan w:val="2"/>
            <w:tcBorders>
              <w:top w:val="nil"/>
              <w:left w:val="nil"/>
              <w:bottom w:val="single" w:color="auto" w:sz="4" w:space="0"/>
              <w:right w:val="single" w:color="auto" w:sz="4" w:space="0"/>
            </w:tcBorders>
            <w:vAlign w:val="center"/>
          </w:tcPr>
          <w:p>
            <w:pPr>
              <w:widowControl/>
              <w:tabs>
                <w:tab w:val="left" w:pos="591"/>
              </w:tabs>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0.30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医疗费补助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3.19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0.41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0.41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39.86</w:t>
            </w:r>
          </w:p>
        </w:tc>
        <w:tc>
          <w:tcPr>
            <w:tcW w:w="1701" w:type="dxa"/>
            <w:gridSpan w:val="2"/>
            <w:tcBorders>
              <w:top w:val="nil"/>
              <w:left w:val="nil"/>
              <w:bottom w:val="single" w:color="auto" w:sz="4" w:space="0"/>
              <w:right w:val="single" w:color="auto" w:sz="4" w:space="0"/>
            </w:tcBorders>
            <w:vAlign w:val="center"/>
          </w:tcPr>
          <w:p>
            <w:pPr>
              <w:widowControl/>
              <w:tabs>
                <w:tab w:val="left" w:pos="582"/>
              </w:tabs>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35.65</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4.21</w:t>
            </w: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10"/>
        <w:gridCol w:w="506"/>
        <w:gridCol w:w="416"/>
        <w:gridCol w:w="416"/>
        <w:gridCol w:w="1172"/>
        <w:gridCol w:w="995"/>
        <w:gridCol w:w="723"/>
        <w:gridCol w:w="110"/>
        <w:gridCol w:w="439"/>
        <w:gridCol w:w="636"/>
        <w:gridCol w:w="623"/>
        <w:gridCol w:w="623"/>
        <w:gridCol w:w="378"/>
        <w:gridCol w:w="200"/>
        <w:gridCol w:w="417"/>
        <w:gridCol w:w="578"/>
        <w:gridCol w:w="418"/>
        <w:gridCol w:w="418"/>
        <w:gridCol w:w="386"/>
        <w:gridCol w:w="76"/>
      </w:tblGrid>
      <w:tr>
        <w:tblPrEx>
          <w:tblCellMar>
            <w:top w:w="0" w:type="dxa"/>
            <w:left w:w="108" w:type="dxa"/>
            <w:bottom w:w="0" w:type="dxa"/>
            <w:right w:w="108" w:type="dxa"/>
          </w:tblCellMar>
        </w:tblPrEx>
        <w:trPr>
          <w:gridBefore w:val="1"/>
          <w:gridAfter w:val="1"/>
          <w:wBefore w:w="10" w:type="dxa"/>
          <w:wAfter w:w="76" w:type="dxa"/>
          <w:trHeight w:val="375" w:hRule="atLeast"/>
        </w:trPr>
        <w:tc>
          <w:tcPr>
            <w:tcW w:w="9454"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10" w:type="dxa"/>
          <w:wAfter w:w="76" w:type="dxa"/>
          <w:trHeight w:val="405" w:hRule="atLeast"/>
        </w:trPr>
        <w:tc>
          <w:tcPr>
            <w:tcW w:w="4338"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民盟昌吉市委会</w:t>
            </w:r>
            <w:r>
              <w:rPr>
                <w:rFonts w:hint="eastAsia" w:ascii="仿宋_GB2312" w:hAnsi="宋体" w:eastAsia="仿宋_GB2312"/>
                <w:kern w:val="0"/>
                <w:sz w:val="24"/>
              </w:rPr>
              <w:t xml:space="preserve"> </w:t>
            </w:r>
          </w:p>
        </w:tc>
        <w:tc>
          <w:tcPr>
            <w:tcW w:w="107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2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17"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4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7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99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2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4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2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2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2"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72"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99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4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2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2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2"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16" w:type="dxa"/>
            <w:vAlign w:val="center"/>
          </w:tcPr>
          <w:p>
            <w:pPr>
              <w:jc w:val="center"/>
              <w:rPr>
                <w:rFonts w:hint="eastAsia" w:ascii="仿宋_GB2312" w:hAnsi="宋体" w:eastAsia="仿宋_GB2312" w:cs="宋体"/>
                <w:color w:val="000000"/>
                <w:sz w:val="20"/>
                <w:szCs w:val="20"/>
                <w:lang w:val="en-US" w:eastAsia="zh-CN"/>
              </w:rPr>
            </w:pPr>
          </w:p>
        </w:tc>
        <w:tc>
          <w:tcPr>
            <w:tcW w:w="416" w:type="dxa"/>
            <w:vAlign w:val="center"/>
          </w:tcPr>
          <w:p>
            <w:pPr>
              <w:jc w:val="center"/>
              <w:rPr>
                <w:rFonts w:hint="eastAsia" w:ascii="仿宋_GB2312" w:hAnsi="宋体" w:eastAsia="仿宋_GB2312" w:cs="宋体"/>
                <w:color w:val="000000"/>
                <w:sz w:val="20"/>
                <w:szCs w:val="20"/>
                <w:lang w:val="en-US" w:eastAsia="zh-CN"/>
              </w:rPr>
            </w:pPr>
          </w:p>
        </w:tc>
        <w:tc>
          <w:tcPr>
            <w:tcW w:w="1172" w:type="dxa"/>
            <w:vAlign w:val="center"/>
          </w:tcPr>
          <w:p>
            <w:pPr>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sz w:val="20"/>
                <w:szCs w:val="20"/>
                <w:lang w:val="en-US" w:eastAsia="zh-CN"/>
              </w:rPr>
              <w:t>一般公共服务支出</w:t>
            </w:r>
          </w:p>
        </w:tc>
        <w:tc>
          <w:tcPr>
            <w:tcW w:w="995" w:type="dxa"/>
          </w:tcPr>
          <w:p>
            <w:pPr>
              <w:bidi w:val="0"/>
              <w:jc w:val="left"/>
              <w:rPr>
                <w:rFonts w:hint="eastAsia" w:cs="Times New Roman"/>
                <w:kern w:val="2"/>
                <w:sz w:val="21"/>
                <w:szCs w:val="24"/>
                <w:lang w:val="en-US" w:eastAsia="zh-CN" w:bidi="ar-SA"/>
              </w:rPr>
            </w:pPr>
          </w:p>
        </w:tc>
        <w:tc>
          <w:tcPr>
            <w:tcW w:w="723" w:type="dxa"/>
          </w:tcPr>
          <w:p>
            <w:pPr>
              <w:bidi w:val="0"/>
              <w:ind w:firstLine="210" w:firstLineChars="100"/>
              <w:jc w:val="both"/>
              <w:rPr>
                <w:rFonts w:hint="eastAsia" w:cs="Times New Roman"/>
                <w:kern w:val="2"/>
                <w:sz w:val="21"/>
                <w:szCs w:val="24"/>
                <w:lang w:val="en-US" w:eastAsia="zh-CN" w:bidi="ar-SA"/>
              </w:rPr>
            </w:pPr>
          </w:p>
        </w:tc>
        <w:tc>
          <w:tcPr>
            <w:tcW w:w="549" w:type="dxa"/>
            <w:gridSpan w:val="2"/>
          </w:tcPr>
          <w:p>
            <w:pPr>
              <w:widowControl/>
              <w:jc w:val="right"/>
              <w:outlineLvl w:val="1"/>
              <w:rPr>
                <w:rFonts w:ascii="仿宋_GB2312" w:hAnsi="宋体" w:eastAsia="仿宋_GB2312"/>
                <w:kern w:val="0"/>
                <w:sz w:val="20"/>
                <w:szCs w:val="20"/>
              </w:rPr>
            </w:pPr>
          </w:p>
        </w:tc>
        <w:tc>
          <w:tcPr>
            <w:tcW w:w="636" w:type="dxa"/>
            <w:vAlign w:val="top"/>
          </w:tcPr>
          <w:p>
            <w:pPr>
              <w:bidi w:val="0"/>
              <w:ind w:firstLine="210" w:firstLineChars="100"/>
              <w:jc w:val="both"/>
              <w:rPr>
                <w:rFonts w:hint="eastAsia" w:cs="Times New Roman"/>
                <w:kern w:val="2"/>
                <w:sz w:val="21"/>
                <w:szCs w:val="24"/>
                <w:lang w:val="en-US" w:eastAsia="zh-CN" w:bidi="ar-SA"/>
              </w:rPr>
            </w:pPr>
          </w:p>
        </w:tc>
        <w:tc>
          <w:tcPr>
            <w:tcW w:w="623" w:type="dxa"/>
          </w:tcPr>
          <w:p>
            <w:pPr>
              <w:widowControl/>
              <w:jc w:val="right"/>
              <w:outlineLvl w:val="1"/>
              <w:rPr>
                <w:rFonts w:ascii="仿宋_GB2312" w:hAnsi="宋体" w:eastAsia="仿宋_GB2312"/>
                <w:kern w:val="0"/>
                <w:sz w:val="20"/>
                <w:szCs w:val="20"/>
              </w:rPr>
            </w:pPr>
          </w:p>
        </w:tc>
        <w:tc>
          <w:tcPr>
            <w:tcW w:w="623" w:type="dxa"/>
          </w:tcPr>
          <w:p>
            <w:pPr>
              <w:widowControl/>
              <w:jc w:val="right"/>
              <w:outlineLvl w:val="1"/>
              <w:rPr>
                <w:rFonts w:ascii="仿宋_GB2312" w:hAnsi="宋体" w:eastAsia="仿宋_GB2312"/>
                <w:kern w:val="0"/>
                <w:sz w:val="20"/>
                <w:szCs w:val="20"/>
              </w:rPr>
            </w:pPr>
          </w:p>
        </w:tc>
        <w:tc>
          <w:tcPr>
            <w:tcW w:w="578" w:type="dxa"/>
            <w:gridSpan w:val="2"/>
          </w:tcPr>
          <w:p>
            <w:pPr>
              <w:widowControl/>
              <w:jc w:val="right"/>
              <w:outlineLvl w:val="1"/>
              <w:rPr>
                <w:rFonts w:ascii="仿宋_GB2312" w:hAnsi="宋体" w:eastAsia="仿宋_GB2312"/>
                <w:kern w:val="0"/>
                <w:sz w:val="20"/>
                <w:szCs w:val="20"/>
              </w:rPr>
            </w:pPr>
          </w:p>
        </w:tc>
        <w:tc>
          <w:tcPr>
            <w:tcW w:w="417" w:type="dxa"/>
          </w:tcPr>
          <w:p>
            <w:pPr>
              <w:widowControl/>
              <w:jc w:val="right"/>
              <w:outlineLvl w:val="1"/>
              <w:rPr>
                <w:rFonts w:ascii="仿宋_GB2312" w:hAnsi="宋体" w:eastAsia="仿宋_GB2312"/>
                <w:kern w:val="0"/>
                <w:sz w:val="20"/>
                <w:szCs w:val="20"/>
              </w:rPr>
            </w:pPr>
          </w:p>
        </w:tc>
        <w:tc>
          <w:tcPr>
            <w:tcW w:w="57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62" w:type="dxa"/>
            <w:gridSpan w:val="2"/>
          </w:tcPr>
          <w:p>
            <w:pPr>
              <w:widowControl/>
              <w:jc w:val="right"/>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16" w:type="dxa"/>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28</w:t>
            </w:r>
          </w:p>
        </w:tc>
        <w:tc>
          <w:tcPr>
            <w:tcW w:w="416" w:type="dxa"/>
            <w:vAlign w:val="center"/>
          </w:tcPr>
          <w:p>
            <w:pPr>
              <w:jc w:val="center"/>
              <w:rPr>
                <w:rFonts w:hint="eastAsia" w:ascii="仿宋_GB2312" w:hAnsi="宋体" w:eastAsia="仿宋_GB2312" w:cs="宋体"/>
                <w:color w:val="000000"/>
                <w:sz w:val="20"/>
                <w:szCs w:val="20"/>
                <w:lang w:val="en-US" w:eastAsia="zh-CN"/>
              </w:rPr>
            </w:pPr>
          </w:p>
        </w:tc>
        <w:tc>
          <w:tcPr>
            <w:tcW w:w="1172" w:type="dxa"/>
            <w:vAlign w:val="center"/>
          </w:tcPr>
          <w:p>
            <w:pPr>
              <w:jc w:val="both"/>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sz w:val="20"/>
                <w:szCs w:val="20"/>
                <w:lang w:val="en-US" w:eastAsia="zh-CN"/>
              </w:rPr>
              <w:t>民主党派及工商联事务</w:t>
            </w:r>
          </w:p>
        </w:tc>
        <w:tc>
          <w:tcPr>
            <w:tcW w:w="995" w:type="dxa"/>
          </w:tcPr>
          <w:p>
            <w:pPr>
              <w:bidi w:val="0"/>
              <w:jc w:val="left"/>
              <w:rPr>
                <w:rFonts w:hint="eastAsia" w:cs="Times New Roman"/>
                <w:kern w:val="2"/>
                <w:sz w:val="21"/>
                <w:szCs w:val="24"/>
                <w:lang w:val="en-US" w:eastAsia="zh-CN" w:bidi="ar-SA"/>
              </w:rPr>
            </w:pPr>
          </w:p>
        </w:tc>
        <w:tc>
          <w:tcPr>
            <w:tcW w:w="723" w:type="dxa"/>
          </w:tcPr>
          <w:p>
            <w:pPr>
              <w:bidi w:val="0"/>
              <w:ind w:firstLine="210" w:firstLineChars="100"/>
              <w:jc w:val="both"/>
              <w:rPr>
                <w:rFonts w:hint="eastAsia" w:cs="Times New Roman"/>
                <w:kern w:val="2"/>
                <w:sz w:val="21"/>
                <w:szCs w:val="24"/>
                <w:lang w:val="en-US" w:eastAsia="zh-CN" w:bidi="ar-SA"/>
              </w:rPr>
            </w:pPr>
          </w:p>
        </w:tc>
        <w:tc>
          <w:tcPr>
            <w:tcW w:w="549" w:type="dxa"/>
            <w:gridSpan w:val="2"/>
          </w:tcPr>
          <w:p>
            <w:pPr>
              <w:widowControl/>
              <w:jc w:val="right"/>
              <w:outlineLvl w:val="1"/>
              <w:rPr>
                <w:rFonts w:ascii="仿宋_GB2312" w:hAnsi="宋体" w:eastAsia="仿宋_GB2312"/>
                <w:kern w:val="0"/>
                <w:sz w:val="20"/>
                <w:szCs w:val="20"/>
              </w:rPr>
            </w:pPr>
          </w:p>
        </w:tc>
        <w:tc>
          <w:tcPr>
            <w:tcW w:w="636" w:type="dxa"/>
            <w:vAlign w:val="top"/>
          </w:tcPr>
          <w:p>
            <w:pPr>
              <w:bidi w:val="0"/>
              <w:ind w:firstLine="210" w:firstLineChars="100"/>
              <w:jc w:val="both"/>
              <w:rPr>
                <w:rFonts w:hint="eastAsia" w:cs="Times New Roman"/>
                <w:kern w:val="2"/>
                <w:sz w:val="21"/>
                <w:szCs w:val="24"/>
                <w:lang w:val="en-US" w:eastAsia="zh-CN" w:bidi="ar-SA"/>
              </w:rPr>
            </w:pPr>
          </w:p>
        </w:tc>
        <w:tc>
          <w:tcPr>
            <w:tcW w:w="623" w:type="dxa"/>
          </w:tcPr>
          <w:p>
            <w:pPr>
              <w:widowControl/>
              <w:jc w:val="right"/>
              <w:outlineLvl w:val="1"/>
              <w:rPr>
                <w:rFonts w:ascii="仿宋_GB2312" w:hAnsi="宋体" w:eastAsia="仿宋_GB2312"/>
                <w:kern w:val="0"/>
                <w:sz w:val="20"/>
                <w:szCs w:val="20"/>
              </w:rPr>
            </w:pPr>
          </w:p>
        </w:tc>
        <w:tc>
          <w:tcPr>
            <w:tcW w:w="623" w:type="dxa"/>
          </w:tcPr>
          <w:p>
            <w:pPr>
              <w:widowControl/>
              <w:jc w:val="right"/>
              <w:outlineLvl w:val="1"/>
              <w:rPr>
                <w:rFonts w:ascii="仿宋_GB2312" w:hAnsi="宋体" w:eastAsia="仿宋_GB2312"/>
                <w:kern w:val="0"/>
                <w:sz w:val="20"/>
                <w:szCs w:val="20"/>
              </w:rPr>
            </w:pPr>
          </w:p>
        </w:tc>
        <w:tc>
          <w:tcPr>
            <w:tcW w:w="578" w:type="dxa"/>
            <w:gridSpan w:val="2"/>
          </w:tcPr>
          <w:p>
            <w:pPr>
              <w:widowControl/>
              <w:jc w:val="right"/>
              <w:outlineLvl w:val="1"/>
              <w:rPr>
                <w:rFonts w:ascii="仿宋_GB2312" w:hAnsi="宋体" w:eastAsia="仿宋_GB2312"/>
                <w:kern w:val="0"/>
                <w:sz w:val="20"/>
                <w:szCs w:val="20"/>
              </w:rPr>
            </w:pPr>
          </w:p>
        </w:tc>
        <w:tc>
          <w:tcPr>
            <w:tcW w:w="417" w:type="dxa"/>
          </w:tcPr>
          <w:p>
            <w:pPr>
              <w:widowControl/>
              <w:jc w:val="right"/>
              <w:outlineLvl w:val="1"/>
              <w:rPr>
                <w:rFonts w:ascii="仿宋_GB2312" w:hAnsi="宋体" w:eastAsia="仿宋_GB2312"/>
                <w:kern w:val="0"/>
                <w:sz w:val="20"/>
                <w:szCs w:val="20"/>
              </w:rPr>
            </w:pPr>
          </w:p>
        </w:tc>
        <w:tc>
          <w:tcPr>
            <w:tcW w:w="57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62" w:type="dxa"/>
            <w:gridSpan w:val="2"/>
          </w:tcPr>
          <w:p>
            <w:pPr>
              <w:widowControl/>
              <w:jc w:val="right"/>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201</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28</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02</w:t>
            </w:r>
          </w:p>
        </w:tc>
        <w:tc>
          <w:tcPr>
            <w:tcW w:w="1172" w:type="dxa"/>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一般行政管理事务</w:t>
            </w:r>
          </w:p>
        </w:tc>
        <w:tc>
          <w:tcPr>
            <w:tcW w:w="995" w:type="dxa"/>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民主党派活动费</w:t>
            </w:r>
          </w:p>
        </w:tc>
        <w:tc>
          <w:tcPr>
            <w:tcW w:w="723" w:type="dxa"/>
          </w:tcPr>
          <w:p>
            <w:pPr>
              <w:widowControl/>
              <w:jc w:val="both"/>
              <w:outlineLvl w:val="1"/>
              <w:rPr>
                <w:rFonts w:ascii="仿宋_GB2312" w:hAnsi="宋体" w:eastAsia="仿宋_GB2312"/>
                <w:kern w:val="0"/>
                <w:sz w:val="20"/>
                <w:szCs w:val="20"/>
              </w:rPr>
            </w:pPr>
          </w:p>
          <w:p>
            <w:pPr>
              <w:bidi w:val="0"/>
              <w:ind w:firstLine="210" w:firstLineChars="100"/>
              <w:jc w:val="both"/>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12</w:t>
            </w:r>
          </w:p>
        </w:tc>
        <w:tc>
          <w:tcPr>
            <w:tcW w:w="549" w:type="dxa"/>
            <w:gridSpan w:val="2"/>
          </w:tcPr>
          <w:p>
            <w:pPr>
              <w:widowControl/>
              <w:jc w:val="right"/>
              <w:outlineLvl w:val="1"/>
              <w:rPr>
                <w:rFonts w:ascii="仿宋_GB2312" w:hAnsi="宋体" w:eastAsia="仿宋_GB2312"/>
                <w:kern w:val="0"/>
                <w:sz w:val="20"/>
                <w:szCs w:val="20"/>
              </w:rPr>
            </w:pPr>
          </w:p>
        </w:tc>
        <w:tc>
          <w:tcPr>
            <w:tcW w:w="636" w:type="dxa"/>
            <w:vAlign w:val="top"/>
          </w:tcPr>
          <w:p>
            <w:pPr>
              <w:widowControl/>
              <w:jc w:val="both"/>
              <w:outlineLvl w:val="1"/>
              <w:rPr>
                <w:rFonts w:ascii="仿宋_GB2312" w:hAnsi="宋体" w:eastAsia="仿宋_GB2312"/>
                <w:kern w:val="0"/>
                <w:sz w:val="20"/>
                <w:szCs w:val="20"/>
              </w:rPr>
            </w:pPr>
          </w:p>
          <w:p>
            <w:pPr>
              <w:bidi w:val="0"/>
              <w:ind w:firstLine="210" w:firstLineChars="100"/>
              <w:jc w:val="both"/>
              <w:rPr>
                <w:rFonts w:ascii="仿宋_GB2312" w:hAnsi="宋体" w:eastAsia="仿宋_GB2312"/>
                <w:kern w:val="0"/>
                <w:sz w:val="20"/>
                <w:szCs w:val="20"/>
              </w:rPr>
            </w:pPr>
            <w:r>
              <w:rPr>
                <w:rFonts w:hint="eastAsia" w:cs="Times New Roman"/>
                <w:kern w:val="2"/>
                <w:sz w:val="21"/>
                <w:szCs w:val="24"/>
                <w:lang w:val="en-US" w:eastAsia="zh-CN" w:bidi="ar-SA"/>
              </w:rPr>
              <w:t>12</w:t>
            </w:r>
          </w:p>
        </w:tc>
        <w:tc>
          <w:tcPr>
            <w:tcW w:w="623" w:type="dxa"/>
          </w:tcPr>
          <w:p>
            <w:pPr>
              <w:widowControl/>
              <w:jc w:val="right"/>
              <w:outlineLvl w:val="1"/>
              <w:rPr>
                <w:rFonts w:ascii="仿宋_GB2312" w:hAnsi="宋体" w:eastAsia="仿宋_GB2312"/>
                <w:kern w:val="0"/>
                <w:sz w:val="20"/>
                <w:szCs w:val="20"/>
              </w:rPr>
            </w:pPr>
          </w:p>
        </w:tc>
        <w:tc>
          <w:tcPr>
            <w:tcW w:w="623" w:type="dxa"/>
          </w:tcPr>
          <w:p>
            <w:pPr>
              <w:widowControl/>
              <w:jc w:val="right"/>
              <w:outlineLvl w:val="1"/>
              <w:rPr>
                <w:rFonts w:ascii="仿宋_GB2312" w:hAnsi="宋体" w:eastAsia="仿宋_GB2312"/>
                <w:kern w:val="0"/>
                <w:sz w:val="20"/>
                <w:szCs w:val="20"/>
              </w:rPr>
            </w:pPr>
          </w:p>
        </w:tc>
        <w:tc>
          <w:tcPr>
            <w:tcW w:w="578" w:type="dxa"/>
            <w:gridSpan w:val="2"/>
          </w:tcPr>
          <w:p>
            <w:pPr>
              <w:widowControl/>
              <w:jc w:val="right"/>
              <w:outlineLvl w:val="1"/>
              <w:rPr>
                <w:rFonts w:ascii="仿宋_GB2312" w:hAnsi="宋体" w:eastAsia="仿宋_GB2312"/>
                <w:kern w:val="0"/>
                <w:sz w:val="20"/>
                <w:szCs w:val="20"/>
              </w:rPr>
            </w:pPr>
          </w:p>
        </w:tc>
        <w:tc>
          <w:tcPr>
            <w:tcW w:w="417" w:type="dxa"/>
          </w:tcPr>
          <w:p>
            <w:pPr>
              <w:widowControl/>
              <w:jc w:val="right"/>
              <w:outlineLvl w:val="1"/>
              <w:rPr>
                <w:rFonts w:ascii="仿宋_GB2312" w:hAnsi="宋体" w:eastAsia="仿宋_GB2312"/>
                <w:kern w:val="0"/>
                <w:sz w:val="20"/>
                <w:szCs w:val="20"/>
              </w:rPr>
            </w:pPr>
          </w:p>
        </w:tc>
        <w:tc>
          <w:tcPr>
            <w:tcW w:w="57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62" w:type="dxa"/>
            <w:gridSpan w:val="2"/>
          </w:tcPr>
          <w:p>
            <w:pPr>
              <w:widowControl/>
              <w:jc w:val="right"/>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201</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28</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02</w:t>
            </w:r>
          </w:p>
        </w:tc>
        <w:tc>
          <w:tcPr>
            <w:tcW w:w="1172" w:type="dxa"/>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一般行政管理事务</w:t>
            </w:r>
          </w:p>
        </w:tc>
        <w:tc>
          <w:tcPr>
            <w:tcW w:w="995" w:type="dxa"/>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《昌吉盟讯》编印费</w:t>
            </w:r>
          </w:p>
        </w:tc>
        <w:tc>
          <w:tcPr>
            <w:tcW w:w="723" w:type="dxa"/>
          </w:tcPr>
          <w:p>
            <w:pPr>
              <w:widowControl/>
              <w:jc w:val="both"/>
              <w:outlineLvl w:val="1"/>
              <w:rPr>
                <w:rFonts w:ascii="仿宋_GB2312" w:hAnsi="宋体" w:eastAsia="仿宋_GB2312"/>
                <w:kern w:val="0"/>
                <w:sz w:val="20"/>
                <w:szCs w:val="20"/>
              </w:rPr>
            </w:pPr>
          </w:p>
          <w:p>
            <w:pPr>
              <w:bidi w:val="0"/>
              <w:ind w:firstLine="210" w:firstLineChars="100"/>
              <w:jc w:val="both"/>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2</w:t>
            </w:r>
          </w:p>
        </w:tc>
        <w:tc>
          <w:tcPr>
            <w:tcW w:w="549" w:type="dxa"/>
            <w:gridSpan w:val="2"/>
          </w:tcPr>
          <w:p>
            <w:pPr>
              <w:widowControl/>
              <w:jc w:val="right"/>
              <w:outlineLvl w:val="1"/>
              <w:rPr>
                <w:rFonts w:ascii="仿宋_GB2312" w:hAnsi="宋体" w:eastAsia="仿宋_GB2312"/>
                <w:kern w:val="0"/>
                <w:sz w:val="20"/>
                <w:szCs w:val="20"/>
              </w:rPr>
            </w:pPr>
          </w:p>
        </w:tc>
        <w:tc>
          <w:tcPr>
            <w:tcW w:w="636" w:type="dxa"/>
            <w:vAlign w:val="top"/>
          </w:tcPr>
          <w:p>
            <w:pPr>
              <w:widowControl/>
              <w:jc w:val="both"/>
              <w:outlineLvl w:val="1"/>
              <w:rPr>
                <w:rFonts w:ascii="仿宋_GB2312" w:hAnsi="宋体" w:eastAsia="仿宋_GB2312"/>
                <w:kern w:val="0"/>
                <w:sz w:val="20"/>
                <w:szCs w:val="20"/>
              </w:rPr>
            </w:pPr>
          </w:p>
          <w:p>
            <w:pPr>
              <w:bidi w:val="0"/>
              <w:ind w:firstLine="210" w:firstLineChars="100"/>
              <w:jc w:val="both"/>
              <w:rPr>
                <w:rFonts w:ascii="仿宋_GB2312" w:hAnsi="宋体" w:eastAsia="仿宋_GB2312"/>
                <w:kern w:val="0"/>
                <w:sz w:val="20"/>
                <w:szCs w:val="20"/>
              </w:rPr>
            </w:pPr>
            <w:r>
              <w:rPr>
                <w:rFonts w:hint="eastAsia" w:cs="Times New Roman"/>
                <w:kern w:val="2"/>
                <w:sz w:val="21"/>
                <w:szCs w:val="24"/>
                <w:lang w:val="en-US" w:eastAsia="zh-CN" w:bidi="ar-SA"/>
              </w:rPr>
              <w:t>2</w:t>
            </w:r>
          </w:p>
        </w:tc>
        <w:tc>
          <w:tcPr>
            <w:tcW w:w="623" w:type="dxa"/>
          </w:tcPr>
          <w:p>
            <w:pPr>
              <w:widowControl/>
              <w:jc w:val="right"/>
              <w:outlineLvl w:val="1"/>
              <w:rPr>
                <w:rFonts w:ascii="仿宋_GB2312" w:hAnsi="宋体" w:eastAsia="仿宋_GB2312"/>
                <w:kern w:val="0"/>
                <w:sz w:val="20"/>
                <w:szCs w:val="20"/>
              </w:rPr>
            </w:pPr>
          </w:p>
        </w:tc>
        <w:tc>
          <w:tcPr>
            <w:tcW w:w="623" w:type="dxa"/>
          </w:tcPr>
          <w:p>
            <w:pPr>
              <w:widowControl/>
              <w:jc w:val="right"/>
              <w:outlineLvl w:val="1"/>
              <w:rPr>
                <w:rFonts w:ascii="仿宋_GB2312" w:hAnsi="宋体" w:eastAsia="仿宋_GB2312"/>
                <w:kern w:val="0"/>
                <w:sz w:val="20"/>
                <w:szCs w:val="20"/>
              </w:rPr>
            </w:pPr>
          </w:p>
        </w:tc>
        <w:tc>
          <w:tcPr>
            <w:tcW w:w="578" w:type="dxa"/>
            <w:gridSpan w:val="2"/>
          </w:tcPr>
          <w:p>
            <w:pPr>
              <w:widowControl/>
              <w:jc w:val="right"/>
              <w:outlineLvl w:val="1"/>
              <w:rPr>
                <w:rFonts w:ascii="仿宋_GB2312" w:hAnsi="宋体" w:eastAsia="仿宋_GB2312"/>
                <w:kern w:val="0"/>
                <w:sz w:val="20"/>
                <w:szCs w:val="20"/>
              </w:rPr>
            </w:pPr>
          </w:p>
        </w:tc>
        <w:tc>
          <w:tcPr>
            <w:tcW w:w="417" w:type="dxa"/>
          </w:tcPr>
          <w:p>
            <w:pPr>
              <w:widowControl/>
              <w:jc w:val="right"/>
              <w:outlineLvl w:val="1"/>
              <w:rPr>
                <w:rFonts w:ascii="仿宋_GB2312" w:hAnsi="宋体" w:eastAsia="仿宋_GB2312"/>
                <w:kern w:val="0"/>
                <w:sz w:val="20"/>
                <w:szCs w:val="20"/>
              </w:rPr>
            </w:pPr>
          </w:p>
        </w:tc>
        <w:tc>
          <w:tcPr>
            <w:tcW w:w="57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62" w:type="dxa"/>
            <w:gridSpan w:val="2"/>
          </w:tcPr>
          <w:p>
            <w:pPr>
              <w:widowControl/>
              <w:jc w:val="right"/>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201</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28</w:t>
            </w:r>
          </w:p>
        </w:tc>
        <w:tc>
          <w:tcPr>
            <w:tcW w:w="416" w:type="dxa"/>
            <w:vAlign w:val="center"/>
          </w:tcPr>
          <w:p>
            <w:pPr>
              <w:jc w:val="center"/>
              <w:rPr>
                <w:rFonts w:ascii="仿宋_GB2312" w:hAnsi="宋体" w:eastAsia="仿宋_GB2312"/>
                <w:kern w:val="0"/>
                <w:sz w:val="32"/>
                <w:szCs w:val="32"/>
              </w:rPr>
            </w:pPr>
            <w:r>
              <w:rPr>
                <w:rFonts w:hint="eastAsia" w:ascii="仿宋_GB2312" w:hAnsi="宋体" w:eastAsia="仿宋_GB2312" w:cs="宋体"/>
                <w:color w:val="000000"/>
                <w:sz w:val="20"/>
                <w:szCs w:val="20"/>
                <w:lang w:val="en-US" w:eastAsia="zh-CN"/>
              </w:rPr>
              <w:t>04</w:t>
            </w:r>
          </w:p>
        </w:tc>
        <w:tc>
          <w:tcPr>
            <w:tcW w:w="1172" w:type="dxa"/>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参政议政</w:t>
            </w:r>
          </w:p>
        </w:tc>
        <w:tc>
          <w:tcPr>
            <w:tcW w:w="995" w:type="dxa"/>
          </w:tcPr>
          <w:p>
            <w:pPr>
              <w:jc w:val="both"/>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参政议政费</w:t>
            </w:r>
          </w:p>
        </w:tc>
        <w:tc>
          <w:tcPr>
            <w:tcW w:w="723" w:type="dxa"/>
          </w:tcPr>
          <w:p>
            <w:pPr>
              <w:widowControl/>
              <w:jc w:val="both"/>
              <w:outlineLvl w:val="1"/>
              <w:rPr>
                <w:rFonts w:ascii="仿宋_GB2312" w:hAnsi="宋体" w:eastAsia="仿宋_GB2312"/>
                <w:kern w:val="0"/>
                <w:sz w:val="20"/>
                <w:szCs w:val="20"/>
              </w:rPr>
            </w:pPr>
          </w:p>
          <w:p>
            <w:pPr>
              <w:bidi w:val="0"/>
              <w:ind w:firstLine="226" w:firstLineChars="0"/>
              <w:jc w:val="both"/>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4</w:t>
            </w:r>
          </w:p>
        </w:tc>
        <w:tc>
          <w:tcPr>
            <w:tcW w:w="549" w:type="dxa"/>
            <w:gridSpan w:val="2"/>
          </w:tcPr>
          <w:p>
            <w:pPr>
              <w:widowControl/>
              <w:jc w:val="right"/>
              <w:outlineLvl w:val="1"/>
              <w:rPr>
                <w:rFonts w:ascii="仿宋_GB2312" w:hAnsi="宋体" w:eastAsia="仿宋_GB2312"/>
                <w:kern w:val="0"/>
                <w:sz w:val="20"/>
                <w:szCs w:val="20"/>
              </w:rPr>
            </w:pPr>
          </w:p>
        </w:tc>
        <w:tc>
          <w:tcPr>
            <w:tcW w:w="636" w:type="dxa"/>
            <w:vAlign w:val="top"/>
          </w:tcPr>
          <w:p>
            <w:pPr>
              <w:widowControl/>
              <w:jc w:val="both"/>
              <w:outlineLvl w:val="1"/>
              <w:rPr>
                <w:rFonts w:ascii="仿宋_GB2312" w:hAnsi="宋体" w:eastAsia="仿宋_GB2312"/>
                <w:kern w:val="0"/>
                <w:sz w:val="20"/>
                <w:szCs w:val="20"/>
              </w:rPr>
            </w:pPr>
          </w:p>
          <w:p>
            <w:pPr>
              <w:bidi w:val="0"/>
              <w:ind w:firstLine="226" w:firstLineChars="0"/>
              <w:jc w:val="both"/>
              <w:rPr>
                <w:rFonts w:ascii="仿宋_GB2312" w:hAnsi="宋体" w:eastAsia="仿宋_GB2312"/>
                <w:kern w:val="0"/>
                <w:sz w:val="20"/>
                <w:szCs w:val="20"/>
              </w:rPr>
            </w:pPr>
            <w:r>
              <w:rPr>
                <w:rFonts w:hint="eastAsia" w:cs="Times New Roman"/>
                <w:kern w:val="2"/>
                <w:sz w:val="21"/>
                <w:szCs w:val="24"/>
                <w:lang w:val="en-US" w:eastAsia="zh-CN" w:bidi="ar-SA"/>
              </w:rPr>
              <w:t>4</w:t>
            </w:r>
          </w:p>
        </w:tc>
        <w:tc>
          <w:tcPr>
            <w:tcW w:w="623" w:type="dxa"/>
          </w:tcPr>
          <w:p>
            <w:pPr>
              <w:widowControl/>
              <w:jc w:val="right"/>
              <w:outlineLvl w:val="1"/>
              <w:rPr>
                <w:rFonts w:ascii="仿宋_GB2312" w:hAnsi="宋体" w:eastAsia="仿宋_GB2312"/>
                <w:kern w:val="0"/>
                <w:sz w:val="20"/>
                <w:szCs w:val="20"/>
              </w:rPr>
            </w:pPr>
          </w:p>
        </w:tc>
        <w:tc>
          <w:tcPr>
            <w:tcW w:w="623" w:type="dxa"/>
          </w:tcPr>
          <w:p>
            <w:pPr>
              <w:widowControl/>
              <w:jc w:val="right"/>
              <w:outlineLvl w:val="1"/>
              <w:rPr>
                <w:rFonts w:ascii="仿宋_GB2312" w:hAnsi="宋体" w:eastAsia="仿宋_GB2312"/>
                <w:kern w:val="0"/>
                <w:sz w:val="20"/>
                <w:szCs w:val="20"/>
              </w:rPr>
            </w:pPr>
          </w:p>
        </w:tc>
        <w:tc>
          <w:tcPr>
            <w:tcW w:w="578" w:type="dxa"/>
            <w:gridSpan w:val="2"/>
          </w:tcPr>
          <w:p>
            <w:pPr>
              <w:widowControl/>
              <w:jc w:val="right"/>
              <w:outlineLvl w:val="1"/>
              <w:rPr>
                <w:rFonts w:ascii="仿宋_GB2312" w:hAnsi="宋体" w:eastAsia="仿宋_GB2312"/>
                <w:kern w:val="0"/>
                <w:sz w:val="20"/>
                <w:szCs w:val="20"/>
              </w:rPr>
            </w:pPr>
          </w:p>
        </w:tc>
        <w:tc>
          <w:tcPr>
            <w:tcW w:w="417" w:type="dxa"/>
          </w:tcPr>
          <w:p>
            <w:pPr>
              <w:widowControl/>
              <w:jc w:val="right"/>
              <w:outlineLvl w:val="1"/>
              <w:rPr>
                <w:rFonts w:ascii="仿宋_GB2312" w:hAnsi="宋体" w:eastAsia="仿宋_GB2312"/>
                <w:kern w:val="0"/>
                <w:sz w:val="20"/>
                <w:szCs w:val="20"/>
              </w:rPr>
            </w:pPr>
          </w:p>
        </w:tc>
        <w:tc>
          <w:tcPr>
            <w:tcW w:w="57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18" w:type="dxa"/>
          </w:tcPr>
          <w:p>
            <w:pPr>
              <w:widowControl/>
              <w:jc w:val="right"/>
              <w:outlineLvl w:val="1"/>
              <w:rPr>
                <w:rFonts w:ascii="仿宋_GB2312" w:hAnsi="宋体" w:eastAsia="仿宋_GB2312"/>
                <w:kern w:val="0"/>
                <w:sz w:val="20"/>
                <w:szCs w:val="20"/>
              </w:rPr>
            </w:pPr>
          </w:p>
        </w:tc>
        <w:tc>
          <w:tcPr>
            <w:tcW w:w="462" w:type="dxa"/>
            <w:gridSpan w:val="2"/>
          </w:tcPr>
          <w:p>
            <w:pPr>
              <w:widowControl/>
              <w:jc w:val="right"/>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6" w:type="dxa"/>
            <w:gridSpan w:val="2"/>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416" w:type="dxa"/>
          </w:tcPr>
          <w:p>
            <w:pPr>
              <w:widowControl/>
              <w:jc w:val="center"/>
              <w:outlineLvl w:val="1"/>
              <w:rPr>
                <w:rFonts w:ascii="仿宋_GB2312" w:hAnsi="宋体" w:eastAsia="仿宋_GB2312"/>
                <w:kern w:val="0"/>
                <w:sz w:val="32"/>
                <w:szCs w:val="32"/>
              </w:rPr>
            </w:pPr>
          </w:p>
        </w:tc>
        <w:tc>
          <w:tcPr>
            <w:tcW w:w="1172" w:type="dxa"/>
          </w:tcPr>
          <w:p>
            <w:pPr>
              <w:widowControl/>
              <w:jc w:val="center"/>
              <w:outlineLvl w:val="1"/>
              <w:rPr>
                <w:rFonts w:ascii="仿宋_GB2312" w:hAnsi="宋体" w:eastAsia="仿宋_GB2312"/>
                <w:kern w:val="0"/>
                <w:sz w:val="32"/>
                <w:szCs w:val="32"/>
              </w:rPr>
            </w:pPr>
          </w:p>
        </w:tc>
        <w:tc>
          <w:tcPr>
            <w:tcW w:w="99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23" w:type="dxa"/>
            <w:vAlign w:val="center"/>
          </w:tcPr>
          <w:p>
            <w:pPr>
              <w:bidi w:val="0"/>
              <w:ind w:firstLine="210" w:firstLineChars="100"/>
              <w:jc w:val="both"/>
              <w:rPr>
                <w:rFonts w:hint="default" w:cs="Times New Roman"/>
                <w:kern w:val="2"/>
                <w:sz w:val="21"/>
                <w:szCs w:val="24"/>
                <w:lang w:val="en-US" w:eastAsia="zh-CN" w:bidi="ar-SA"/>
              </w:rPr>
            </w:pPr>
            <w:r>
              <w:rPr>
                <w:rFonts w:hint="eastAsia" w:cs="Times New Roman"/>
                <w:kern w:val="2"/>
                <w:sz w:val="21"/>
                <w:szCs w:val="24"/>
                <w:lang w:val="en-US" w:eastAsia="zh-CN" w:bidi="ar-SA"/>
              </w:rPr>
              <w:t>18</w:t>
            </w:r>
          </w:p>
        </w:tc>
        <w:tc>
          <w:tcPr>
            <w:tcW w:w="549" w:type="dxa"/>
            <w:gridSpan w:val="2"/>
          </w:tcPr>
          <w:p>
            <w:pPr>
              <w:bidi w:val="0"/>
              <w:ind w:firstLine="226" w:firstLineChars="0"/>
              <w:jc w:val="both"/>
              <w:rPr>
                <w:rFonts w:hint="eastAsia" w:cs="Times New Roman"/>
                <w:kern w:val="2"/>
                <w:sz w:val="21"/>
                <w:szCs w:val="24"/>
                <w:lang w:val="en-US" w:eastAsia="zh-CN" w:bidi="ar-SA"/>
              </w:rPr>
            </w:pPr>
          </w:p>
        </w:tc>
        <w:tc>
          <w:tcPr>
            <w:tcW w:w="636" w:type="dxa"/>
          </w:tcPr>
          <w:p>
            <w:pPr>
              <w:bidi w:val="0"/>
              <w:ind w:firstLine="210" w:firstLineChars="100"/>
              <w:jc w:val="both"/>
              <w:rPr>
                <w:rFonts w:hint="eastAsia" w:cs="Times New Roman"/>
                <w:kern w:val="2"/>
                <w:sz w:val="21"/>
                <w:szCs w:val="24"/>
                <w:lang w:val="en-US" w:eastAsia="zh-CN" w:bidi="ar-SA"/>
              </w:rPr>
            </w:pPr>
          </w:p>
          <w:p>
            <w:pPr>
              <w:bidi w:val="0"/>
              <w:jc w:val="center"/>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18</w:t>
            </w:r>
          </w:p>
        </w:tc>
        <w:tc>
          <w:tcPr>
            <w:tcW w:w="623" w:type="dxa"/>
          </w:tcPr>
          <w:p>
            <w:pPr>
              <w:bidi w:val="0"/>
              <w:ind w:firstLine="226" w:firstLineChars="0"/>
              <w:jc w:val="both"/>
              <w:rPr>
                <w:rFonts w:hint="eastAsia" w:cs="Times New Roman"/>
                <w:kern w:val="2"/>
                <w:sz w:val="21"/>
                <w:szCs w:val="24"/>
                <w:lang w:val="en-US" w:eastAsia="zh-CN" w:bidi="ar-SA"/>
              </w:rPr>
            </w:pPr>
          </w:p>
        </w:tc>
        <w:tc>
          <w:tcPr>
            <w:tcW w:w="623" w:type="dxa"/>
          </w:tcPr>
          <w:p>
            <w:pPr>
              <w:bidi w:val="0"/>
              <w:ind w:firstLine="226" w:firstLineChars="0"/>
              <w:jc w:val="both"/>
              <w:rPr>
                <w:rFonts w:hint="eastAsia" w:cs="Times New Roman"/>
                <w:kern w:val="2"/>
                <w:sz w:val="21"/>
                <w:szCs w:val="24"/>
                <w:lang w:val="en-US" w:eastAsia="zh-CN" w:bidi="ar-SA"/>
              </w:rPr>
            </w:pPr>
          </w:p>
        </w:tc>
        <w:tc>
          <w:tcPr>
            <w:tcW w:w="578" w:type="dxa"/>
            <w:gridSpan w:val="2"/>
          </w:tcPr>
          <w:p>
            <w:pPr>
              <w:bidi w:val="0"/>
              <w:ind w:firstLine="226" w:firstLineChars="0"/>
              <w:jc w:val="both"/>
              <w:rPr>
                <w:rFonts w:hint="eastAsia" w:cs="Times New Roman"/>
                <w:kern w:val="2"/>
                <w:sz w:val="21"/>
                <w:szCs w:val="24"/>
                <w:lang w:val="en-US" w:eastAsia="zh-CN" w:bidi="ar-SA"/>
              </w:rPr>
            </w:pPr>
          </w:p>
        </w:tc>
        <w:tc>
          <w:tcPr>
            <w:tcW w:w="417" w:type="dxa"/>
          </w:tcPr>
          <w:p>
            <w:pPr>
              <w:bidi w:val="0"/>
              <w:ind w:firstLine="226" w:firstLineChars="0"/>
              <w:jc w:val="both"/>
              <w:rPr>
                <w:rFonts w:hint="eastAsia" w:cs="Times New Roman"/>
                <w:kern w:val="2"/>
                <w:sz w:val="21"/>
                <w:szCs w:val="24"/>
                <w:lang w:val="en-US" w:eastAsia="zh-CN" w:bidi="ar-SA"/>
              </w:rPr>
            </w:pPr>
          </w:p>
        </w:tc>
        <w:tc>
          <w:tcPr>
            <w:tcW w:w="578" w:type="dxa"/>
          </w:tcPr>
          <w:p>
            <w:pPr>
              <w:bidi w:val="0"/>
              <w:ind w:firstLine="226" w:firstLineChars="0"/>
              <w:jc w:val="both"/>
              <w:rPr>
                <w:rFonts w:hint="eastAsia" w:cs="Times New Roman"/>
                <w:kern w:val="2"/>
                <w:sz w:val="21"/>
                <w:szCs w:val="24"/>
                <w:lang w:val="en-US" w:eastAsia="zh-CN" w:bidi="ar-SA"/>
              </w:rPr>
            </w:pPr>
          </w:p>
        </w:tc>
        <w:tc>
          <w:tcPr>
            <w:tcW w:w="418" w:type="dxa"/>
          </w:tcPr>
          <w:p>
            <w:pPr>
              <w:bidi w:val="0"/>
              <w:ind w:firstLine="226" w:firstLineChars="0"/>
              <w:jc w:val="both"/>
              <w:rPr>
                <w:rFonts w:hint="eastAsia" w:cs="Times New Roman"/>
                <w:kern w:val="2"/>
                <w:sz w:val="21"/>
                <w:szCs w:val="24"/>
                <w:lang w:val="en-US" w:eastAsia="zh-CN" w:bidi="ar-SA"/>
              </w:rPr>
            </w:pPr>
          </w:p>
        </w:tc>
        <w:tc>
          <w:tcPr>
            <w:tcW w:w="418" w:type="dxa"/>
          </w:tcPr>
          <w:p>
            <w:pPr>
              <w:bidi w:val="0"/>
              <w:ind w:firstLine="226" w:firstLineChars="0"/>
              <w:jc w:val="both"/>
              <w:rPr>
                <w:rFonts w:hint="eastAsia" w:cs="Times New Roman"/>
                <w:kern w:val="2"/>
                <w:sz w:val="21"/>
                <w:szCs w:val="24"/>
                <w:lang w:val="en-US" w:eastAsia="zh-CN" w:bidi="ar-SA"/>
              </w:rPr>
            </w:pPr>
          </w:p>
        </w:tc>
        <w:tc>
          <w:tcPr>
            <w:tcW w:w="462" w:type="dxa"/>
            <w:gridSpan w:val="2"/>
          </w:tcPr>
          <w:p>
            <w:pPr>
              <w:bidi w:val="0"/>
              <w:ind w:firstLine="226" w:firstLineChars="0"/>
              <w:jc w:val="both"/>
              <w:rPr>
                <w:rFonts w:hint="eastAsia" w:cs="Times New Roman"/>
                <w:kern w:val="2"/>
                <w:sz w:val="21"/>
                <w:szCs w:val="24"/>
                <w:lang w:val="en-US" w:eastAsia="zh-CN" w:bidi="ar-SA"/>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民盟昌吉市委会</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tabs>
                <w:tab w:val="center" w:pos="679"/>
                <w:tab w:val="right" w:pos="1719"/>
              </w:tabs>
              <w:jc w:val="left"/>
              <w:rPr>
                <w:rFonts w:ascii="宋体" w:hAnsi="宋体" w:cs="宋体"/>
                <w:color w:val="000000"/>
                <w:kern w:val="0"/>
                <w:sz w:val="24"/>
              </w:rPr>
            </w:pPr>
            <w:r>
              <w:rPr>
                <w:rFonts w:hint="eastAsia" w:ascii="宋体" w:hAnsi="宋体" w:cs="宋体"/>
                <w:color w:val="000000"/>
                <w:kern w:val="0"/>
                <w:sz w:val="24"/>
                <w:lang w:eastAsia="zh-CN"/>
              </w:rPr>
              <w:tab/>
            </w:r>
            <w:r>
              <w:rPr>
                <w:rFonts w:hint="eastAsia" w:ascii="宋体" w:hAnsi="宋体" w:cs="宋体"/>
                <w:color w:val="000000"/>
                <w:kern w:val="0"/>
                <w:sz w:val="24"/>
                <w:lang w:val="en-US" w:eastAsia="zh-CN"/>
              </w:rPr>
              <w:t>0.05</w:t>
            </w:r>
            <w:r>
              <w:rPr>
                <w:rFonts w:hint="eastAsia" w:ascii="宋体" w:hAnsi="宋体" w:cs="宋体"/>
                <w:color w:val="000000"/>
                <w:kern w:val="0"/>
                <w:sz w:val="24"/>
                <w:lang w:eastAsia="zh-CN"/>
              </w:rPr>
              <w:tab/>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tabs>
                <w:tab w:val="center" w:pos="748"/>
                <w:tab w:val="right" w:pos="1856"/>
              </w:tabs>
              <w:jc w:val="left"/>
              <w:rPr>
                <w:rFonts w:ascii="宋体" w:hAnsi="宋体" w:cs="宋体"/>
                <w:color w:val="000000"/>
                <w:kern w:val="0"/>
                <w:sz w:val="24"/>
              </w:rPr>
            </w:pPr>
            <w:r>
              <w:rPr>
                <w:rFonts w:hint="eastAsia" w:ascii="宋体" w:hAnsi="宋体" w:cs="宋体"/>
                <w:color w:val="000000"/>
                <w:kern w:val="0"/>
                <w:sz w:val="24"/>
                <w:lang w:eastAsia="zh-CN"/>
              </w:rPr>
              <w:tab/>
            </w:r>
            <w:r>
              <w:rPr>
                <w:rFonts w:hint="eastAsia" w:ascii="宋体" w:hAnsi="宋体" w:cs="宋体"/>
                <w:color w:val="000000"/>
                <w:kern w:val="0"/>
                <w:sz w:val="24"/>
                <w:lang w:val="en-US" w:eastAsia="zh-CN"/>
              </w:rPr>
              <w:t>0.05</w:t>
            </w:r>
            <w:r>
              <w:rPr>
                <w:rFonts w:hint="eastAsia" w:ascii="宋体" w:hAnsi="宋体" w:cs="宋体"/>
                <w:color w:val="000000"/>
                <w:kern w:val="0"/>
                <w:sz w:val="24"/>
                <w:lang w:eastAsia="zh-CN"/>
              </w:rPr>
              <w:tab/>
            </w: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民盟昌吉市委会</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spacing w:line="560" w:lineRule="exact"/>
        <w:jc w:val="both"/>
        <w:rPr>
          <w:rFonts w:hint="eastAsia"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w:t>
      </w:r>
      <w:r>
        <w:rPr>
          <w:rFonts w:hint="eastAsia" w:ascii="仿宋_GB2312" w:hAnsi="宋体" w:eastAsia="仿宋_GB2312"/>
          <w:b/>
          <w:kern w:val="0"/>
          <w:sz w:val="28"/>
          <w:szCs w:val="32"/>
        </w:rPr>
        <w:t>2022年没有使用政府性基金预算拨款安排的支出</w:t>
      </w:r>
      <w:r>
        <w:rPr>
          <w:rFonts w:hint="eastAsia" w:ascii="仿宋_GB2312" w:hAnsi="宋体" w:eastAsia="仿宋_GB2312"/>
          <w:b/>
          <w:kern w:val="0"/>
          <w:sz w:val="28"/>
          <w:szCs w:val="32"/>
          <w:lang w:eastAsia="zh-CN"/>
        </w:rPr>
        <w:t>，此表为空表</w:t>
      </w:r>
      <w:r>
        <w:rPr>
          <w:rFonts w:hint="eastAsia" w:ascii="仿宋_GB2312" w:hAnsi="宋体" w:eastAsia="仿宋_GB2312"/>
          <w:b/>
          <w:kern w:val="0"/>
          <w:sz w:val="28"/>
          <w:szCs w:val="32"/>
        </w:rPr>
        <w:t>。</w:t>
      </w:r>
    </w:p>
    <w:p>
      <w:pPr>
        <w:spacing w:line="560" w:lineRule="exact"/>
        <w:jc w:val="center"/>
        <w:rPr>
          <w:rFonts w:hint="eastAsia" w:ascii="仿宋_GB2312" w:hAnsi="宋体" w:eastAsia="仿宋_GB2312"/>
          <w:b/>
          <w:kern w:val="0"/>
          <w:sz w:val="28"/>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民盟昌吉市委会</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民盟昌吉市委会</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民盟昌吉市委会</w:t>
      </w:r>
      <w:r>
        <w:rPr>
          <w:rFonts w:hint="eastAsia" w:ascii="仿宋_GB2312" w:hAnsi="宋体" w:eastAsia="仿宋_GB2312" w:cs="宋体"/>
          <w:kern w:val="0"/>
          <w:sz w:val="32"/>
          <w:szCs w:val="32"/>
        </w:rPr>
        <w:t>2022年所有收入和支出均纳入部门（单位）预算管理。收支总预算</w:t>
      </w:r>
      <w:r>
        <w:rPr>
          <w:rFonts w:hint="eastAsia" w:ascii="仿宋_GB2312" w:hAnsi="宋体" w:eastAsia="仿宋_GB2312" w:cs="宋体"/>
          <w:kern w:val="0"/>
          <w:sz w:val="32"/>
          <w:szCs w:val="32"/>
          <w:lang w:val="en-US" w:eastAsia="zh-CN"/>
        </w:rPr>
        <w:t>57.86</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57.86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48.01万元</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3.8万元</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2.77万元</w:t>
      </w:r>
      <w:r>
        <w:rPr>
          <w:rFonts w:hint="eastAsia" w:ascii="仿宋_GB2312" w:hAnsi="宋体" w:eastAsia="仿宋_GB2312" w:cs="宋体"/>
          <w:kern w:val="0"/>
          <w:sz w:val="32"/>
          <w:szCs w:val="32"/>
        </w:rPr>
        <w:t>、住房保障支出</w:t>
      </w:r>
      <w:r>
        <w:rPr>
          <w:rFonts w:hint="eastAsia" w:ascii="仿宋_GB2312" w:hAnsi="宋体" w:eastAsia="仿宋_GB2312" w:cs="宋体"/>
          <w:kern w:val="0"/>
          <w:sz w:val="32"/>
          <w:szCs w:val="32"/>
          <w:lang w:val="en-US" w:eastAsia="zh-CN"/>
        </w:rPr>
        <w:t>3.28万元。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民盟昌吉市委会</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民盟昌吉市委会</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57.86</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57.86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2.19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项目经费增加</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民盟昌吉市委会</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民盟昌吉市委会</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57.86</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39.86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69</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0.19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社保费有所增加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项目增加</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民盟昌吉市委会</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57.86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57.86</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48.01</w:t>
      </w:r>
      <w:r>
        <w:rPr>
          <w:rFonts w:hint="eastAsia" w:ascii="仿宋_GB2312" w:hAnsi="宋体" w:eastAsia="仿宋_GB2312" w:cs="宋体"/>
          <w:kern w:val="0"/>
          <w:sz w:val="32"/>
          <w:szCs w:val="32"/>
        </w:rPr>
        <w:t>万元，主要用于</w:t>
      </w:r>
      <w:r>
        <w:rPr>
          <w:rFonts w:hint="eastAsia" w:ascii="仿宋_GB2312" w:hAnsi="宋体" w:eastAsia="仿宋_GB2312" w:cs="宋体"/>
          <w:spacing w:val="-6"/>
          <w:kern w:val="0"/>
          <w:sz w:val="32"/>
          <w:szCs w:val="32"/>
          <w:lang w:val="en-US" w:eastAsia="zh-CN"/>
        </w:rPr>
        <w:t>民盟</w:t>
      </w:r>
      <w:r>
        <w:rPr>
          <w:rFonts w:hint="eastAsia" w:ascii="仿宋_GB2312" w:hAnsi="宋体" w:eastAsia="仿宋_GB2312" w:cs="宋体"/>
          <w:spacing w:val="-6"/>
          <w:kern w:val="0"/>
          <w:sz w:val="32"/>
          <w:szCs w:val="32"/>
          <w:lang w:eastAsia="zh-CN"/>
        </w:rPr>
        <w:t>机关正常运转、社会保障以及</w:t>
      </w:r>
      <w:r>
        <w:rPr>
          <w:rFonts w:hint="eastAsia" w:ascii="仿宋_GB2312" w:hAnsi="宋体" w:eastAsia="仿宋_GB2312" w:cs="宋体"/>
          <w:spacing w:val="-6"/>
          <w:kern w:val="0"/>
          <w:sz w:val="32"/>
          <w:szCs w:val="32"/>
          <w:lang w:val="en-US" w:eastAsia="zh-CN"/>
        </w:rPr>
        <w:t>民盟各支部（小组）、青年</w:t>
      </w:r>
      <w:r>
        <w:rPr>
          <w:rFonts w:hint="eastAsia" w:ascii="仿宋_GB2312" w:hAnsi="宋体" w:eastAsia="仿宋_GB2312" w:cs="宋体"/>
          <w:spacing w:val="-6"/>
          <w:kern w:val="0"/>
          <w:sz w:val="32"/>
          <w:szCs w:val="32"/>
          <w:lang w:eastAsia="zh-CN"/>
        </w:rPr>
        <w:t>委员会、</w:t>
      </w:r>
      <w:r>
        <w:rPr>
          <w:rFonts w:hint="eastAsia" w:ascii="仿宋_GB2312" w:hAnsi="宋体" w:eastAsia="仿宋_GB2312" w:cs="宋体"/>
          <w:spacing w:val="-6"/>
          <w:kern w:val="0"/>
          <w:sz w:val="32"/>
          <w:szCs w:val="32"/>
          <w:lang w:val="en-US" w:eastAsia="zh-CN"/>
        </w:rPr>
        <w:t>妇女委员会进行组织生活和开展</w:t>
      </w:r>
      <w:r>
        <w:rPr>
          <w:rFonts w:hint="eastAsia" w:ascii="仿宋_GB2312" w:hAnsi="宋体" w:eastAsia="仿宋_GB2312" w:cs="宋体"/>
          <w:spacing w:val="-6"/>
          <w:kern w:val="0"/>
          <w:sz w:val="32"/>
          <w:szCs w:val="32"/>
          <w:lang w:eastAsia="zh-CN"/>
        </w:rPr>
        <w:t>活动，</w:t>
      </w:r>
      <w:r>
        <w:rPr>
          <w:rFonts w:hint="eastAsia" w:ascii="仿宋_GB2312" w:hAnsi="宋体" w:eastAsia="仿宋_GB2312" w:cs="宋体"/>
          <w:spacing w:val="-6"/>
          <w:kern w:val="0"/>
          <w:sz w:val="32"/>
          <w:szCs w:val="32"/>
          <w:lang w:val="en-US" w:eastAsia="zh-CN"/>
        </w:rPr>
        <w:t>民盟各级协</w:t>
      </w:r>
      <w:r>
        <w:rPr>
          <w:rFonts w:hint="eastAsia" w:ascii="仿宋_GB2312" w:hAnsi="宋体" w:eastAsia="仿宋_GB2312" w:cs="宋体"/>
          <w:spacing w:val="-6"/>
          <w:kern w:val="0"/>
          <w:sz w:val="32"/>
          <w:szCs w:val="32"/>
          <w:lang w:eastAsia="zh-CN"/>
        </w:rPr>
        <w:t>委员日常工作和调研、视察等；</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3.8万元，主要用于民盟机关人员养老缴费；</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2.77万元，主要用于民盟机关人员医疗保障；住房保障支出3.28万元，主要用于民盟机关人员住房公积金缴费。</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民盟昌吉市委会</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57.86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39.86</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lang w:val="en-US" w:eastAsia="zh-CN"/>
        </w:rPr>
        <w:t>0.19</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0.4</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社保费有所增加</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18</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12</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项目增加</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w:t>
      </w:r>
      <w:r>
        <w:rPr>
          <w:rFonts w:hint="eastAsia" w:ascii="仿宋_GB2312" w:hAnsi="仿宋_GB2312" w:eastAsia="仿宋_GB2312" w:cs="仿宋_GB2312"/>
          <w:sz w:val="32"/>
          <w:szCs w:val="32"/>
          <w:lang w:eastAsia="zh-CN"/>
        </w:rPr>
        <w:t>支出</w:t>
      </w:r>
      <w:r>
        <w:rPr>
          <w:rFonts w:hint="eastAsia" w:ascii="仿宋_GB2312" w:hAnsi="宋体" w:eastAsia="仿宋_GB2312" w:cs="宋体"/>
          <w:kern w:val="0"/>
          <w:sz w:val="32"/>
          <w:szCs w:val="32"/>
          <w:lang w:val="en-US" w:eastAsia="zh-CN"/>
        </w:rPr>
        <w:t>48.01</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lang w:val="en-US" w:eastAsia="zh-CN"/>
        </w:rPr>
        <w:t>83</w:t>
      </w:r>
      <w:r>
        <w:rPr>
          <w:rFonts w:hint="eastAsia" w:ascii="仿宋_GB2312" w:hAnsi="仿宋_GB2312" w:eastAsia="仿宋_GB2312" w:cs="仿宋_GB2312"/>
          <w:kern w:val="0"/>
          <w:sz w:val="32"/>
          <w:szCs w:val="32"/>
        </w:rPr>
        <w:t>%。</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eastAsia="zh-CN"/>
        </w:rPr>
        <w:t>社会保障和就业支出</w:t>
      </w:r>
      <w:r>
        <w:rPr>
          <w:rFonts w:hint="eastAsia" w:ascii="仿宋_GB2312" w:hAnsi="仿宋_GB2312" w:eastAsia="仿宋_GB2312" w:cs="仿宋_GB2312"/>
          <w:kern w:val="0"/>
          <w:sz w:val="32"/>
          <w:szCs w:val="32"/>
          <w:lang w:val="en-US" w:eastAsia="zh-CN"/>
        </w:rPr>
        <w:t>3.8万元，占6%。</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3.卫生健康支出2.77万元，占5%。</w:t>
      </w:r>
    </w:p>
    <w:p>
      <w:pPr>
        <w:spacing w:line="560" w:lineRule="exact"/>
        <w:ind w:firstLine="640" w:firstLineChars="20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4.住房保障支出3.28万元，占6%。</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仿宋_GB2312" w:eastAsia="仿宋_GB2312" w:cs="仿宋_GB2312"/>
          <w:kern w:val="0"/>
          <w:sz w:val="32"/>
          <w:szCs w:val="32"/>
        </w:rPr>
        <w:t>1.例：一般公共服务（类）</w:t>
      </w:r>
      <w:r>
        <w:rPr>
          <w:rFonts w:hint="eastAsia" w:ascii="仿宋_GB2312" w:hAnsi="仿宋_GB2312" w:eastAsia="仿宋_GB2312" w:cs="仿宋_GB2312"/>
          <w:kern w:val="0"/>
          <w:sz w:val="32"/>
          <w:szCs w:val="32"/>
          <w:lang w:eastAsia="zh-CN"/>
        </w:rPr>
        <w:t>民主党派及工商联事务</w:t>
      </w:r>
      <w:r>
        <w:rPr>
          <w:rFonts w:hint="eastAsia" w:ascii="仿宋_GB2312" w:hAnsi="仿宋_GB2312" w:eastAsia="仿宋_GB2312" w:cs="仿宋_GB2312"/>
          <w:kern w:val="0"/>
          <w:sz w:val="32"/>
          <w:szCs w:val="32"/>
        </w:rPr>
        <w:t>（款）行政运行（项）:2022年预算数为</w:t>
      </w:r>
      <w:r>
        <w:rPr>
          <w:rFonts w:hint="eastAsia" w:ascii="仿宋_GB2312" w:hAnsi="宋体" w:eastAsia="仿宋_GB2312" w:cs="宋体"/>
          <w:kern w:val="0"/>
          <w:sz w:val="32"/>
          <w:szCs w:val="32"/>
          <w:lang w:val="en-US" w:eastAsia="zh-CN"/>
        </w:rPr>
        <w:t>30.01</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1.08</w:t>
      </w:r>
      <w:r>
        <w:rPr>
          <w:rFonts w:hint="eastAsia" w:ascii="仿宋_GB2312" w:hAnsi="仿宋_GB2312" w:eastAsia="仿宋_GB2312" w:cs="仿宋_GB2312"/>
          <w:kern w:val="0"/>
          <w:sz w:val="32"/>
          <w:szCs w:val="32"/>
        </w:rPr>
        <w:t>万元，下降</w:t>
      </w:r>
      <w:r>
        <w:rPr>
          <w:rFonts w:hint="eastAsia" w:ascii="仿宋_GB2312" w:hAnsi="宋体" w:eastAsia="仿宋_GB2312" w:cs="宋体"/>
          <w:kern w:val="0"/>
          <w:sz w:val="32"/>
          <w:szCs w:val="32"/>
          <w:lang w:val="en-US" w:eastAsia="zh-CN"/>
        </w:rPr>
        <w:t>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将住房公积金从行政运行中分出，单独列示</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一般公共服务支出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民主党派及工商联</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增加了《</w:t>
      </w:r>
      <w:r>
        <w:rPr>
          <w:rFonts w:hint="eastAsia" w:ascii="仿宋_GB2312" w:hAnsi="宋体" w:eastAsia="仿宋_GB2312" w:cs="宋体"/>
          <w:kern w:val="0"/>
          <w:sz w:val="32"/>
          <w:szCs w:val="32"/>
          <w:lang w:val="en-US" w:eastAsia="zh-CN"/>
        </w:rPr>
        <w:t>昌吉盟讯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编印费项目</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一般公共服务支出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rPr>
        <w:t>民主党派及工商联</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参政议政</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与上年持平。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4.社会保障和就业支出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行政事业单位养老支出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行政单位离退休</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将其从</w:t>
      </w:r>
      <w:r>
        <w:rPr>
          <w:rFonts w:hint="eastAsia" w:ascii="仿宋_GB2312" w:hAnsi="宋体" w:eastAsia="仿宋_GB2312" w:cs="宋体"/>
          <w:kern w:val="0"/>
          <w:sz w:val="32"/>
          <w:szCs w:val="32"/>
        </w:rPr>
        <w:t>机关事业单位基本养老</w:t>
      </w:r>
      <w:r>
        <w:rPr>
          <w:rFonts w:hint="eastAsia" w:ascii="仿宋_GB2312" w:hAnsi="宋体" w:eastAsia="仿宋_GB2312" w:cs="宋体"/>
          <w:kern w:val="0"/>
          <w:sz w:val="32"/>
          <w:szCs w:val="32"/>
          <w:lang w:val="en-US" w:eastAsia="zh-CN"/>
        </w:rPr>
        <w:t>保险缴费支出</w:t>
      </w:r>
      <w:r>
        <w:rPr>
          <w:rFonts w:hint="eastAsia" w:ascii="仿宋_GB2312" w:hAnsi="宋体" w:eastAsia="仿宋_GB2312" w:cs="宋体"/>
          <w:kern w:val="0"/>
          <w:sz w:val="32"/>
          <w:szCs w:val="32"/>
          <w:lang w:eastAsia="zh-CN"/>
        </w:rPr>
        <w:t>中分出，单独列示</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5.社会保障和就业支出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行政事业单位养老支出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机关事业单位基本养老</w:t>
      </w:r>
      <w:r>
        <w:rPr>
          <w:rFonts w:hint="eastAsia" w:ascii="仿宋_GB2312" w:hAnsi="宋体" w:eastAsia="仿宋_GB2312" w:cs="宋体"/>
          <w:kern w:val="0"/>
          <w:sz w:val="32"/>
          <w:szCs w:val="32"/>
          <w:lang w:val="en-US" w:eastAsia="zh-CN"/>
        </w:rPr>
        <w:t>保险缴费支出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w:t>
      </w:r>
      <w:r>
        <w:rPr>
          <w:rFonts w:hint="eastAsia" w:ascii="仿宋_GB2312" w:hAnsi="宋体" w:eastAsia="仿宋_GB2312" w:cs="宋体"/>
          <w:kern w:val="0"/>
          <w:sz w:val="32"/>
          <w:szCs w:val="32"/>
          <w:lang w:val="en-US" w:eastAsia="zh-CN"/>
        </w:rPr>
        <w:t>0.34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人员工资增加，养老</w:t>
      </w:r>
      <w:r>
        <w:rPr>
          <w:rFonts w:hint="eastAsia" w:ascii="仿宋_GB2312" w:hAnsi="宋体" w:eastAsia="仿宋_GB2312" w:cs="宋体"/>
          <w:kern w:val="0"/>
          <w:sz w:val="32"/>
          <w:szCs w:val="32"/>
          <w:lang w:val="en-US" w:eastAsia="zh-CN"/>
        </w:rPr>
        <w:t>基数</w:t>
      </w:r>
      <w:r>
        <w:rPr>
          <w:rFonts w:hint="eastAsia" w:ascii="仿宋_GB2312" w:hAnsi="宋体" w:eastAsia="仿宋_GB2312" w:cs="宋体"/>
          <w:kern w:val="0"/>
          <w:sz w:val="32"/>
          <w:szCs w:val="32"/>
          <w:lang w:eastAsia="zh-CN"/>
        </w:rPr>
        <w:t>相应</w:t>
      </w:r>
      <w:r>
        <w:rPr>
          <w:rFonts w:hint="eastAsia" w:ascii="仿宋_GB2312" w:hAnsi="宋体" w:eastAsia="仿宋_GB2312" w:cs="宋体"/>
          <w:kern w:val="0"/>
          <w:sz w:val="32"/>
          <w:szCs w:val="32"/>
          <w:lang w:val="en-US" w:eastAsia="zh-CN"/>
        </w:rPr>
        <w:t>上调</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6.卫生健康支出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2.08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2.01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49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将其他行政事业单位医疗支出从</w:t>
      </w:r>
      <w:r>
        <w:rPr>
          <w:rFonts w:hint="eastAsia" w:ascii="仿宋_GB2312" w:hAnsi="宋体" w:eastAsia="仿宋_GB2312" w:cs="宋体"/>
          <w:kern w:val="0"/>
          <w:sz w:val="32"/>
          <w:szCs w:val="32"/>
        </w:rPr>
        <w:t>行政单位医疗</w:t>
      </w:r>
      <w:r>
        <w:rPr>
          <w:rFonts w:hint="eastAsia" w:ascii="仿宋_GB2312" w:hAnsi="宋体" w:eastAsia="仿宋_GB2312" w:cs="宋体"/>
          <w:kern w:val="0"/>
          <w:sz w:val="32"/>
          <w:szCs w:val="32"/>
          <w:lang w:eastAsia="zh-CN"/>
        </w:rPr>
        <w:t>中分出，单独列示</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7.卫生健康支出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行政事业单位医疗</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公务员医疗补助</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0.66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0.67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50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基本医疗</w:t>
      </w:r>
      <w:r>
        <w:rPr>
          <w:rFonts w:hint="eastAsia" w:ascii="仿宋_GB2312" w:hAnsi="宋体" w:eastAsia="仿宋_GB2312" w:cs="宋体"/>
          <w:kern w:val="0"/>
          <w:sz w:val="32"/>
          <w:szCs w:val="32"/>
          <w:lang w:val="en-US" w:eastAsia="zh-CN"/>
        </w:rPr>
        <w:t>基</w:t>
      </w:r>
      <w:r>
        <w:rPr>
          <w:rFonts w:hint="eastAsia" w:ascii="仿宋_GB2312" w:hAnsi="宋体" w:eastAsia="仿宋_GB2312" w:cs="宋体"/>
          <w:kern w:val="0"/>
          <w:sz w:val="32"/>
          <w:szCs w:val="32"/>
          <w:lang w:eastAsia="zh-CN"/>
        </w:rPr>
        <w:t>数减少</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8.住房保障支出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类</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住房改革支出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款</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住房公积金</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3.28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3.28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将住房公积金从行政运行中分出，单独列示</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民盟昌吉市委会</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eastAsia="zh-CN"/>
        </w:rPr>
        <w:t>民盟昌吉市委会</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spacing w:val="-6"/>
          <w:kern w:val="0"/>
          <w:sz w:val="32"/>
          <w:szCs w:val="32"/>
          <w:lang w:val="en-US" w:eastAsia="zh-CN"/>
        </w:rPr>
        <w:t>39</w:t>
      </w:r>
      <w:r>
        <w:rPr>
          <w:rFonts w:hint="eastAsia" w:ascii="仿宋_GB2312" w:hAnsi="宋体" w:eastAsia="仿宋_GB2312" w:cs="宋体"/>
          <w:kern w:val="0"/>
          <w:sz w:val="32"/>
          <w:szCs w:val="32"/>
          <w:lang w:val="en-US" w:eastAsia="zh-CN"/>
        </w:rPr>
        <w:t>.86</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35.65</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9.68</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11.73</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0.79</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3.5</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2.08</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0.66</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0.04</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3.28</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0.3</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3.19</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0.41</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4.21</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2.16</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0.12</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0.18</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0.05</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、劳务费</w:t>
      </w:r>
      <w:r>
        <w:rPr>
          <w:rFonts w:hint="eastAsia" w:ascii="仿宋_GB2312" w:hAnsi="宋体" w:eastAsia="仿宋_GB2312" w:cs="宋体"/>
          <w:kern w:val="0"/>
          <w:sz w:val="32"/>
          <w:szCs w:val="32"/>
          <w:lang w:val="en-US" w:eastAsia="zh-CN"/>
        </w:rPr>
        <w:t>0.2</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0.41</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0.37</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0.72</w:t>
      </w:r>
      <w:r>
        <w:rPr>
          <w:rFonts w:hint="eastAsia" w:ascii="仿宋_GB2312" w:hAnsi="宋体" w:eastAsia="仿宋_GB2312" w:cs="宋体"/>
          <w:spacing w:val="-6"/>
          <w:kern w:val="0"/>
          <w:sz w:val="32"/>
          <w:szCs w:val="32"/>
        </w:rPr>
        <w:t>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民盟昌吉市委会</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：《昌吉盟讯》编印费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中发〔2005〕5号、中发〔2012〕4号文件。《昌吉盟讯》是昌吉州民盟的内部刊物，是宣传中共十九大精神、中国共产党领导的多党合作制度、统战理论、盟务动态的重要“阵地”。在面向昌吉州发行的同时，通过邮寄的方式与全国政协、民盟中央、中央社会主义学院、民盟省级、市级组织和疆内民盟组织交流。</w:t>
      </w:r>
    </w:p>
    <w:p>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中国民主同盟昌吉市委员会</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资金总额</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万元，均来自财政拨款，投入使用时间是20</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年1月-12月，</w:t>
      </w:r>
      <w:r>
        <w:rPr>
          <w:rFonts w:hint="eastAsia" w:ascii="仿宋_GB2312" w:hAnsi="宋体" w:eastAsia="仿宋_GB2312" w:cs="宋体"/>
          <w:kern w:val="0"/>
          <w:sz w:val="32"/>
          <w:szCs w:val="32"/>
          <w:lang w:eastAsia="zh-CN"/>
        </w:rPr>
        <w:t>用于保障民主党派对外宣传工作，</w:t>
      </w:r>
      <w:r>
        <w:rPr>
          <w:rFonts w:hint="eastAsia" w:ascii="仿宋_GB2312" w:hAnsi="宋体" w:eastAsia="仿宋_GB2312" w:cs="宋体"/>
          <w:kern w:val="0"/>
          <w:sz w:val="32"/>
          <w:szCs w:val="32"/>
        </w:rPr>
        <w:t>编印《昌吉盟讯》</w:t>
      </w:r>
      <w:r>
        <w:rPr>
          <w:rFonts w:hint="eastAsia" w:ascii="仿宋_GB2312" w:hAnsi="宋体" w:eastAsia="仿宋_GB2312" w:cs="宋体"/>
          <w:kern w:val="0"/>
          <w:sz w:val="32"/>
          <w:szCs w:val="32"/>
          <w:lang w:val="en-US" w:eastAsia="zh-CN"/>
        </w:rPr>
        <w:t>350本</w:t>
      </w:r>
      <w:r>
        <w:rPr>
          <w:rFonts w:hint="eastAsia" w:ascii="仿宋_GB2312" w:hAnsi="宋体" w:eastAsia="仿宋_GB2312" w:cs="宋体"/>
          <w:kern w:val="0"/>
          <w:sz w:val="32"/>
          <w:szCs w:val="32"/>
        </w:rPr>
        <w:t>，做好昌吉民盟微信公众号运营和维护。</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仿宋_GB2312" w:hAnsi="黑体" w:eastAsia="仿宋_GB2312"/>
          <w:sz w:val="32"/>
          <w:szCs w:val="32"/>
        </w:rPr>
        <w:t>年1-12月</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参政议政费</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中发〔2005〕5号、中发〔2012〕4号文件。调研是民主党派参政议政的重要抓手，十九大报告中指出，“要进一步支持民主党派开展调查研究工作”。2016年10月开始，州党委进一步健全了自治州党委常委与党外代表人士联谊交友制度，要求民主党派就常委交办的课题深入开展调查研究，及时提交调研成果。</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中国民主同盟昌吉市委员会</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资金总额4万元，均来自财政拨款，投入使用时间是20</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rPr>
        <w:t>年1月-12月，按要求制定调研方案，将参政议政费全部投入到调研活动中使用。</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仿宋_GB2312" w:hAnsi="黑体" w:eastAsia="仿宋_GB2312"/>
          <w:sz w:val="32"/>
          <w:szCs w:val="32"/>
        </w:rPr>
        <w:t>年1-12月</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：民主党派活动费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中发〔2005〕5号、中发〔2012〕4号文件。民主党派活动费是财政拨付给民主党派的主要经费项目，是进一步贯彻落实中共十九大和民盟十二大以及自治区、自治州统战工作会议精神，《中共中央关于进一步加强中国共产党领导的多党合作和政治协商制度建设的意见》、《关于新形势下加强党外代表人士队伍建设的意见》和中共新疆维吾尔自治区委员会关于贯彻《中共中央关于进一步加强中国共产党领导的多党合作和政治协商制度</w:t>
      </w:r>
      <w:bookmarkStart w:id="0" w:name="_GoBack"/>
      <w:bookmarkEnd w:id="0"/>
      <w:r>
        <w:rPr>
          <w:rFonts w:hint="eastAsia" w:ascii="仿宋_GB2312" w:hAnsi="黑体" w:eastAsia="仿宋_GB2312"/>
          <w:sz w:val="32"/>
          <w:szCs w:val="32"/>
        </w:rPr>
        <w:t>建设的意见》的意见，不断加强民主党派自身建设的需要。主要用于民主党派基层组织开展组织生活、进行组织活动、从事社会服务活动。</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：12万元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：中国民主同盟昌吉市委员会</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：资金总额12万元，均来自财政拨款，投入使用时间是20</w:t>
      </w:r>
      <w:r>
        <w:rPr>
          <w:rFonts w:hint="eastAsia" w:ascii="仿宋_GB2312" w:hAnsi="黑体" w:eastAsia="仿宋_GB2312"/>
          <w:sz w:val="32"/>
          <w:szCs w:val="32"/>
          <w:lang w:val="en-US" w:eastAsia="zh-CN"/>
        </w:rPr>
        <w:t>22</w:t>
      </w:r>
      <w:r>
        <w:rPr>
          <w:rFonts w:hint="eastAsia" w:ascii="仿宋_GB2312" w:hAnsi="黑体" w:eastAsia="仿宋_GB2312"/>
          <w:sz w:val="32"/>
          <w:szCs w:val="32"/>
        </w:rPr>
        <w:t>年1月-12月，严格按照财务制度，用于保障10个基层组织能够正常开展组织生活、进行组织活动、从事社会服务活动</w:t>
      </w:r>
      <w:r>
        <w:rPr>
          <w:rFonts w:hint="eastAsia" w:ascii="仿宋_GB2312" w:hAnsi="黑体" w:eastAsia="仿宋_GB2312"/>
          <w:sz w:val="32"/>
          <w:szCs w:val="32"/>
          <w:lang w:val="en-US" w:eastAsia="zh-CN"/>
        </w:rPr>
        <w:t>.</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仿宋_GB2312" w:hAnsi="黑体" w:eastAsia="仿宋_GB2312"/>
          <w:sz w:val="32"/>
          <w:szCs w:val="32"/>
        </w:rPr>
        <w:t>年1-12月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民盟昌吉市委会</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民盟昌吉市委会</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0.05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0.05</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w:t>
      </w:r>
      <w:r>
        <w:rPr>
          <w:rFonts w:hint="eastAsia" w:ascii="仿宋_GB2312" w:hAnsi="宋体" w:eastAsia="仿宋_GB2312" w:cs="宋体"/>
          <w:kern w:val="0"/>
          <w:sz w:val="32"/>
          <w:szCs w:val="32"/>
          <w:lang w:val="en-US" w:eastAsia="zh-CN"/>
        </w:rPr>
        <w:t>与</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val="en-US" w:eastAsia="zh-CN"/>
        </w:rPr>
        <w:t>持平</w:t>
      </w:r>
      <w:r>
        <w:rPr>
          <w:rFonts w:hint="eastAsia" w:ascii="仿宋_GB2312" w:hAnsi="宋体" w:eastAsia="仿宋_GB2312" w:cs="宋体"/>
          <w:kern w:val="0"/>
          <w:sz w:val="32"/>
          <w:szCs w:val="32"/>
        </w:rPr>
        <w:t>，其中：因公出国（境）费为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万元，未安排预算。公务用车购置费为0万元，未安排预算。公务用车运行费</w:t>
      </w:r>
      <w:r>
        <w:rPr>
          <w:rFonts w:hint="eastAsia" w:ascii="仿宋_GB2312" w:hAnsi="宋体" w:eastAsia="仿宋_GB2312" w:cs="宋体"/>
          <w:kern w:val="0"/>
          <w:sz w:val="32"/>
          <w:szCs w:val="32"/>
          <w:lang w:val="en-US" w:eastAsia="zh-CN"/>
        </w:rPr>
        <w:t>为0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未安排预算。公务接待费公务接待费增加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民盟昌吉市委会</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4.21</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0.01</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0.2</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办公费和工会经费有所增加。</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2022年，</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民盟昌吉市委会</w:t>
      </w:r>
      <w:r>
        <w:rPr>
          <w:rFonts w:hint="eastAsia" w:ascii="仿宋_GB2312" w:hAnsi="仿宋_GB2312" w:eastAsia="仿宋_GB2312" w:cs="仿宋_GB2312"/>
          <w:color w:val="000000" w:themeColor="text1"/>
          <w:kern w:val="0"/>
          <w:sz w:val="32"/>
          <w:szCs w:val="32"/>
          <w14:textFill>
            <w14:solidFill>
              <w14:schemeClr w14:val="tx1"/>
            </w14:solidFill>
          </w14:textFill>
        </w:rPr>
        <w:t>政府采购预算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9.8</w:t>
      </w:r>
      <w:r>
        <w:rPr>
          <w:rFonts w:hint="eastAsia" w:ascii="仿宋_GB2312" w:hAnsi="仿宋_GB2312" w:eastAsia="仿宋_GB2312" w:cs="仿宋_GB2312"/>
          <w:color w:val="000000" w:themeColor="text1"/>
          <w:kern w:val="0"/>
          <w:sz w:val="32"/>
          <w:szCs w:val="32"/>
          <w14:textFill>
            <w14:solidFill>
              <w14:schemeClr w14:val="tx1"/>
            </w14:solidFill>
          </w14:textFill>
        </w:rPr>
        <w:t>万元，其中：政府采购货物预算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0.1</w:t>
      </w:r>
      <w:r>
        <w:rPr>
          <w:rFonts w:hint="eastAsia" w:ascii="仿宋_GB2312" w:hAnsi="仿宋_GB2312" w:eastAsia="仿宋_GB2312" w:cs="仿宋_GB2312"/>
          <w:color w:val="000000" w:themeColor="text1"/>
          <w:kern w:val="0"/>
          <w:sz w:val="32"/>
          <w:szCs w:val="32"/>
          <w14:textFill>
            <w14:solidFill>
              <w14:schemeClr w14:val="tx1"/>
            </w14:solidFill>
          </w14:textFill>
        </w:rPr>
        <w:t>万元，政府采购服务预算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9.7</w:t>
      </w:r>
      <w:r>
        <w:rPr>
          <w:rFonts w:hint="eastAsia" w:ascii="仿宋_GB2312" w:hAnsi="仿宋_GB2312" w:eastAsia="仿宋_GB2312" w:cs="仿宋_GB2312"/>
          <w:color w:val="000000" w:themeColor="text1"/>
          <w:kern w:val="0"/>
          <w:sz w:val="32"/>
          <w:szCs w:val="32"/>
          <w14:textFill>
            <w14:solidFill>
              <w14:schemeClr w14:val="tx1"/>
            </w14:solidFill>
          </w14:textFill>
        </w:rPr>
        <w:t>万元。</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2022年度本部门（单位）面向中小企业预留政府采购项目预算金额</w:t>
      </w:r>
      <w:r>
        <w:rPr>
          <w:rFonts w:hint="eastAsia" w:ascii="仿宋_GB2312" w:hAnsi="仿宋_GB2312" w:eastAsia="仿宋_GB2312" w:cs="仿宋_GB2312"/>
          <w:color w:val="000000" w:themeColor="text1"/>
          <w:sz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14:textFill>
            <w14:solidFill>
              <w14:schemeClr w14:val="tx1"/>
            </w14:solidFill>
          </w14:textFill>
        </w:rPr>
        <w:t>万元，其中：面向小微企业预留政府采购项目预算金额</w:t>
      </w:r>
      <w:r>
        <w:rPr>
          <w:rFonts w:hint="eastAsia" w:ascii="仿宋_GB2312" w:hAnsi="仿宋_GB2312" w:eastAsia="仿宋_GB2312" w:cs="仿宋_GB2312"/>
          <w:color w:val="000000" w:themeColor="text1"/>
          <w:sz w:val="32"/>
          <w:lang w:val="en-US" w:eastAsia="zh-CN"/>
          <w14:textFill>
            <w14:solidFill>
              <w14:schemeClr w14:val="tx1"/>
            </w14:solidFill>
          </w14:textFill>
        </w:rPr>
        <w:t>9.8</w:t>
      </w:r>
      <w:r>
        <w:rPr>
          <w:rFonts w:hint="eastAsia" w:ascii="仿宋_GB2312" w:hAnsi="仿宋_GB2312" w:eastAsia="仿宋_GB2312" w:cs="仿宋_GB2312"/>
          <w:color w:val="000000" w:themeColor="text1"/>
          <w:sz w:val="32"/>
          <w14:textFill>
            <w14:solidFill>
              <w14:schemeClr w14:val="tx1"/>
            </w14:solidFill>
          </w14:textFill>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宋体" w:eastAsia="仿宋_GB2312" w:cs="宋体"/>
          <w:kern w:val="0"/>
          <w:sz w:val="32"/>
          <w:szCs w:val="32"/>
          <w:lang w:val="en-US" w:eastAsia="zh-CN"/>
        </w:rPr>
        <w:t>43.2756</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宋体" w:eastAsia="仿宋_GB2312" w:cs="宋体"/>
          <w:kern w:val="0"/>
          <w:sz w:val="32"/>
          <w:szCs w:val="32"/>
          <w:lang w:val="en-US" w:eastAsia="zh-CN"/>
        </w:rPr>
        <w:t>43.2756</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宋体" w:eastAsia="仿宋_GB2312" w:cs="宋体"/>
          <w:kern w:val="0"/>
          <w:sz w:val="32"/>
          <w:szCs w:val="32"/>
          <w:lang w:val="en-US" w:eastAsia="zh-CN"/>
        </w:rPr>
        <w:t>15.49</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民盟昌吉市委会</w:t>
      </w:r>
      <w:r>
        <w:rPr>
          <w:rFonts w:hint="eastAsia" w:ascii="仿宋_GB2312" w:hAnsi="仿宋_GB2312" w:eastAsia="仿宋_GB2312" w:cs="仿宋_GB2312"/>
          <w:kern w:val="0"/>
          <w:sz w:val="32"/>
          <w:szCs w:val="32"/>
        </w:rPr>
        <w:t>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18</w:t>
      </w:r>
      <w:r>
        <w:rPr>
          <w:rFonts w:hint="eastAsia" w:ascii="仿宋_GB2312" w:hAnsi="仿宋_GB2312" w:eastAsia="仿宋_GB2312" w:cs="仿宋_GB2312"/>
          <w:kern w:val="0"/>
          <w:sz w:val="32"/>
          <w:szCs w:val="32"/>
        </w:rPr>
        <w:t>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民盟昌吉市委会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《昌吉盟讯》编印费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cs="宋体"/>
                <w:color w:val="000000"/>
                <w:sz w:val="18"/>
                <w:szCs w:val="18"/>
              </w:rPr>
            </w:pPr>
            <w:r>
              <w:rPr>
                <w:rFonts w:hint="eastAsia" w:ascii="宋体" w:hAnsi="宋体" w:cs="宋体"/>
                <w:color w:val="000000"/>
                <w:sz w:val="18"/>
                <w:szCs w:val="18"/>
                <w:lang w:eastAsia="zh-CN"/>
              </w:rPr>
              <w:t>用于保障民主党派对外宣传工作，</w:t>
            </w:r>
            <w:r>
              <w:rPr>
                <w:rFonts w:hint="eastAsia" w:ascii="宋体" w:hAnsi="宋体" w:cs="宋体"/>
                <w:color w:val="000000"/>
                <w:sz w:val="18"/>
                <w:szCs w:val="18"/>
              </w:rPr>
              <w:t>编印《昌吉盟讯》</w:t>
            </w:r>
            <w:r>
              <w:rPr>
                <w:rFonts w:hint="eastAsia" w:ascii="宋体" w:hAnsi="宋体" w:cs="宋体"/>
                <w:color w:val="000000"/>
                <w:sz w:val="18"/>
                <w:szCs w:val="18"/>
                <w:lang w:val="en-US" w:eastAsia="zh-CN"/>
              </w:rPr>
              <w:t>350本</w:t>
            </w:r>
            <w:r>
              <w:rPr>
                <w:rFonts w:hint="eastAsia" w:ascii="宋体" w:hAnsi="宋体" w:cs="宋体"/>
                <w:color w:val="000000"/>
                <w:sz w:val="18"/>
                <w:szCs w:val="18"/>
              </w:rPr>
              <w:t>，做好昌吉民盟微信公众号运营和维护，及时宣传政治协商、参政议政、社会服务等工作职能，扩大民盟的社会</w:t>
            </w:r>
            <w:r>
              <w:rPr>
                <w:rFonts w:hint="eastAsia" w:ascii="宋体" w:hAnsi="宋体" w:cs="宋体"/>
                <w:color w:val="000000"/>
                <w:sz w:val="18"/>
                <w:szCs w:val="18"/>
                <w:lang w:eastAsia="zh-CN"/>
              </w:rPr>
              <w:t>知名度和</w:t>
            </w:r>
            <w:r>
              <w:rPr>
                <w:rFonts w:hint="eastAsia" w:ascii="宋体" w:hAnsi="宋体" w:cs="宋体"/>
                <w:color w:val="000000"/>
                <w:sz w:val="18"/>
                <w:szCs w:val="18"/>
              </w:rPr>
              <w:t>影响力。</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编印《昌吉盟讯》刊物数量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=350本</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公益赠阅刊物数量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=200份</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制作宣传栏数量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=2个</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公众号刊发稿件数量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参政议政类稿件占全部发表稿件的比率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≥60%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原创稿件数量占稿件总数量的比率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≥90%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完成工作时限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2022年12月31日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完成各项工作及时率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《昌吉盟讯》约稿、采编、版权、编辑刊印费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≤0.5万元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昌吉民盟微信公众号运营和维护</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≤1.5万元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及时宣传政治协商、参政议政、社会服务等工作职能，扩大民盟的社会影响力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扩大</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lang w:bidi="ar"/>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cs="Arial"/>
                <w:i w:val="0"/>
                <w:iCs w:val="0"/>
                <w:color w:val="000000"/>
                <w:kern w:val="0"/>
                <w:sz w:val="20"/>
                <w:szCs w:val="20"/>
                <w:u w:val="none"/>
                <w:lang w:val="en-US" w:eastAsia="zh-CN" w:bidi="ar"/>
              </w:rPr>
              <w:t>微信公众号订阅人数增长率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深化盟员对中国共产党领导的多党合作和政治协商制度的思想认识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持续提高</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盟员对民盟宣传工作的满意度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≥90%</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民盟昌吉市委会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参政议政费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399"/>
              </w:tabs>
              <w:spacing w:line="480" w:lineRule="exact"/>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eastAsia="zh-CN"/>
              </w:rPr>
              <w:tab/>
            </w:r>
            <w:r>
              <w:rPr>
                <w:rFonts w:hint="eastAsia" w:ascii="宋体" w:hAnsi="宋体" w:cs="宋体"/>
                <w:color w:val="000000"/>
                <w:sz w:val="18"/>
                <w:szCs w:val="18"/>
                <w:lang w:val="en-US" w:eastAsia="zh-CN"/>
              </w:rPr>
              <w:t>4</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4</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宋体" w:hAnsi="宋体" w:cs="宋体"/>
                <w:color w:val="000000"/>
                <w:sz w:val="18"/>
                <w:szCs w:val="18"/>
              </w:rPr>
            </w:pPr>
            <w:r>
              <w:rPr>
                <w:rFonts w:hint="eastAsia" w:ascii="宋体" w:hAnsi="宋体" w:cs="宋体"/>
                <w:color w:val="000000"/>
                <w:sz w:val="18"/>
                <w:szCs w:val="18"/>
              </w:rPr>
              <w:t>用于保障民主党派参政议政工作的顺利开展，发挥好中国共产党领导的多党合作和政治协商制度，开展调研2次，撰写提案30件，完成调研报告2篇，使民主党派更好的发挥参政议政作用。</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开展调查研究次数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≥2次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撰写各级政协提案数量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≥30件</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完成专题调查研究报告数量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≥2篇</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被评为重点提案的数量占提案总量的比率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≥3%</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被采纳的意见建议数量占总数量的比率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≥40%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完成调研和政协提案、大会发言、信息撰写任务时限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2022年12月31日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各项工作完成及时率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调研工作租车费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调研考察住宿费等</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≤3万元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获州政协“优秀提案”奖励的数量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≥2份</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参政议政成果刊发、媒体报道次数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≥10次</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政协委员对民盟参政议政成果满意度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≥90%</w:t>
            </w:r>
          </w:p>
        </w:tc>
      </w:tr>
    </w:tbl>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rPr>
          <w:rFonts w:hint="eastAsia" w:ascii="楷体_GB2312" w:hAnsi="宋体" w:eastAsia="楷体_GB2312" w:cs="宋体"/>
          <w:b/>
          <w:kern w:val="0"/>
          <w:sz w:val="32"/>
          <w:szCs w:val="32"/>
        </w:rPr>
      </w:pPr>
    </w:p>
    <w:p>
      <w:pPr>
        <w:spacing w:line="600" w:lineRule="exact"/>
        <w:jc w:val="both"/>
        <w:rPr>
          <w:rFonts w:hint="eastAsia" w:ascii="楷体_GB2312" w:hAnsi="宋体" w:eastAsia="楷体_GB2312" w:cs="宋体"/>
          <w:b/>
          <w:kern w:val="0"/>
          <w:sz w:val="32"/>
          <w:szCs w:val="32"/>
        </w:rPr>
      </w:pPr>
    </w:p>
    <w:p>
      <w:pPr>
        <w:spacing w:line="600" w:lineRule="exact"/>
        <w:jc w:val="both"/>
        <w:rPr>
          <w:rFonts w:hint="eastAsia" w:ascii="楷体_GB2312" w:hAnsi="宋体" w:eastAsia="楷体_GB2312" w:cs="宋体"/>
          <w:b/>
          <w:kern w:val="0"/>
          <w:sz w:val="32"/>
          <w:szCs w:val="32"/>
        </w:rPr>
      </w:pPr>
    </w:p>
    <w:tbl>
      <w:tblPr>
        <w:tblStyle w:val="6"/>
        <w:tblpPr w:leftFromText="180" w:rightFromText="180" w:vertAnchor="text" w:horzAnchor="page" w:tblpX="1396" w:tblpY="406"/>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民盟昌吉市委会</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民主党派活动费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538" w:firstLineChars="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12</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宋体" w:hAnsi="宋体" w:cs="宋体"/>
                <w:color w:val="000000"/>
                <w:sz w:val="18"/>
                <w:szCs w:val="18"/>
              </w:rPr>
            </w:pPr>
            <w:r>
              <w:rPr>
                <w:rFonts w:hint="eastAsia" w:ascii="宋体" w:hAnsi="宋体" w:cs="宋体"/>
                <w:color w:val="000000"/>
                <w:sz w:val="18"/>
                <w:szCs w:val="18"/>
              </w:rPr>
              <w:t>用于保障10个基层组织能够正常开展组织生活、进行组织活动、从事社会服务活动，各项活动参与人数达到30人次，发放学习培训资料200份，青委会开展活动5项，发展新盟员5人，保证各项工作顺利进行，深化盟员对中国共产党领导的多党合作和政治协商制度的思想认识。</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各项活动参与盟员人次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≥30人次</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发放学习培训资料数量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≥200份</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青年委员会开展活动数量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≥5项</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新盟员加入民盟组织的人数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≥5人</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各基层组织活动开展率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完成各项活动时限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2022年12月31日</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完成各项工作及时率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开展培训考察调研活动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≤8万元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开展各类活动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≤4万元</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及时宣传政治协商、参政议政、社会服务等工作，扩大民盟的影响力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扩大</w:t>
            </w: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深化盟员对中国共产党领导的多党合作和政治协商制度的思想认识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持续提高</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default" w:ascii="Arial" w:hAnsi="Arial" w:eastAsia="宋体" w:cs="Arial"/>
                <w:i w:val="0"/>
                <w:iCs w:val="0"/>
                <w:color w:val="000000"/>
                <w:kern w:val="0"/>
                <w:sz w:val="20"/>
                <w:szCs w:val="20"/>
                <w:u w:val="none"/>
                <w:lang w:val="en-US" w:eastAsia="zh-CN" w:bidi="ar"/>
              </w:rPr>
              <w:t>盟员对民盟活动满意度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20"/>
                <w:szCs w:val="20"/>
              </w:rPr>
            </w:pPr>
            <w:r>
              <w:rPr>
                <w:rFonts w:hint="eastAsia" w:ascii="宋体" w:hAnsi="宋体" w:eastAsia="宋体" w:cs="宋体"/>
                <w:i w:val="0"/>
                <w:iCs w:val="0"/>
                <w:color w:val="000000"/>
                <w:kern w:val="0"/>
                <w:sz w:val="20"/>
                <w:szCs w:val="20"/>
                <w:u w:val="none"/>
                <w:lang w:val="en-US" w:eastAsia="zh-CN" w:bidi="ar"/>
              </w:rPr>
              <w:t>≥90%</w:t>
            </w:r>
          </w:p>
        </w:tc>
      </w:tr>
    </w:tbl>
    <w:p>
      <w:pPr>
        <w:spacing w:line="600" w:lineRule="exact"/>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中国民主同盟昌吉市委员会</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004D477F"/>
    <w:rsid w:val="002E5250"/>
    <w:rsid w:val="003923D8"/>
    <w:rsid w:val="004265FD"/>
    <w:rsid w:val="00432BE1"/>
    <w:rsid w:val="0047118F"/>
    <w:rsid w:val="004D477F"/>
    <w:rsid w:val="0059437A"/>
    <w:rsid w:val="0090107A"/>
    <w:rsid w:val="00944B81"/>
    <w:rsid w:val="00A61372"/>
    <w:rsid w:val="00AF3F7E"/>
    <w:rsid w:val="00B141E5"/>
    <w:rsid w:val="00C12D75"/>
    <w:rsid w:val="00CE4C77"/>
    <w:rsid w:val="00D85033"/>
    <w:rsid w:val="00EC6BDC"/>
    <w:rsid w:val="00F91EEB"/>
    <w:rsid w:val="012070B4"/>
    <w:rsid w:val="080556B6"/>
    <w:rsid w:val="08EA7791"/>
    <w:rsid w:val="0B6C41BF"/>
    <w:rsid w:val="0C1B5FF7"/>
    <w:rsid w:val="0C68301E"/>
    <w:rsid w:val="0F29620D"/>
    <w:rsid w:val="0F557518"/>
    <w:rsid w:val="10596051"/>
    <w:rsid w:val="12436309"/>
    <w:rsid w:val="16DD3D6D"/>
    <w:rsid w:val="17643773"/>
    <w:rsid w:val="19F75E95"/>
    <w:rsid w:val="1C240CC6"/>
    <w:rsid w:val="1C451B19"/>
    <w:rsid w:val="1EC20375"/>
    <w:rsid w:val="208D6B56"/>
    <w:rsid w:val="21962907"/>
    <w:rsid w:val="251975EC"/>
    <w:rsid w:val="28A95169"/>
    <w:rsid w:val="29852351"/>
    <w:rsid w:val="298F1847"/>
    <w:rsid w:val="2A2A7A8A"/>
    <w:rsid w:val="2C871B10"/>
    <w:rsid w:val="2C98510B"/>
    <w:rsid w:val="336B3702"/>
    <w:rsid w:val="33AF5832"/>
    <w:rsid w:val="349E55EF"/>
    <w:rsid w:val="34A662AF"/>
    <w:rsid w:val="34F95F2A"/>
    <w:rsid w:val="35812167"/>
    <w:rsid w:val="36202808"/>
    <w:rsid w:val="3697728D"/>
    <w:rsid w:val="36BE2F60"/>
    <w:rsid w:val="39946525"/>
    <w:rsid w:val="3A461688"/>
    <w:rsid w:val="3B1B510F"/>
    <w:rsid w:val="3B3F51A6"/>
    <w:rsid w:val="3CC6532D"/>
    <w:rsid w:val="3E79594E"/>
    <w:rsid w:val="414C4C69"/>
    <w:rsid w:val="418F3CA7"/>
    <w:rsid w:val="45EF0E26"/>
    <w:rsid w:val="466A1B31"/>
    <w:rsid w:val="46A77E10"/>
    <w:rsid w:val="48AF2AEE"/>
    <w:rsid w:val="48C0622C"/>
    <w:rsid w:val="49427EFB"/>
    <w:rsid w:val="49C23167"/>
    <w:rsid w:val="4BD04123"/>
    <w:rsid w:val="4D0762DF"/>
    <w:rsid w:val="4FE4453E"/>
    <w:rsid w:val="50417F43"/>
    <w:rsid w:val="527A249C"/>
    <w:rsid w:val="55AF2CD7"/>
    <w:rsid w:val="56FA589A"/>
    <w:rsid w:val="58464B5C"/>
    <w:rsid w:val="5A806F4F"/>
    <w:rsid w:val="5BEB2827"/>
    <w:rsid w:val="5BEC5266"/>
    <w:rsid w:val="5D457D87"/>
    <w:rsid w:val="5E2F264B"/>
    <w:rsid w:val="5F0A20CD"/>
    <w:rsid w:val="60C562E6"/>
    <w:rsid w:val="623D52CE"/>
    <w:rsid w:val="62536A77"/>
    <w:rsid w:val="650370F5"/>
    <w:rsid w:val="66065FEC"/>
    <w:rsid w:val="661C3C24"/>
    <w:rsid w:val="674918A6"/>
    <w:rsid w:val="6C983693"/>
    <w:rsid w:val="6E5C3C50"/>
    <w:rsid w:val="6E9E491F"/>
    <w:rsid w:val="6F654CF8"/>
    <w:rsid w:val="6F684B39"/>
    <w:rsid w:val="70713345"/>
    <w:rsid w:val="71760254"/>
    <w:rsid w:val="718E6ECA"/>
    <w:rsid w:val="71C75714"/>
    <w:rsid w:val="76B267C5"/>
    <w:rsid w:val="77546437"/>
    <w:rsid w:val="78372AC5"/>
    <w:rsid w:val="78764136"/>
    <w:rsid w:val="7925728E"/>
    <w:rsid w:val="7B5D19E1"/>
    <w:rsid w:val="7CD03810"/>
    <w:rsid w:val="7D7D65EA"/>
    <w:rsid w:val="7DCD5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8901</Words>
  <Characters>10379</Characters>
  <Lines>69</Lines>
  <Paragraphs>19</Paragraphs>
  <TotalTime>10</TotalTime>
  <ScaleCrop>false</ScaleCrop>
  <LinksUpToDate>false</LinksUpToDate>
  <CharactersWithSpaces>11112</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艾克斯1396398271</cp:lastModifiedBy>
  <dcterms:modified xsi:type="dcterms:W3CDTF">2023-09-14T09:20:24Z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B115318FCB3C4921BF18FBD0940EB7A3</vt:lpwstr>
  </property>
</Properties>
</file>