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昌吉州党员教育中心2022年预算公开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昌吉州党员教育中心</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昌吉州党员教育中心</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昌吉州党员教育中心概况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60" w:lineRule="exact"/>
        <w:ind w:firstLine="640" w:firstLineChars="200"/>
        <w:rPr>
          <w:rFonts w:ascii="仿宋_GB2312" w:hAnsi="宋体" w:eastAsia="仿宋_GB2312" w:cs="宋体"/>
          <w:bCs/>
          <w:kern w:val="0"/>
          <w:sz w:val="32"/>
          <w:szCs w:val="32"/>
        </w:rPr>
      </w:pPr>
      <w:r>
        <w:rPr>
          <w:rFonts w:hint="eastAsia" w:ascii="仿宋_GB2312" w:hAnsi="仿宋_GB2312" w:eastAsia="仿宋_GB2312" w:cs="仿宋_GB2312"/>
          <w:sz w:val="32"/>
          <w:szCs w:val="32"/>
        </w:rPr>
        <w:t>昌吉州党员教育中心主要职责：负责研究提出自治州党员教育工作规划和计划并组织实施，开展党员教育工作的调查研究并提出意见建议；负责自治州党员教育、远程教育工作的指导协调和督促检查；承担自治州党员干部现代远程教育以及党员教育信息化平台建设、管理使用和服务保障工作；承担自治州党员集中性和经常性学习教育活动有关具体事务和学习材料的组织编写；会同有关单位组织实施自治区、自治州党员教育培训重点工作；承担党员教育教材编写、课件开发，少数民族语言教学资源制作和译制工作；承担自治州党建网（博格达网）、博格达视野党建微信公众号平台运行管理和安全维护工作；承担部务会交办的其他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昌吉州党员教育中心无下属预算单位，下设3个科室，分别是：</w:t>
      </w:r>
      <w:r>
        <w:rPr>
          <w:rFonts w:hint="eastAsia" w:ascii="仿宋_GB2312" w:hAnsi="宋体" w:eastAsia="仿宋_GB2312" w:cs="宋体"/>
          <w:kern w:val="0"/>
          <w:sz w:val="32"/>
          <w:szCs w:val="32"/>
        </w:rPr>
        <w:t>综合科、教学资源科、培训科。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昌吉州党员教育中心</w:t>
      </w:r>
      <w:r>
        <w:rPr>
          <w:rFonts w:hint="eastAsia" w:ascii="仿宋_GB2312" w:hAnsi="宋体" w:eastAsia="仿宋_GB2312" w:cs="宋体"/>
          <w:kern w:val="0"/>
          <w:sz w:val="32"/>
          <w:szCs w:val="32"/>
        </w:rPr>
        <w:t>编制数11个，实有人数10人，其中：在职10人，增加0人；退休0人，增加0人；离休0人，增加0人。</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编制部门（单位）：昌吉州党员教育中心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205.95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167.86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205.95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14.17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11.13</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12.79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color w:val="FF0000"/>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205.95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205.95　</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编制部门（单位）：昌吉州党员教育中心                            单位：万元</w:t>
      </w:r>
    </w:p>
    <w:tbl>
      <w:tblPr>
        <w:tblStyle w:val="6"/>
        <w:tblW w:w="10042" w:type="dxa"/>
        <w:tblInd w:w="-630" w:type="dxa"/>
        <w:tblLayout w:type="fixed"/>
        <w:tblCellMar>
          <w:top w:w="0" w:type="dxa"/>
          <w:left w:w="108" w:type="dxa"/>
          <w:bottom w:w="0" w:type="dxa"/>
          <w:right w:w="108" w:type="dxa"/>
        </w:tblCellMar>
      </w:tblPr>
      <w:tblGrid>
        <w:gridCol w:w="585"/>
        <w:gridCol w:w="429"/>
        <w:gridCol w:w="417"/>
        <w:gridCol w:w="2145"/>
        <w:gridCol w:w="1018"/>
        <w:gridCol w:w="971"/>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43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918" w:hRule="atLeast"/>
        </w:trPr>
        <w:tc>
          <w:tcPr>
            <w:tcW w:w="58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7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sz w:val="18"/>
                <w:szCs w:val="18"/>
              </w:rPr>
              <w:t>167.86</w:t>
            </w:r>
          </w:p>
        </w:tc>
        <w:tc>
          <w:tcPr>
            <w:tcW w:w="971"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sz w:val="18"/>
                <w:szCs w:val="18"/>
              </w:rPr>
              <w:t>167.86</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组织事务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167.86</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167.86</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111.86</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111.86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56</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56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8.41</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8.41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2.66</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2.66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99</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0.06</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0.06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221</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jc w:val="center"/>
              <w:rPr>
                <w:rFonts w:ascii="宋体" w:hAnsi="宋体" w:cs="宋体"/>
                <w:bCs/>
                <w:color w:val="000000"/>
                <w:kern w:val="0"/>
                <w:sz w:val="18"/>
                <w:szCs w:val="18"/>
              </w:rPr>
            </w:pPr>
            <w:r>
              <w:rPr>
                <w:rFonts w:hint="eastAsia"/>
                <w:bCs/>
                <w:sz w:val="18"/>
                <w:szCs w:val="18"/>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221</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221</w:t>
            </w:r>
          </w:p>
        </w:tc>
        <w:tc>
          <w:tcPr>
            <w:tcW w:w="42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971"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8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205.95</w:t>
            </w:r>
          </w:p>
        </w:tc>
        <w:tc>
          <w:tcPr>
            <w:tcW w:w="9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205.95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编制部门（单位）：昌吉州党员教育中心                         单位：万元</w:t>
      </w:r>
    </w:p>
    <w:tbl>
      <w:tblPr>
        <w:tblStyle w:val="6"/>
        <w:tblW w:w="9420" w:type="dxa"/>
        <w:tblInd w:w="-240" w:type="dxa"/>
        <w:tblLayout w:type="fixed"/>
        <w:tblCellMar>
          <w:top w:w="0" w:type="dxa"/>
          <w:left w:w="108" w:type="dxa"/>
          <w:bottom w:w="0" w:type="dxa"/>
          <w:right w:w="108" w:type="dxa"/>
        </w:tblCellMar>
      </w:tblPr>
      <w:tblGrid>
        <w:gridCol w:w="533"/>
        <w:gridCol w:w="428"/>
        <w:gridCol w:w="428"/>
        <w:gridCol w:w="2531"/>
        <w:gridCol w:w="1822"/>
        <w:gridCol w:w="1823"/>
        <w:gridCol w:w="1855"/>
      </w:tblGrid>
      <w:tr>
        <w:tblPrEx>
          <w:tblLayout w:type="fixed"/>
          <w:tblCellMar>
            <w:top w:w="0" w:type="dxa"/>
            <w:left w:w="108" w:type="dxa"/>
            <w:bottom w:w="0" w:type="dxa"/>
            <w:right w:w="108" w:type="dxa"/>
          </w:tblCellMar>
        </w:tblPrEx>
        <w:trPr>
          <w:trHeight w:val="345" w:hRule="atLeast"/>
        </w:trPr>
        <w:tc>
          <w:tcPr>
            <w:tcW w:w="392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0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8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3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3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一般公共服务支出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sz w:val="18"/>
                <w:szCs w:val="18"/>
              </w:rPr>
              <w:t>167.86</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sz w:val="18"/>
                <w:szCs w:val="18"/>
              </w:rPr>
              <w:t>111.86</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sz w:val="18"/>
                <w:szCs w:val="18"/>
              </w:rPr>
              <w:t>56</w:t>
            </w: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组织事务</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167.86</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111.86</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56</w:t>
            </w: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行政运行</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111.86</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111.86</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一般行政管理事务</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56</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56</w:t>
            </w: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社会保障和就业支出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行政事业单位养老支出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机关事业单位基本养老保险缴费支出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14.17</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卫生健康支出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行政事业单位医疗</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11.13</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行政单位医疗</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8.41</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8.41</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公务员医疗补助</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2.66</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2.66</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99</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其他行政事业单位医疗支出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0.06</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0.06</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jc w:val="center"/>
              <w:rPr>
                <w:rFonts w:ascii="宋体" w:hAnsi="宋体" w:cs="宋体"/>
                <w:bCs/>
                <w:color w:val="000000"/>
                <w:kern w:val="0"/>
                <w:sz w:val="18"/>
                <w:szCs w:val="18"/>
              </w:rPr>
            </w:pPr>
            <w:r>
              <w:rPr>
                <w:rFonts w:hint="eastAsia"/>
                <w:bCs/>
                <w:sz w:val="18"/>
                <w:szCs w:val="18"/>
              </w:rPr>
              <w:t>住房改革支出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住房保障支出</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hint="eastAsia"/>
                <w:bCs/>
                <w:sz w:val="18"/>
                <w:szCs w:val="18"/>
              </w:rPr>
              <w:t>住房公积金</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r>
              <w:rPr>
                <w:rFonts w:hint="eastAsia" w:asciiTheme="majorEastAsia" w:hAnsiTheme="majorEastAsia" w:eastAsiaTheme="majorEastAsia" w:cstheme="majorEastAsia"/>
                <w:bCs/>
                <w:color w:val="000000"/>
                <w:kern w:val="0"/>
                <w:sz w:val="18"/>
                <w:szCs w:val="18"/>
              </w:rPr>
              <w:t>12.79</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Theme="majorEastAsia" w:hAnsiTheme="majorEastAsia" w:eastAsiaTheme="majorEastAsia" w:cstheme="majorEastAsia"/>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jc w:val="center"/>
            </w:pPr>
          </w:p>
        </w:tc>
        <w:tc>
          <w:tcPr>
            <w:tcW w:w="428" w:type="dxa"/>
            <w:tcBorders>
              <w:top w:val="nil"/>
              <w:left w:val="nil"/>
              <w:bottom w:val="single" w:color="auto" w:sz="4" w:space="0"/>
              <w:right w:val="single" w:color="auto" w:sz="4" w:space="0"/>
            </w:tcBorders>
            <w:vAlign w:val="center"/>
          </w:tcPr>
          <w:p>
            <w:pPr>
              <w:jc w:val="center"/>
            </w:pPr>
          </w:p>
        </w:tc>
        <w:tc>
          <w:tcPr>
            <w:tcW w:w="428" w:type="dxa"/>
            <w:tcBorders>
              <w:top w:val="nil"/>
              <w:left w:val="nil"/>
              <w:bottom w:val="single" w:color="auto" w:sz="4" w:space="0"/>
              <w:right w:val="single" w:color="auto" w:sz="4" w:space="0"/>
            </w:tcBorders>
            <w:vAlign w:val="center"/>
          </w:tcPr>
          <w:p>
            <w:pPr>
              <w:jc w:val="center"/>
            </w:pPr>
          </w:p>
        </w:tc>
        <w:tc>
          <w:tcPr>
            <w:tcW w:w="2531" w:type="dxa"/>
            <w:tcBorders>
              <w:top w:val="nil"/>
              <w:left w:val="nil"/>
              <w:bottom w:val="single" w:color="auto" w:sz="4" w:space="0"/>
              <w:right w:val="single" w:color="auto" w:sz="4" w:space="0"/>
            </w:tcBorders>
            <w:vAlign w:val="center"/>
          </w:tcPr>
          <w:p>
            <w:pPr>
              <w:jc w:val="cente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8"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205.95</w:t>
            </w:r>
          </w:p>
        </w:tc>
        <w:tc>
          <w:tcPr>
            <w:tcW w:w="18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149.95</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56</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昌吉州党员教育中心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kern w:val="0"/>
                <w:sz w:val="18"/>
                <w:szCs w:val="18"/>
              </w:rPr>
              <w:t>205.95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167.86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167.86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14.17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14.17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11.13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11.13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12.79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12.79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cs="宋体"/>
                <w:kern w:val="0"/>
                <w:sz w:val="18"/>
                <w:szCs w:val="18"/>
              </w:rPr>
              <w:t>205.95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205.95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205.95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7"/>
        <w:gridCol w:w="492"/>
        <w:gridCol w:w="428"/>
        <w:gridCol w:w="2506"/>
        <w:gridCol w:w="659"/>
        <w:gridCol w:w="1023"/>
        <w:gridCol w:w="216"/>
        <w:gridCol w:w="1624"/>
        <w:gridCol w:w="1699"/>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65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昌吉州党员教育中心</w:t>
            </w:r>
          </w:p>
        </w:tc>
        <w:tc>
          <w:tcPr>
            <w:tcW w:w="1239"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3"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9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8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0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9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0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9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一般公共服务支出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sz w:val="18"/>
                <w:szCs w:val="18"/>
              </w:rPr>
              <w:t>167.86</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sz w:val="18"/>
                <w:szCs w:val="18"/>
              </w:rPr>
              <w:t>111.86</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sz w:val="18"/>
                <w:szCs w:val="18"/>
              </w:rPr>
              <w:t>56</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32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组织事务</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167.86</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111.86</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56</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32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01</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行政运行</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111.86</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111.86</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32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02</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一般行政管理事务</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56</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56</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社会保障和就业支出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14.17</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14.17</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05</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行政事业单位养老支出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14.17</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14.17</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05</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05</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机关事业单位基本养老保险缴费支出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14.17</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14.17</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卫生健康支出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11.13</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11.13</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行政事业单位医疗</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11.13</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11.13</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01</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行政单位医疗</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8.41</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8.41</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03</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公务员医疗补助</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2.66</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2.66</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11</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99</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其他行政事业单位医疗支出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0.06</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0.06</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bCs/>
                <w:sz w:val="18"/>
                <w:szCs w:val="18"/>
              </w:rPr>
              <w:t>住房改革支出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12.79</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12.79</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住房保障支出</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12.79</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12.79</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02</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18"/>
                <w:szCs w:val="18"/>
              </w:rPr>
              <w:t>01</w:t>
            </w:r>
          </w:p>
        </w:tc>
        <w:tc>
          <w:tcPr>
            <w:tcW w:w="250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bCs/>
                <w:sz w:val="18"/>
                <w:szCs w:val="18"/>
              </w:rPr>
              <w:t>住房公积金</w:t>
            </w:r>
          </w:p>
        </w:tc>
        <w:tc>
          <w:tcPr>
            <w:tcW w:w="168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12.79</w:t>
            </w:r>
          </w:p>
        </w:tc>
        <w:tc>
          <w:tcPr>
            <w:tcW w:w="184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Theme="majorEastAsia" w:hAnsiTheme="majorEastAsia" w:eastAsiaTheme="majorEastAsia" w:cstheme="majorEastAsia"/>
                <w:bCs/>
                <w:color w:val="000000"/>
                <w:kern w:val="0"/>
                <w:sz w:val="18"/>
                <w:szCs w:val="18"/>
              </w:rPr>
              <w:t>12.79</w:t>
            </w:r>
          </w:p>
        </w:tc>
        <w:tc>
          <w:tcPr>
            <w:tcW w:w="16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69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69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69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69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69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205.95</w:t>
            </w:r>
          </w:p>
        </w:tc>
        <w:tc>
          <w:tcPr>
            <w:tcW w:w="184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205.95</w:t>
            </w:r>
          </w:p>
        </w:tc>
        <w:tc>
          <w:tcPr>
            <w:tcW w:w="169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昌吉州党员教育中心 </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129.84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129.84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39.76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39.76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46.56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46.56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机关事业单位基本养老保险繳费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14.17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14.17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8.41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8.41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0.06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0.06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12.79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12.79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20.12</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0.26</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5.21</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0.14</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1.67</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2.15</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0.78</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149.95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129.84</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20.1</w:t>
            </w:r>
            <w:r>
              <w:rPr>
                <w:rFonts w:hint="eastAsia" w:ascii="宋体" w:hAnsi="宋体" w:cs="宋体"/>
                <w:color w:val="000000"/>
                <w:kern w:val="0"/>
                <w:sz w:val="20"/>
                <w:szCs w:val="20"/>
                <w:lang w:val="en-US" w:eastAsia="zh-CN"/>
              </w:rPr>
              <w:t>1</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2"/>
        <w:gridCol w:w="519"/>
        <w:gridCol w:w="426"/>
        <w:gridCol w:w="426"/>
        <w:gridCol w:w="1032"/>
        <w:gridCol w:w="1163"/>
        <w:gridCol w:w="733"/>
        <w:gridCol w:w="556"/>
        <w:gridCol w:w="535"/>
        <w:gridCol w:w="632"/>
        <w:gridCol w:w="632"/>
        <w:gridCol w:w="378"/>
        <w:gridCol w:w="200"/>
        <w:gridCol w:w="418"/>
        <w:gridCol w:w="578"/>
        <w:gridCol w:w="418"/>
        <w:gridCol w:w="418"/>
        <w:gridCol w:w="387"/>
        <w:gridCol w:w="77"/>
      </w:tblGrid>
      <w:tr>
        <w:tblPrEx>
          <w:tblLayout w:type="fixed"/>
          <w:tblCellMar>
            <w:top w:w="0" w:type="dxa"/>
            <w:left w:w="108" w:type="dxa"/>
            <w:bottom w:w="0" w:type="dxa"/>
            <w:right w:w="108" w:type="dxa"/>
          </w:tblCellMar>
        </w:tblPrEx>
        <w:trPr>
          <w:gridBefore w:val="1"/>
          <w:gridAfter w:val="1"/>
          <w:wBefore w:w="12" w:type="dxa"/>
          <w:wAfter w:w="77" w:type="dxa"/>
          <w:trHeight w:val="375" w:hRule="atLeast"/>
        </w:trPr>
        <w:tc>
          <w:tcPr>
            <w:tcW w:w="9451"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2" w:type="dxa"/>
          <w:wAfter w:w="77" w:type="dxa"/>
          <w:trHeight w:val="405" w:hRule="atLeast"/>
        </w:trPr>
        <w:tc>
          <w:tcPr>
            <w:tcW w:w="5390"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昌吉州党员教育中心                       </w:t>
            </w:r>
          </w:p>
        </w:tc>
        <w:tc>
          <w:tcPr>
            <w:tcW w:w="164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9"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3"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3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63"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3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32"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6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3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widowControl/>
              <w:spacing w:line="280" w:lineRule="exact"/>
              <w:jc w:val="center"/>
            </w:pPr>
            <w:r>
              <w:rPr>
                <w:rFonts w:hint="eastAsia"/>
              </w:rPr>
              <w:t>201</w:t>
            </w:r>
          </w:p>
        </w:tc>
        <w:tc>
          <w:tcPr>
            <w:tcW w:w="426" w:type="dxa"/>
            <w:vAlign w:val="center"/>
          </w:tcPr>
          <w:p>
            <w:pPr>
              <w:widowControl/>
              <w:spacing w:line="280" w:lineRule="exact"/>
              <w:jc w:val="center"/>
            </w:pPr>
          </w:p>
        </w:tc>
        <w:tc>
          <w:tcPr>
            <w:tcW w:w="426" w:type="dxa"/>
            <w:vAlign w:val="center"/>
          </w:tcPr>
          <w:p>
            <w:pPr>
              <w:widowControl/>
              <w:spacing w:line="280" w:lineRule="exact"/>
              <w:jc w:val="center"/>
            </w:pPr>
          </w:p>
        </w:tc>
        <w:tc>
          <w:tcPr>
            <w:tcW w:w="1032" w:type="dxa"/>
            <w:vAlign w:val="center"/>
          </w:tcPr>
          <w:p>
            <w:pPr>
              <w:widowControl/>
              <w:spacing w:line="280" w:lineRule="exact"/>
              <w:jc w:val="center"/>
            </w:pPr>
            <w:r>
              <w:rPr>
                <w:rFonts w:hint="eastAsia"/>
              </w:rPr>
              <w:t>一般行政管理事务</w:t>
            </w:r>
          </w:p>
        </w:tc>
        <w:tc>
          <w:tcPr>
            <w:tcW w:w="1163" w:type="dxa"/>
            <w:vAlign w:val="center"/>
          </w:tcPr>
          <w:p>
            <w:pPr>
              <w:widowControl/>
              <w:spacing w:line="280" w:lineRule="exact"/>
              <w:jc w:val="center"/>
            </w:pPr>
          </w:p>
        </w:tc>
        <w:tc>
          <w:tcPr>
            <w:tcW w:w="733" w:type="dxa"/>
            <w:vAlign w:val="center"/>
          </w:tcPr>
          <w:p>
            <w:pPr>
              <w:widowControl/>
              <w:spacing w:line="280" w:lineRule="exact"/>
              <w:jc w:val="center"/>
            </w:pPr>
            <w:r>
              <w:rPr>
                <w:rFonts w:hint="eastAsia"/>
              </w:rPr>
              <w:t>56</w:t>
            </w:r>
          </w:p>
        </w:tc>
        <w:tc>
          <w:tcPr>
            <w:tcW w:w="556" w:type="dxa"/>
            <w:vAlign w:val="center"/>
          </w:tcPr>
          <w:p>
            <w:pPr>
              <w:widowControl/>
              <w:spacing w:line="280" w:lineRule="exact"/>
              <w:jc w:val="center"/>
            </w:pPr>
          </w:p>
        </w:tc>
        <w:tc>
          <w:tcPr>
            <w:tcW w:w="535" w:type="dxa"/>
            <w:vAlign w:val="center"/>
          </w:tcPr>
          <w:p>
            <w:pPr>
              <w:widowControl/>
              <w:spacing w:line="280" w:lineRule="exact"/>
              <w:jc w:val="center"/>
            </w:pPr>
            <w:r>
              <w:rPr>
                <w:rFonts w:hint="eastAsia"/>
              </w:rPr>
              <w:t>56</w:t>
            </w: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r>
              <w:rPr>
                <w:rFonts w:hint="eastAsia"/>
              </w:rPr>
              <w:t>201</w:t>
            </w:r>
          </w:p>
        </w:tc>
        <w:tc>
          <w:tcPr>
            <w:tcW w:w="426" w:type="dxa"/>
          </w:tcPr>
          <w:p>
            <w:pPr>
              <w:widowControl/>
              <w:spacing w:line="280" w:lineRule="exact"/>
              <w:jc w:val="center"/>
            </w:pPr>
            <w:r>
              <w:rPr>
                <w:rFonts w:hint="eastAsia"/>
              </w:rPr>
              <w:t>32</w:t>
            </w:r>
          </w:p>
        </w:tc>
        <w:tc>
          <w:tcPr>
            <w:tcW w:w="426" w:type="dxa"/>
          </w:tcPr>
          <w:p>
            <w:pPr>
              <w:widowControl/>
              <w:spacing w:line="280" w:lineRule="exact"/>
              <w:jc w:val="center"/>
            </w:pPr>
          </w:p>
        </w:tc>
        <w:tc>
          <w:tcPr>
            <w:tcW w:w="1032" w:type="dxa"/>
          </w:tcPr>
          <w:p>
            <w:pPr>
              <w:widowControl/>
              <w:spacing w:line="280" w:lineRule="exact"/>
              <w:jc w:val="center"/>
            </w:pPr>
            <w:r>
              <w:rPr>
                <w:rFonts w:hint="eastAsia"/>
              </w:rPr>
              <w:t>一般行政管理事务</w:t>
            </w:r>
          </w:p>
        </w:tc>
        <w:tc>
          <w:tcPr>
            <w:tcW w:w="1163" w:type="dxa"/>
          </w:tcPr>
          <w:p>
            <w:pPr>
              <w:widowControl/>
              <w:spacing w:line="280" w:lineRule="exact"/>
              <w:jc w:val="center"/>
            </w:pPr>
          </w:p>
        </w:tc>
        <w:tc>
          <w:tcPr>
            <w:tcW w:w="733" w:type="dxa"/>
          </w:tcPr>
          <w:p>
            <w:pPr>
              <w:widowControl/>
              <w:spacing w:line="280" w:lineRule="exact"/>
              <w:jc w:val="center"/>
            </w:pPr>
            <w:r>
              <w:rPr>
                <w:rFonts w:hint="eastAsia"/>
              </w:rPr>
              <w:t>56</w:t>
            </w:r>
          </w:p>
        </w:tc>
        <w:tc>
          <w:tcPr>
            <w:tcW w:w="556" w:type="dxa"/>
          </w:tcPr>
          <w:p>
            <w:pPr>
              <w:widowControl/>
              <w:spacing w:line="280" w:lineRule="exact"/>
              <w:jc w:val="center"/>
            </w:pPr>
          </w:p>
        </w:tc>
        <w:tc>
          <w:tcPr>
            <w:tcW w:w="535" w:type="dxa"/>
          </w:tcPr>
          <w:p>
            <w:pPr>
              <w:widowControl/>
              <w:spacing w:line="280" w:lineRule="exact"/>
              <w:jc w:val="center"/>
            </w:pPr>
            <w:r>
              <w:rPr>
                <w:rFonts w:hint="eastAsia"/>
              </w:rPr>
              <w:t>56</w:t>
            </w: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r>
              <w:rPr>
                <w:rFonts w:hint="eastAsia"/>
              </w:rPr>
              <w:t>201</w:t>
            </w:r>
          </w:p>
        </w:tc>
        <w:tc>
          <w:tcPr>
            <w:tcW w:w="426" w:type="dxa"/>
          </w:tcPr>
          <w:p>
            <w:pPr>
              <w:widowControl/>
              <w:spacing w:line="280" w:lineRule="exact"/>
              <w:jc w:val="center"/>
            </w:pPr>
            <w:r>
              <w:rPr>
                <w:rFonts w:hint="eastAsia"/>
              </w:rPr>
              <w:t>32</w:t>
            </w:r>
          </w:p>
        </w:tc>
        <w:tc>
          <w:tcPr>
            <w:tcW w:w="426" w:type="dxa"/>
          </w:tcPr>
          <w:p>
            <w:pPr>
              <w:widowControl/>
              <w:spacing w:line="280" w:lineRule="exact"/>
              <w:jc w:val="center"/>
            </w:pPr>
            <w:r>
              <w:rPr>
                <w:rFonts w:hint="eastAsia"/>
              </w:rPr>
              <w:t>02</w:t>
            </w:r>
          </w:p>
        </w:tc>
        <w:tc>
          <w:tcPr>
            <w:tcW w:w="1032" w:type="dxa"/>
          </w:tcPr>
          <w:p>
            <w:pPr>
              <w:widowControl/>
              <w:spacing w:line="280" w:lineRule="exact"/>
              <w:jc w:val="center"/>
            </w:pPr>
            <w:r>
              <w:rPr>
                <w:rFonts w:hint="eastAsia"/>
              </w:rPr>
              <w:t>一般行政管理事务</w:t>
            </w:r>
          </w:p>
        </w:tc>
        <w:tc>
          <w:tcPr>
            <w:tcW w:w="1163" w:type="dxa"/>
          </w:tcPr>
          <w:p>
            <w:pPr>
              <w:widowControl/>
              <w:spacing w:line="280" w:lineRule="exact"/>
              <w:jc w:val="center"/>
            </w:pPr>
            <w:r>
              <w:rPr>
                <w:rFonts w:hint="eastAsia"/>
              </w:rPr>
              <w:t>昌吉州党员教育运转保障经费</w:t>
            </w:r>
          </w:p>
        </w:tc>
        <w:tc>
          <w:tcPr>
            <w:tcW w:w="733" w:type="dxa"/>
          </w:tcPr>
          <w:p>
            <w:pPr>
              <w:widowControl/>
              <w:spacing w:line="280" w:lineRule="exact"/>
              <w:jc w:val="center"/>
            </w:pPr>
            <w:r>
              <w:rPr>
                <w:rFonts w:hint="eastAsia"/>
              </w:rPr>
              <w:t>56</w:t>
            </w:r>
          </w:p>
        </w:tc>
        <w:tc>
          <w:tcPr>
            <w:tcW w:w="556" w:type="dxa"/>
          </w:tcPr>
          <w:p>
            <w:pPr>
              <w:widowControl/>
              <w:spacing w:line="280" w:lineRule="exact"/>
              <w:jc w:val="center"/>
            </w:pPr>
          </w:p>
        </w:tc>
        <w:tc>
          <w:tcPr>
            <w:tcW w:w="535" w:type="dxa"/>
          </w:tcPr>
          <w:p>
            <w:pPr>
              <w:widowControl/>
              <w:spacing w:line="280" w:lineRule="exact"/>
              <w:jc w:val="center"/>
            </w:pPr>
            <w:r>
              <w:rPr>
                <w:rFonts w:hint="eastAsia"/>
              </w:rPr>
              <w:t>56</w:t>
            </w: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tcPr>
          <w:p>
            <w:pPr>
              <w:widowControl/>
              <w:spacing w:line="280" w:lineRule="exact"/>
              <w:jc w:val="center"/>
            </w:pPr>
          </w:p>
        </w:tc>
        <w:tc>
          <w:tcPr>
            <w:tcW w:w="733" w:type="dxa"/>
          </w:tcPr>
          <w:p>
            <w:pPr>
              <w:widowControl/>
              <w:spacing w:line="280" w:lineRule="exact"/>
              <w:jc w:val="center"/>
            </w:pPr>
          </w:p>
        </w:tc>
        <w:tc>
          <w:tcPr>
            <w:tcW w:w="556" w:type="dxa"/>
          </w:tcPr>
          <w:p>
            <w:pPr>
              <w:widowControl/>
              <w:spacing w:line="280" w:lineRule="exact"/>
              <w:jc w:val="center"/>
            </w:pPr>
          </w:p>
        </w:tc>
        <w:tc>
          <w:tcPr>
            <w:tcW w:w="535" w:type="dxa"/>
          </w:tcPr>
          <w:p>
            <w:pPr>
              <w:widowControl/>
              <w:spacing w:line="280" w:lineRule="exact"/>
              <w:jc w:val="center"/>
            </w:pP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widowControl/>
              <w:spacing w:line="280" w:lineRule="exact"/>
              <w:jc w:val="center"/>
            </w:pPr>
          </w:p>
        </w:tc>
        <w:tc>
          <w:tcPr>
            <w:tcW w:w="426" w:type="dxa"/>
          </w:tcPr>
          <w:p>
            <w:pPr>
              <w:widowControl/>
              <w:spacing w:line="280" w:lineRule="exact"/>
              <w:jc w:val="center"/>
            </w:pPr>
          </w:p>
        </w:tc>
        <w:tc>
          <w:tcPr>
            <w:tcW w:w="426" w:type="dxa"/>
          </w:tcPr>
          <w:p>
            <w:pPr>
              <w:widowControl/>
              <w:spacing w:line="280" w:lineRule="exact"/>
              <w:jc w:val="center"/>
            </w:pPr>
          </w:p>
        </w:tc>
        <w:tc>
          <w:tcPr>
            <w:tcW w:w="1032" w:type="dxa"/>
          </w:tcPr>
          <w:p>
            <w:pPr>
              <w:widowControl/>
              <w:spacing w:line="280" w:lineRule="exact"/>
              <w:jc w:val="center"/>
            </w:pPr>
          </w:p>
        </w:tc>
        <w:tc>
          <w:tcPr>
            <w:tcW w:w="1163" w:type="dxa"/>
            <w:vAlign w:val="center"/>
          </w:tcPr>
          <w:p>
            <w:pPr>
              <w:widowControl/>
              <w:spacing w:line="280" w:lineRule="exact"/>
              <w:jc w:val="center"/>
            </w:pPr>
            <w:r>
              <w:rPr>
                <w:rFonts w:hint="eastAsia"/>
              </w:rPr>
              <w:t>合 计</w:t>
            </w:r>
          </w:p>
        </w:tc>
        <w:tc>
          <w:tcPr>
            <w:tcW w:w="733" w:type="dxa"/>
            <w:vAlign w:val="center"/>
          </w:tcPr>
          <w:p>
            <w:pPr>
              <w:widowControl/>
              <w:spacing w:line="280" w:lineRule="exact"/>
              <w:jc w:val="center"/>
            </w:pPr>
            <w:r>
              <w:rPr>
                <w:rFonts w:hint="eastAsia"/>
              </w:rPr>
              <w:t>56</w:t>
            </w:r>
          </w:p>
        </w:tc>
        <w:tc>
          <w:tcPr>
            <w:tcW w:w="556" w:type="dxa"/>
          </w:tcPr>
          <w:p>
            <w:pPr>
              <w:widowControl/>
              <w:spacing w:line="280" w:lineRule="exact"/>
              <w:jc w:val="center"/>
            </w:pPr>
          </w:p>
        </w:tc>
        <w:tc>
          <w:tcPr>
            <w:tcW w:w="535" w:type="dxa"/>
            <w:vAlign w:val="center"/>
          </w:tcPr>
          <w:p>
            <w:pPr>
              <w:widowControl/>
              <w:spacing w:line="280" w:lineRule="exact"/>
              <w:jc w:val="center"/>
            </w:pPr>
            <w:r>
              <w:rPr>
                <w:rFonts w:hint="eastAsia"/>
              </w:rPr>
              <w:t>56</w:t>
            </w:r>
          </w:p>
        </w:tc>
        <w:tc>
          <w:tcPr>
            <w:tcW w:w="632" w:type="dxa"/>
          </w:tcPr>
          <w:p>
            <w:pPr>
              <w:widowControl/>
              <w:spacing w:line="280" w:lineRule="exact"/>
              <w:jc w:val="center"/>
            </w:pPr>
          </w:p>
        </w:tc>
        <w:tc>
          <w:tcPr>
            <w:tcW w:w="63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昌吉州党员教育中心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2.29</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2.29</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2.15</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0.14</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编制部门（单位）：昌吉州党员教育中心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50" w:lineRule="exact"/>
        <w:jc w:val="both"/>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spacing w:line="550" w:lineRule="exact"/>
        <w:ind w:firstLine="960" w:firstLineChars="300"/>
        <w:jc w:val="both"/>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50" w:lineRule="exact"/>
        <w:ind w:firstLine="640" w:firstLineChars="200"/>
        <w:rPr>
          <w:rFonts w:ascii="黑体" w:hAnsi="黑体" w:eastAsia="黑体"/>
          <w:kern w:val="0"/>
          <w:sz w:val="32"/>
          <w:szCs w:val="32"/>
        </w:rPr>
      </w:pPr>
    </w:p>
    <w:p>
      <w:pPr>
        <w:spacing w:line="55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一、关于昌吉州党员教育中心2022年收支预算情况的总体说明</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按照全口径预算的原则，昌吉州党员教育中心2022年所有收入和支出均纳入部门（单位）预算管理。收支总预算205.95万元。</w:t>
      </w:r>
    </w:p>
    <w:p>
      <w:pPr>
        <w:spacing w:line="55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收入预算包括：一般公共预算205.95万元。</w:t>
      </w:r>
    </w:p>
    <w:p>
      <w:pPr>
        <w:spacing w:line="55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rPr>
        <w:t>一般公共服务支出167.86万元，</w:t>
      </w:r>
      <w:r>
        <w:rPr>
          <w:rFonts w:hint="eastAsia" w:ascii="仿宋_GB2312" w:hAnsi="宋体" w:eastAsia="仿宋_GB2312" w:cs="宋体"/>
          <w:kern w:val="0"/>
          <w:sz w:val="32"/>
          <w:szCs w:val="32"/>
        </w:rPr>
        <w:t>社会保障和就业支出14.17万元，卫生健康支出11.13万元，住房保障支出12.79万元。</w:t>
      </w:r>
    </w:p>
    <w:p>
      <w:pPr>
        <w:spacing w:line="55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二、关于昌吉州党员教育中心2022年收入预算情况说明</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昌吉州党员教育中心收入预算205.95万元，其中：</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一般公共预算205.95万元，占100%，比上年预算增加5.31万元，增长2.6%，主要原因是人员经费较去年有所增加；    </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5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三、关于昌吉州党员教育中心2022年支出预算情况说明</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昌吉州党员教育中心2022年支出预算205.95万元，其中：</w:t>
      </w:r>
    </w:p>
    <w:p>
      <w:pPr>
        <w:spacing w:line="55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基本支出149.95万元，占72.81%，比上年预算增加5.31万元，增长3.67%，主要原因是人员经费较去年有所增加。</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项目支出56万元，占27.19%，比上年预算增加0万元，主要原因是单位项目没有变化。</w:t>
      </w:r>
    </w:p>
    <w:p>
      <w:pPr>
        <w:spacing w:line="55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四、关于昌吉州党员教育中心2022年财政拨款收支预算情况的总体说明</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2022年财政拨款收支总预算205.95万元。</w:t>
      </w:r>
    </w:p>
    <w:p>
      <w:pPr>
        <w:spacing w:line="55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收入预算包括：一般公共预算拨款205.95万元。</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一般公共预算支出包括：一般公共服务支出167.86万元，</w:t>
      </w:r>
      <w:r>
        <w:rPr>
          <w:rFonts w:hint="eastAsia" w:ascii="仿宋_GB2312" w:hAnsi="宋体" w:eastAsia="仿宋_GB2312" w:cs="宋体"/>
          <w:spacing w:val="-6"/>
          <w:kern w:val="0"/>
          <w:sz w:val="32"/>
          <w:szCs w:val="32"/>
        </w:rPr>
        <w:t>主要用于单位人员工资津贴及各类福利发放及项目建设</w:t>
      </w:r>
      <w:r>
        <w:rPr>
          <w:rFonts w:hint="eastAsia" w:ascii="仿宋_GB2312" w:hAnsi="宋体" w:eastAsia="仿宋_GB2312" w:cs="宋体"/>
          <w:kern w:val="0"/>
          <w:sz w:val="32"/>
          <w:szCs w:val="32"/>
        </w:rPr>
        <w:t>；社会保障和就业支出14.17万元，</w:t>
      </w:r>
      <w:r>
        <w:rPr>
          <w:rFonts w:hint="eastAsia" w:ascii="仿宋_GB2312" w:hAnsi="宋体" w:eastAsia="仿宋_GB2312" w:cs="宋体"/>
          <w:spacing w:val="-6"/>
          <w:kern w:val="0"/>
          <w:sz w:val="32"/>
          <w:szCs w:val="32"/>
        </w:rPr>
        <w:t>主要用于单位人员基本养老保险缴纳；</w:t>
      </w:r>
      <w:r>
        <w:rPr>
          <w:rFonts w:hint="eastAsia" w:ascii="仿宋_GB2312" w:hAnsi="宋体" w:eastAsia="仿宋_GB2312" w:cs="宋体"/>
          <w:kern w:val="0"/>
          <w:sz w:val="32"/>
          <w:szCs w:val="32"/>
        </w:rPr>
        <w:t>卫生健康支出11.13万元，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单位人员基本医疗保险和公务员医疗补助保险缴纳；住房保障支出12.79万元，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单位人员住房公积金缴纳。</w:t>
      </w:r>
    </w:p>
    <w:p>
      <w:pPr>
        <w:spacing w:line="55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昌吉州党员教育中心</w:t>
      </w:r>
      <w:r>
        <w:rPr>
          <w:rFonts w:hint="eastAsia" w:ascii="楷体_GB2312" w:hAnsi="楷体_GB2312" w:eastAsia="楷体_GB2312" w:cs="楷体_GB2312"/>
          <w:b/>
          <w:bCs/>
          <w:spacing w:val="-6"/>
          <w:kern w:val="0"/>
          <w:sz w:val="32"/>
          <w:szCs w:val="32"/>
        </w:rPr>
        <w:t>2022年一般公共预算当年拨款情况说明</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5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昌吉州党员教育中心2022年一般公共预算拨款合计</w:t>
      </w:r>
      <w:r>
        <w:rPr>
          <w:rFonts w:hint="eastAsia" w:ascii="仿宋_GB2312" w:hAnsi="宋体" w:eastAsia="仿宋_GB2312" w:cs="宋体"/>
          <w:kern w:val="0"/>
          <w:sz w:val="32"/>
          <w:szCs w:val="32"/>
        </w:rPr>
        <w:t>205.95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149.95</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5.31</w:t>
      </w:r>
      <w:r>
        <w:rPr>
          <w:rFonts w:hint="eastAsia" w:ascii="仿宋_GB2312" w:hAnsi="仿宋_GB2312" w:eastAsia="仿宋_GB2312" w:cs="仿宋_GB2312"/>
          <w:kern w:val="0"/>
          <w:sz w:val="32"/>
          <w:szCs w:val="32"/>
        </w:rPr>
        <w:t>万元，增长3.67%。主要原因是：</w:t>
      </w:r>
      <w:r>
        <w:rPr>
          <w:rFonts w:hint="eastAsia" w:ascii="仿宋_GB2312" w:hAnsi="宋体" w:eastAsia="仿宋_GB2312" w:cs="宋体"/>
          <w:kern w:val="0"/>
          <w:sz w:val="32"/>
          <w:szCs w:val="32"/>
        </w:rPr>
        <w:t>人员经费较去年有所增加</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项目支出56万元，占27.19%，比上年增加0万元，主要原因是单位项目没有变化。</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1.一般公共服务支出167.86万元，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81.51</w:t>
      </w:r>
      <w:r>
        <w:rPr>
          <w:rFonts w:hint="eastAsia" w:ascii="仿宋_GB2312" w:hAnsi="仿宋_GB2312" w:eastAsia="仿宋_GB2312" w:cs="仿宋_GB2312"/>
          <w:kern w:val="0"/>
          <w:sz w:val="32"/>
          <w:szCs w:val="32"/>
        </w:rPr>
        <w:t>%。</w:t>
      </w:r>
    </w:p>
    <w:p>
      <w:pPr>
        <w:spacing w:line="55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2.</w:t>
      </w:r>
      <w:r>
        <w:rPr>
          <w:rFonts w:hint="eastAsia" w:ascii="仿宋_GB2312" w:hAnsi="宋体" w:eastAsia="仿宋_GB2312" w:cs="宋体"/>
          <w:kern w:val="0"/>
          <w:sz w:val="32"/>
          <w:szCs w:val="32"/>
        </w:rPr>
        <w:t>社会保障和就业支出14.17万元，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6.88</w:t>
      </w:r>
      <w:r>
        <w:rPr>
          <w:rFonts w:hint="eastAsia" w:ascii="仿宋_GB2312" w:hAnsi="仿宋_GB2312" w:eastAsia="仿宋_GB2312" w:cs="仿宋_GB2312"/>
          <w:kern w:val="0"/>
          <w:sz w:val="32"/>
          <w:szCs w:val="32"/>
        </w:rPr>
        <w:t>%</w:t>
      </w:r>
      <w:r>
        <w:rPr>
          <w:rFonts w:hint="eastAsia" w:ascii="仿宋_GB2312" w:hAnsi="宋体" w:eastAsia="仿宋_GB2312" w:cs="宋体"/>
          <w:spacing w:val="-6"/>
          <w:kern w:val="0"/>
          <w:sz w:val="32"/>
          <w:szCs w:val="32"/>
        </w:rPr>
        <w:t>；</w:t>
      </w:r>
    </w:p>
    <w:p>
      <w:pPr>
        <w:spacing w:line="55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3.</w:t>
      </w:r>
      <w:r>
        <w:rPr>
          <w:rFonts w:hint="eastAsia" w:ascii="仿宋_GB2312" w:hAnsi="宋体" w:eastAsia="仿宋_GB2312" w:cs="宋体"/>
          <w:kern w:val="0"/>
          <w:sz w:val="32"/>
          <w:szCs w:val="32"/>
        </w:rPr>
        <w:t>卫生健康支出11.13万元，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5.40</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w:t>
      </w:r>
    </w:p>
    <w:p>
      <w:pPr>
        <w:spacing w:line="550" w:lineRule="exact"/>
        <w:ind w:firstLine="640" w:firstLineChars="200"/>
        <w:rPr>
          <w:rFonts w:ascii="仿宋_GB2312" w:hAnsi="仿宋_GB2312" w:eastAsia="仿宋_GB2312" w:cs="仿宋_GB2312"/>
          <w:sz w:val="32"/>
          <w:szCs w:val="32"/>
        </w:rPr>
      </w:pPr>
      <w:r>
        <w:rPr>
          <w:rFonts w:hint="eastAsia" w:ascii="仿宋_GB2312" w:hAnsi="宋体" w:eastAsia="仿宋_GB2312" w:cs="宋体"/>
          <w:kern w:val="0"/>
          <w:sz w:val="32"/>
          <w:szCs w:val="32"/>
        </w:rPr>
        <w:t>4.住房保障支出12.79万元，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6.21</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5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1.一般公共服务（类）</w:t>
      </w:r>
      <w:r>
        <w:rPr>
          <w:rFonts w:hint="eastAsia" w:ascii="仿宋_GB2312" w:hAnsi="宋体" w:eastAsia="仿宋_GB2312" w:cs="宋体"/>
          <w:kern w:val="0"/>
          <w:sz w:val="32"/>
          <w:szCs w:val="32"/>
        </w:rPr>
        <w:t>组织</w:t>
      </w:r>
      <w:r>
        <w:rPr>
          <w:rFonts w:ascii="仿宋_GB2312" w:hAnsi="宋体" w:eastAsia="仿宋_GB2312" w:cs="宋体"/>
          <w:kern w:val="0"/>
          <w:sz w:val="32"/>
          <w:szCs w:val="32"/>
        </w:rPr>
        <w:t>事务（款）行政运行（项）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111.86</w:t>
      </w:r>
      <w:r>
        <w:rPr>
          <w:rFonts w:hint="eastAsia" w:ascii="仿宋_GB2312" w:hAnsi="仿宋_GB2312" w:eastAsia="仿宋_GB2312" w:cs="仿宋_GB2312"/>
          <w:kern w:val="0"/>
          <w:sz w:val="32"/>
          <w:szCs w:val="32"/>
        </w:rPr>
        <w:t>万元，比上年预算减少11万元，下降8.95%，主要原因是：</w:t>
      </w:r>
      <w:r>
        <w:rPr>
          <w:rFonts w:hint="eastAsia" w:ascii="仿宋_GB2312" w:hAnsi="宋体" w:eastAsia="仿宋_GB2312" w:cs="宋体"/>
          <w:kern w:val="0"/>
          <w:sz w:val="32"/>
          <w:szCs w:val="32"/>
        </w:rPr>
        <w:t>单位严格执行相关规定，合理安排预算。</w:t>
      </w:r>
    </w:p>
    <w:p>
      <w:pPr>
        <w:spacing w:line="55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2.一般公共服务（类）</w:t>
      </w:r>
      <w:r>
        <w:rPr>
          <w:rFonts w:hint="eastAsia" w:ascii="仿宋_GB2312" w:hAnsi="宋体" w:eastAsia="仿宋_GB2312" w:cs="宋体"/>
          <w:kern w:val="0"/>
          <w:sz w:val="32"/>
          <w:szCs w:val="32"/>
        </w:rPr>
        <w:t>组织</w:t>
      </w:r>
      <w:r>
        <w:rPr>
          <w:rFonts w:ascii="仿宋_GB2312" w:hAnsi="宋体" w:eastAsia="仿宋_GB2312" w:cs="宋体"/>
          <w:kern w:val="0"/>
          <w:sz w:val="32"/>
          <w:szCs w:val="32"/>
        </w:rPr>
        <w:t>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56</w:t>
      </w:r>
      <w:r>
        <w:rPr>
          <w:rFonts w:hint="eastAsia" w:ascii="仿宋_GB2312" w:hAnsi="仿宋_GB2312" w:eastAsia="仿宋_GB2312" w:cs="仿宋_GB2312"/>
          <w:kern w:val="0"/>
          <w:sz w:val="32"/>
          <w:szCs w:val="32"/>
        </w:rPr>
        <w:t>万元，比上年预算增加0万元，主要原因是：</w:t>
      </w:r>
      <w:r>
        <w:rPr>
          <w:rFonts w:hint="eastAsia" w:ascii="仿宋_GB2312" w:hAnsi="宋体" w:eastAsia="仿宋_GB2312" w:cs="宋体"/>
          <w:kern w:val="0"/>
          <w:sz w:val="32"/>
          <w:szCs w:val="32"/>
        </w:rPr>
        <w:t>单位项目没有变化。</w:t>
      </w:r>
    </w:p>
    <w:p>
      <w:pPr>
        <w:spacing w:line="55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3.社会保障和就业支出（类）行政事业单位养老支出（</w:t>
      </w:r>
      <w:r>
        <w:rPr>
          <w:rFonts w:ascii="仿宋_GB2312" w:hAnsi="宋体" w:eastAsia="仿宋_GB2312" w:cs="宋体"/>
          <w:kern w:val="0"/>
          <w:sz w:val="32"/>
          <w:szCs w:val="32"/>
        </w:rPr>
        <w:t>款</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14.17</w:t>
      </w:r>
      <w:r>
        <w:rPr>
          <w:rFonts w:hint="eastAsia" w:ascii="仿宋_GB2312" w:hAnsi="仿宋_GB2312" w:eastAsia="仿宋_GB2312" w:cs="仿宋_GB2312"/>
          <w:kern w:val="0"/>
          <w:sz w:val="32"/>
          <w:szCs w:val="32"/>
        </w:rPr>
        <w:t>万元，比上年预算增加1.94万元，增长15.86%，主要原因是：</w:t>
      </w:r>
      <w:r>
        <w:rPr>
          <w:rFonts w:hint="eastAsia" w:ascii="仿宋_GB2312" w:hAnsi="宋体" w:eastAsia="仿宋_GB2312" w:cs="宋体"/>
          <w:kern w:val="0"/>
          <w:sz w:val="32"/>
          <w:szCs w:val="32"/>
        </w:rPr>
        <w:t>单位人员经费较去年有所增加。</w:t>
      </w:r>
    </w:p>
    <w:p>
      <w:pPr>
        <w:spacing w:line="55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3.卫生健康支出（类）行政事业单位医疗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8.41</w:t>
      </w:r>
      <w:r>
        <w:rPr>
          <w:rFonts w:hint="eastAsia" w:ascii="仿宋_GB2312" w:hAnsi="仿宋_GB2312" w:eastAsia="仿宋_GB2312" w:cs="仿宋_GB2312"/>
          <w:kern w:val="0"/>
          <w:sz w:val="32"/>
          <w:szCs w:val="32"/>
        </w:rPr>
        <w:t>万元，比上年预算增加1.15万元，增长15.84%，主要原因是：</w:t>
      </w:r>
      <w:r>
        <w:rPr>
          <w:rFonts w:hint="eastAsia" w:ascii="仿宋_GB2312" w:hAnsi="宋体" w:eastAsia="仿宋_GB2312" w:cs="宋体"/>
          <w:kern w:val="0"/>
          <w:sz w:val="32"/>
          <w:szCs w:val="32"/>
        </w:rPr>
        <w:t>单位人员经费较去年有所增加。</w:t>
      </w:r>
    </w:p>
    <w:p>
      <w:pPr>
        <w:spacing w:line="55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4.卫生健康支出（类）行政事业单位医疗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2.66</w:t>
      </w:r>
      <w:r>
        <w:rPr>
          <w:rFonts w:hint="eastAsia" w:ascii="仿宋_GB2312" w:hAnsi="仿宋_GB2312" w:eastAsia="仿宋_GB2312" w:cs="仿宋_GB2312"/>
          <w:kern w:val="0"/>
          <w:sz w:val="32"/>
          <w:szCs w:val="32"/>
        </w:rPr>
        <w:t>万元，比上年预算增加0.37万元，增长16.15%，主要原因是：</w:t>
      </w:r>
      <w:r>
        <w:rPr>
          <w:rFonts w:hint="eastAsia" w:ascii="仿宋_GB2312" w:hAnsi="宋体" w:eastAsia="仿宋_GB2312" w:cs="宋体"/>
          <w:kern w:val="0"/>
          <w:sz w:val="32"/>
          <w:szCs w:val="32"/>
        </w:rPr>
        <w:t>单位人员经费较去年有所增加。</w:t>
      </w:r>
    </w:p>
    <w:p>
      <w:pPr>
        <w:spacing w:line="55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5.卫生健康支出（类）行政事业单位医疗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0.06</w:t>
      </w:r>
      <w:r>
        <w:rPr>
          <w:rFonts w:hint="eastAsia" w:ascii="仿宋_GB2312" w:hAnsi="仿宋_GB2312" w:eastAsia="仿宋_GB2312" w:cs="仿宋_GB2312"/>
          <w:kern w:val="0"/>
          <w:sz w:val="32"/>
          <w:szCs w:val="32"/>
        </w:rPr>
        <w:t>万元，比上年预算增加0.06万元，增长100%，主要原因是：</w:t>
      </w:r>
      <w:r>
        <w:rPr>
          <w:rFonts w:hint="eastAsia" w:ascii="仿宋_GB2312" w:hAnsi="宋体" w:eastAsia="仿宋_GB2312" w:cs="宋体"/>
          <w:kern w:val="0"/>
          <w:sz w:val="32"/>
          <w:szCs w:val="32"/>
        </w:rPr>
        <w:t>单位人员经费较去年有所增加。</w:t>
      </w:r>
    </w:p>
    <w:p>
      <w:pPr>
        <w:spacing w:line="55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6.住房改革支出（类）住房保障支出（款）住房公积金（项）:2022年预算数为12.79万元，比上年预算增加3.62万元，增长39.47%，主要原因是：</w:t>
      </w:r>
      <w:r>
        <w:rPr>
          <w:rFonts w:hint="eastAsia" w:ascii="仿宋_GB2312" w:hAnsi="宋体" w:eastAsia="仿宋_GB2312" w:cs="宋体"/>
          <w:kern w:val="0"/>
          <w:sz w:val="32"/>
          <w:szCs w:val="32"/>
        </w:rPr>
        <w:t>单位人员经费较去年有所增加。</w:t>
      </w:r>
    </w:p>
    <w:p>
      <w:pPr>
        <w:spacing w:line="55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昌吉州党员教育中心</w:t>
      </w:r>
      <w:r>
        <w:rPr>
          <w:rFonts w:hint="eastAsia" w:ascii="楷体_GB2312" w:hAnsi="楷体_GB2312" w:eastAsia="楷体_GB2312" w:cs="楷体_GB2312"/>
          <w:b/>
          <w:bCs/>
          <w:spacing w:val="-6"/>
          <w:kern w:val="0"/>
          <w:sz w:val="32"/>
          <w:szCs w:val="32"/>
        </w:rPr>
        <w:t>2022年一般公共预算基本支出情况说明</w:t>
      </w:r>
    </w:p>
    <w:p>
      <w:pPr>
        <w:spacing w:line="55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昌吉州党员教育中心</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149.95</w:t>
      </w:r>
      <w:r>
        <w:rPr>
          <w:rFonts w:hint="eastAsia" w:ascii="仿宋_GB2312" w:hAnsi="宋体" w:eastAsia="仿宋_GB2312" w:cs="宋体"/>
          <w:spacing w:val="-6"/>
          <w:kern w:val="0"/>
          <w:sz w:val="32"/>
          <w:szCs w:val="32"/>
        </w:rPr>
        <w:t>万元， 其中：</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129.84万元，主要包括：基本工资、津贴补贴、奖金、机关事业单位基本养老保险缴费、职业年金缴费、职工基本医疗保险缴费、公务员医疗补助缴费、其他社会保障缴费、住房公积金、其他工资福利支出等。</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公用经费20.1</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万元，主要包括：办公费、印刷费、水费、电费、邮电费、取暖费、差旅费、维修（护）费、培训费、公务接待费、劳务费、工会经费、福利费、公务用车运行维护费、其他商品和服务支出等。</w:t>
      </w:r>
    </w:p>
    <w:p>
      <w:pPr>
        <w:spacing w:line="55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昌吉州党员教育中心</w:t>
      </w:r>
      <w:r>
        <w:rPr>
          <w:rFonts w:hint="eastAsia" w:ascii="楷体_GB2312" w:hAnsi="楷体_GB2312" w:eastAsia="楷体_GB2312" w:cs="楷体_GB2312"/>
          <w:b/>
          <w:bCs/>
          <w:spacing w:val="-6"/>
          <w:kern w:val="0"/>
          <w:sz w:val="32"/>
          <w:szCs w:val="32"/>
        </w:rPr>
        <w:t>2022年一般公共预算项目支出情况说明</w:t>
      </w:r>
    </w:p>
    <w:p>
      <w:pPr>
        <w:spacing w:line="55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昌吉州党员教育运转保障经费</w:t>
      </w:r>
    </w:p>
    <w:p>
      <w:pPr>
        <w:spacing w:line="55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《2019-2023年自治州党员教育培训工作规划》</w:t>
      </w:r>
    </w:p>
    <w:p>
      <w:pPr>
        <w:spacing w:line="55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56万元</w:t>
      </w:r>
    </w:p>
    <w:p>
      <w:pPr>
        <w:spacing w:line="55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州党员教育中心</w:t>
      </w:r>
    </w:p>
    <w:p>
      <w:pPr>
        <w:spacing w:line="55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：此项目经费主要用于党员教育培训及党员教育教学资源建设经费使用。</w:t>
      </w:r>
    </w:p>
    <w:p>
      <w:pPr>
        <w:spacing w:line="55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2022年全年</w:t>
      </w:r>
    </w:p>
    <w:p>
      <w:pPr>
        <w:spacing w:line="55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八、关于昌吉州党员教育中心2022年一般公共预算“三公”经费预算情况说明</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昌吉州党员教育中心2022年一般公共预算“三公”经费数为2.29万元，其中：因公出国（境）费0万元，公务用车购置0万元，公务用车运行费2.15万元，公务接待费0.14万元。</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0万元，增长0%，其中：因公出国（境）费增加0万元，增长0%，主要原因是我单位没有此项经费开支，未安排预算；公务用车购置费增加0万元，增长0%，主要原因是我单位没有此项经费开支，未安排预算；公务用车运行费增加0万元，增长0%，主要原因是单位严格按要求控制车辆运行费用，合理安排预算；公务接待费增加0万元，增长0%，主要原因是单位严格执行相关规定，合理安排预算。</w:t>
      </w:r>
    </w:p>
    <w:p>
      <w:pPr>
        <w:spacing w:line="55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九、关于昌吉州党员教育中心2022年政府性基金预算拨款情况说明</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昌吉州党员教育中心2022年没有使用政府性基金预算拨款安排的支出，政府性基金预算支出情况表为空表。</w:t>
      </w:r>
    </w:p>
    <w:p>
      <w:pPr>
        <w:spacing w:line="55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5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昌吉州党员教育中心</w:t>
      </w:r>
      <w:r>
        <w:rPr>
          <w:rFonts w:hint="eastAsia" w:ascii="仿宋_GB2312" w:hAnsi="仿宋_GB2312" w:eastAsia="仿宋_GB2312" w:cs="仿宋_GB2312"/>
          <w:kern w:val="0"/>
          <w:sz w:val="32"/>
          <w:szCs w:val="32"/>
        </w:rPr>
        <w:t>机关运行经费财政拨款预算20.12万元，比上年预算减少0.09万元，下降0.4%。主要原因是</w:t>
      </w:r>
      <w:r>
        <w:rPr>
          <w:rFonts w:hint="eastAsia" w:ascii="仿宋_GB2312" w:hAnsi="宋体" w:eastAsia="仿宋_GB2312" w:cs="宋体"/>
          <w:kern w:val="0"/>
          <w:sz w:val="32"/>
          <w:szCs w:val="32"/>
        </w:rPr>
        <w:t>单位严格执行相关规定，合理安排预算</w:t>
      </w:r>
      <w:r>
        <w:rPr>
          <w:rFonts w:hint="eastAsia" w:ascii="仿宋_GB2312" w:hAnsi="仿宋_GB2312" w:eastAsia="仿宋_GB2312" w:cs="仿宋_GB2312"/>
          <w:kern w:val="0"/>
          <w:sz w:val="32"/>
          <w:szCs w:val="32"/>
        </w:rPr>
        <w:t>。</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5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昌吉州党员教育中心</w:t>
      </w:r>
      <w:r>
        <w:rPr>
          <w:rFonts w:hint="eastAsia" w:ascii="仿宋_GB2312" w:hAnsi="仿宋_GB2312" w:eastAsia="仿宋_GB2312" w:cs="仿宋_GB2312"/>
          <w:kern w:val="0"/>
          <w:sz w:val="32"/>
          <w:szCs w:val="32"/>
        </w:rPr>
        <w:t>政府采购预算85.18952万元，其中：政府采购货物预算4万元，政府采购工程预算0万元，政府采购服务预算81.18952万元。</w:t>
      </w:r>
    </w:p>
    <w:p>
      <w:pPr>
        <w:spacing w:line="55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2022年度本部门（单位）面向中小企业预留政府采购项目预算金额85.18952万元，其中：面向小微企业预留政府采购项目预算金额85.18952万元。</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截至2021年底，昌吉州党员教育中心占用使用国有资产总体情况为</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1.房屋2364.6平方米，价值350万元。</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2.车辆1辆，价值31.93万元；其中：一般公务用车1辆，价值31.93万元；执法执勤用车0辆，价值0万元；其他车辆0辆，价值0万元。</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3.办公家具价值15.74万元。</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4.其他资产价值308.17万元。</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2022年昌吉州党员教育中心部门预算未安排购置车辆经费，安排购置50万元以上大型设备0台（套），单位价值100万元以上大型设备0台（套）。</w:t>
      </w:r>
    </w:p>
    <w:p>
      <w:pPr>
        <w:spacing w:line="55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5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2022年，本年度预算绩效管理的财政拨款项目1个，涉及预算金额56万元。具体情况见下表：</w:t>
      </w:r>
    </w:p>
    <w:p>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pPr>
        <w:spacing w:line="560" w:lineRule="exact"/>
        <w:ind w:firstLine="640" w:firstLineChars="200"/>
        <w:rPr>
          <w:rFonts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192"/>
        <w:gridCol w:w="188"/>
        <w:gridCol w:w="906"/>
        <w:gridCol w:w="1531"/>
        <w:gridCol w:w="984"/>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817"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昌吉回族自治州党员干部现代远程教育管理中心</w:t>
            </w:r>
          </w:p>
        </w:tc>
        <w:tc>
          <w:tcPr>
            <w:tcW w:w="9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党员教育运转保障经费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56</w:t>
            </w:r>
          </w:p>
        </w:tc>
        <w:tc>
          <w:tcPr>
            <w:tcW w:w="15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9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56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60" w:lineRule="exact"/>
              <w:jc w:val="left"/>
              <w:rPr>
                <w:rFonts w:ascii="宋体" w:hAnsi="宋体" w:cs="宋体"/>
                <w:color w:val="000000"/>
                <w:sz w:val="18"/>
                <w:szCs w:val="18"/>
              </w:rPr>
            </w:pPr>
            <w:r>
              <w:rPr>
                <w:rFonts w:hint="eastAsia" w:ascii="宋体" w:hAnsi="宋体" w:cs="宋体"/>
                <w:color w:val="000000"/>
                <w:sz w:val="18"/>
                <w:szCs w:val="18"/>
              </w:rPr>
              <w:t>目标1：做好教学资源建设工作，主要完成网络、昌吉党建网维护等保测评、教学资源建设等项目。年内至少完成2部党员教育教学资源片拍摄制作、1次昌吉党建网日常维护及等保测评。目标2：做好党员教育培训工作，主要完成系统维护及等保测评、网上展馆建设等项目，年内完成1次系统维护及等保测评、至少建设党员教育基地网上展馆1个。确保各级党员干部培训人次提升、在全州营造向先进学习的浓厚氛围。</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19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网站、系统维护及等保测评次数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&gt;=2次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教学资源电视片拍摄数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&gt;=2部</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党性教育基地网上展馆建设数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&gt;=1个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各项工作完成率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网站、系统故障处理时间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&lt;=48小时</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网站及系统等级保护测评完成及时率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教学资源电视片拍摄完成时限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12月底前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党员教育教学资源建设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&lt;=21万元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党员教育培训业务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&lt;=35万元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各级党员干部培训人次提升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提升</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营造向先进学习的浓厚氛围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长期</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1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60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党员满意度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20" w:lineRule="exact"/>
        <w:jc w:val="center"/>
        <w:rPr>
          <w:rFonts w:ascii="黑体" w:hAnsi="黑体" w:eastAsia="黑体"/>
          <w:kern w:val="0"/>
          <w:sz w:val="32"/>
          <w:szCs w:val="32"/>
        </w:rPr>
      </w:pPr>
    </w:p>
    <w:p>
      <w:pPr>
        <w:spacing w:line="51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10" w:lineRule="exact"/>
        <w:ind w:firstLine="640" w:firstLineChars="200"/>
        <w:rPr>
          <w:rFonts w:ascii="黑体" w:hAnsi="黑体" w:eastAsia="黑体"/>
          <w:sz w:val="32"/>
          <w:szCs w:val="32"/>
        </w:rPr>
      </w:pPr>
    </w:p>
    <w:p>
      <w:pPr>
        <w:spacing w:line="51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1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1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三、基本支出：</w:t>
      </w:r>
      <w:r>
        <w:rPr>
          <w:rFonts w:hint="eastAsia" w:ascii="仿宋_GB2312" w:eastAsia="仿宋_GB2312"/>
          <w:sz w:val="32"/>
          <w:szCs w:val="32"/>
        </w:rPr>
        <w:t>包括人员经费、公用经费（定额）。其中，人员经费包括工资福利支出、对个人和家庭的补助。</w:t>
      </w:r>
    </w:p>
    <w:p>
      <w:pPr>
        <w:spacing w:line="51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1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五、“三公”经费：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1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六、机关运行经费：</w:t>
      </w:r>
      <w:r>
        <w:rPr>
          <w:rFonts w:hint="eastAsia" w:ascii="仿宋_GB2312" w:eastAsia="仿宋_GB2312"/>
          <w:sz w:val="32"/>
          <w:szCs w:val="32"/>
        </w:rPr>
        <w:t>指各部门</w:t>
      </w:r>
      <w:bookmarkStart w:id="0" w:name="_GoBack"/>
      <w:bookmarkEnd w:id="0"/>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10" w:lineRule="exact"/>
        <w:ind w:firstLine="640" w:firstLineChars="200"/>
        <w:rPr>
          <w:rFonts w:ascii="仿宋_GB2312" w:hAnsi="宋体" w:eastAsia="仿宋_GB2312" w:cs="宋体"/>
          <w:kern w:val="0"/>
          <w:sz w:val="32"/>
          <w:szCs w:val="32"/>
        </w:rPr>
      </w:pPr>
    </w:p>
    <w:p>
      <w:pPr>
        <w:spacing w:line="51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昌吉州党员教育中心                               </w:t>
      </w:r>
    </w:p>
    <w:p>
      <w:pPr>
        <w:spacing w:line="510" w:lineRule="exact"/>
        <w:ind w:firstLine="5120" w:firstLineChars="1600"/>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日</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path/>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- 63 -</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D477F"/>
    <w:rsid w:val="002B1E87"/>
    <w:rsid w:val="002E5250"/>
    <w:rsid w:val="003923D8"/>
    <w:rsid w:val="004265FD"/>
    <w:rsid w:val="00432BE1"/>
    <w:rsid w:val="0047118F"/>
    <w:rsid w:val="004D477F"/>
    <w:rsid w:val="0059437A"/>
    <w:rsid w:val="0090107A"/>
    <w:rsid w:val="00944B81"/>
    <w:rsid w:val="00A24A8D"/>
    <w:rsid w:val="00A34910"/>
    <w:rsid w:val="00AF3F7E"/>
    <w:rsid w:val="00B141E5"/>
    <w:rsid w:val="00C12D75"/>
    <w:rsid w:val="00CE4C77"/>
    <w:rsid w:val="00D8374C"/>
    <w:rsid w:val="00D85033"/>
    <w:rsid w:val="00F1238F"/>
    <w:rsid w:val="00F91EEB"/>
    <w:rsid w:val="028B1ECA"/>
    <w:rsid w:val="02AE2757"/>
    <w:rsid w:val="03F82FC0"/>
    <w:rsid w:val="05535A75"/>
    <w:rsid w:val="099D3807"/>
    <w:rsid w:val="0AFE15A5"/>
    <w:rsid w:val="0B0047B2"/>
    <w:rsid w:val="0B7B5325"/>
    <w:rsid w:val="0B8073AF"/>
    <w:rsid w:val="0BA54B88"/>
    <w:rsid w:val="0DCC0A89"/>
    <w:rsid w:val="0DE672C8"/>
    <w:rsid w:val="0FF8479A"/>
    <w:rsid w:val="10076B86"/>
    <w:rsid w:val="14942891"/>
    <w:rsid w:val="16640C79"/>
    <w:rsid w:val="1745351C"/>
    <w:rsid w:val="180D79FC"/>
    <w:rsid w:val="18C10162"/>
    <w:rsid w:val="18E95DC3"/>
    <w:rsid w:val="18FB01CA"/>
    <w:rsid w:val="1935179B"/>
    <w:rsid w:val="19947A8F"/>
    <w:rsid w:val="199B1F5B"/>
    <w:rsid w:val="19CD2138"/>
    <w:rsid w:val="1C1E5DF5"/>
    <w:rsid w:val="1C4A3F0E"/>
    <w:rsid w:val="1E7276F2"/>
    <w:rsid w:val="24BD373E"/>
    <w:rsid w:val="25EA6412"/>
    <w:rsid w:val="269A63BC"/>
    <w:rsid w:val="27624C01"/>
    <w:rsid w:val="27D91CD2"/>
    <w:rsid w:val="2A2C01C3"/>
    <w:rsid w:val="2AB30725"/>
    <w:rsid w:val="2FB252F7"/>
    <w:rsid w:val="30055A4E"/>
    <w:rsid w:val="310952F8"/>
    <w:rsid w:val="31AF6AF2"/>
    <w:rsid w:val="3463466F"/>
    <w:rsid w:val="35887BD1"/>
    <w:rsid w:val="37775FF8"/>
    <w:rsid w:val="3B991B78"/>
    <w:rsid w:val="3BA432BA"/>
    <w:rsid w:val="3BF80A24"/>
    <w:rsid w:val="3D8652C6"/>
    <w:rsid w:val="3E497FBE"/>
    <w:rsid w:val="3ED35E94"/>
    <w:rsid w:val="3FC8246F"/>
    <w:rsid w:val="40F05FB6"/>
    <w:rsid w:val="41230975"/>
    <w:rsid w:val="419071B4"/>
    <w:rsid w:val="41BA3087"/>
    <w:rsid w:val="425048BC"/>
    <w:rsid w:val="42B51AA1"/>
    <w:rsid w:val="43EB4487"/>
    <w:rsid w:val="440B6214"/>
    <w:rsid w:val="45725A92"/>
    <w:rsid w:val="48FE7320"/>
    <w:rsid w:val="4BEF1B80"/>
    <w:rsid w:val="4CEC2563"/>
    <w:rsid w:val="508036EE"/>
    <w:rsid w:val="50AC0130"/>
    <w:rsid w:val="523F1771"/>
    <w:rsid w:val="53AC7568"/>
    <w:rsid w:val="54334407"/>
    <w:rsid w:val="576D161E"/>
    <w:rsid w:val="588B10FF"/>
    <w:rsid w:val="58C2690C"/>
    <w:rsid w:val="5A041F9C"/>
    <w:rsid w:val="5A7C2ADE"/>
    <w:rsid w:val="5A9D23F4"/>
    <w:rsid w:val="5B5A69AB"/>
    <w:rsid w:val="5BF50D61"/>
    <w:rsid w:val="5D9B1B67"/>
    <w:rsid w:val="5FDF509A"/>
    <w:rsid w:val="5FE73087"/>
    <w:rsid w:val="602A1C30"/>
    <w:rsid w:val="60B67DEE"/>
    <w:rsid w:val="621633E9"/>
    <w:rsid w:val="629D33E6"/>
    <w:rsid w:val="62D3132E"/>
    <w:rsid w:val="634C5CEC"/>
    <w:rsid w:val="635B31E8"/>
    <w:rsid w:val="67507739"/>
    <w:rsid w:val="67BA3F18"/>
    <w:rsid w:val="6AE12B83"/>
    <w:rsid w:val="6BA53A8F"/>
    <w:rsid w:val="6CA2560A"/>
    <w:rsid w:val="6E1003B4"/>
    <w:rsid w:val="6E4755F4"/>
    <w:rsid w:val="721726F7"/>
    <w:rsid w:val="72244ED7"/>
    <w:rsid w:val="7255453E"/>
    <w:rsid w:val="725C2B6E"/>
    <w:rsid w:val="734822E2"/>
    <w:rsid w:val="73E8453D"/>
    <w:rsid w:val="740C7784"/>
    <w:rsid w:val="74126D24"/>
    <w:rsid w:val="743255D8"/>
    <w:rsid w:val="74E042F3"/>
    <w:rsid w:val="76385C5D"/>
    <w:rsid w:val="76B24C97"/>
    <w:rsid w:val="77EA7729"/>
    <w:rsid w:val="78743289"/>
    <w:rsid w:val="78966534"/>
    <w:rsid w:val="78B01403"/>
    <w:rsid w:val="79BA25D7"/>
    <w:rsid w:val="7B5D4570"/>
    <w:rsid w:val="7B711D02"/>
    <w:rsid w:val="7DFD5ACF"/>
    <w:rsid w:val="7E8F5D9D"/>
    <w:rsid w:val="7F052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1694</Words>
  <Characters>9659</Characters>
  <Lines>80</Lines>
  <Paragraphs>22</Paragraphs>
  <TotalTime>5</TotalTime>
  <ScaleCrop>false</ScaleCrop>
  <LinksUpToDate>false</LinksUpToDate>
  <CharactersWithSpaces>11331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2022-04-14T04:25:25Z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E7B81C86A9414788A85B59EA05803DDE</vt:lpwstr>
  </property>
</Properties>
</file>