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昌吉州工商联2022年预算公开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昌吉州工商联概况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一、昌吉州工商联收支总体情况表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二、昌吉州工商联收入总体情况表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三、昌吉州工商联支出总体情况表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一、关于昌吉州工商联2022年收支预算情况的总体说明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二、关于昌吉州工商联2022年收入预算情况说明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三、关于昌吉州工商联2022年支出预算情况说明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昌吉州工商联2022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昌吉州工商联2022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昌吉州工商联2022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昌吉州工商联2022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八、关于昌吉州工商联2022年一般公共预算“三公”经费预算情况说明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九、关于昌吉州工商联2022年政府性基金预算拨款情况说明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b/>
          <w:bCs/>
          <w:kern w:val="0"/>
          <w:sz w:val="32"/>
          <w:szCs w:val="32"/>
        </w:rPr>
      </w:pPr>
      <w:r>
        <w:rPr>
          <w:rFonts w:hint="eastAsia" w:ascii="黑体" w:hAnsi="黑体" w:eastAsia="黑体"/>
          <w:kern w:val="0"/>
          <w:sz w:val="32"/>
          <w:szCs w:val="32"/>
        </w:rPr>
        <w:t xml:space="preserve">第一部分  </w:t>
      </w:r>
      <w:r>
        <w:rPr>
          <w:rFonts w:hint="eastAsia" w:ascii="黑体" w:hAnsi="黑体" w:eastAsia="黑体"/>
          <w:b/>
          <w:bCs/>
          <w:kern w:val="0"/>
          <w:sz w:val="32"/>
          <w:szCs w:val="32"/>
        </w:rPr>
        <w:t xml:space="preserve"> </w:t>
      </w:r>
      <w:r>
        <w:rPr>
          <w:rFonts w:hint="eastAsia" w:ascii="仿宋" w:hAnsi="仿宋" w:eastAsia="仿宋" w:cs="仿宋"/>
          <w:b/>
          <w:bCs/>
          <w:kern w:val="0"/>
          <w:sz w:val="32"/>
          <w:szCs w:val="32"/>
        </w:rPr>
        <w:t>昌吉州工商联概况</w:t>
      </w:r>
    </w:p>
    <w:p>
      <w:pPr>
        <w:widowControl/>
        <w:spacing w:line="540" w:lineRule="exact"/>
        <w:jc w:val="center"/>
        <w:outlineLvl w:val="1"/>
        <w:rPr>
          <w:rFonts w:ascii="宋体" w:hAnsi="宋体"/>
          <w:b/>
          <w:kern w:val="0"/>
          <w:sz w:val="32"/>
          <w:szCs w:val="32"/>
        </w:rPr>
      </w:pPr>
    </w:p>
    <w:p>
      <w:pPr>
        <w:widowControl/>
        <w:spacing w:line="640" w:lineRule="exact"/>
        <w:ind w:firstLine="803" w:firstLineChars="25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640" w:lineRule="exact"/>
        <w:ind w:firstLine="800" w:firstLineChars="250"/>
        <w:jc w:val="left"/>
        <w:rPr>
          <w:rFonts w:ascii="仿宋_GB2312" w:hAnsi="宋体" w:eastAsia="仿宋_GB2312"/>
          <w:sz w:val="32"/>
          <w:szCs w:val="32"/>
        </w:rPr>
      </w:pPr>
      <w:r>
        <w:rPr>
          <w:rFonts w:hint="eastAsia" w:ascii="仿宋_GB2312" w:hAnsi="宋体" w:eastAsia="仿宋_GB2312"/>
          <w:sz w:val="32"/>
          <w:szCs w:val="32"/>
        </w:rPr>
        <w:t>州工商联的性质：</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工商联是中国共产党领导的以非公有制企业和非公有制经济人士为主体的人民团体和商会组织，是党和政府联系非公有制经济人士的桥梁纽带，是政府管理和服务非公有制经济的助手，在促进非公司制经济分健康发展、引导非公有制经济人士健康成长中具有不可替代的作用。</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州工商联职能和任务：</w:t>
      </w:r>
    </w:p>
    <w:p>
      <w:pPr>
        <w:widowControl/>
        <w:spacing w:line="64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1、参与国家大政方针及政治、经济、社会生活中的重要问题的政治协商，发挥民主监督作用，积极参政议政。</w:t>
      </w:r>
    </w:p>
    <w:p>
      <w:pPr>
        <w:widowControl/>
        <w:spacing w:line="64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2、密切与会员联系，畅通反映意见建议的渠道，表彰宣传他们的先进典型，做好工商界代表人士政治安排的推荐工作。</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3、加强和改进非公有制经济人士思想政治工作。</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4、引导会员按照科学发展观的要求，转变经济发展方式，加强能源资源节约，重视生态环境保护，建立和谐劳动关系。遵守国家的法律法规，规范经营、照章纳税，建立现代化企业制度，维护市场经济秩序。</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5、代表并维护会员的合法权益，反映会员的意见、要求、和建议，参与经济纠纷的调节、仲裁。</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6、为会员提供培训、融资、科技、法律信息咨询等服务，提供对内、对外经贸交流服务，提供公共关系沟通协调服务，帮助会员增强自主创新能力，提高核心竞争力和可持续发展能力。</w:t>
      </w:r>
    </w:p>
    <w:p>
      <w:pPr>
        <w:widowControl/>
        <w:spacing w:line="640" w:lineRule="exact"/>
        <w:jc w:val="left"/>
        <w:rPr>
          <w:rFonts w:ascii="仿宋_GB2312" w:hAnsi="宋体" w:eastAsia="仿宋_GB2312"/>
          <w:sz w:val="32"/>
          <w:szCs w:val="32"/>
        </w:rPr>
      </w:pPr>
      <w:r>
        <w:rPr>
          <w:rFonts w:hint="eastAsia" w:ascii="仿宋_GB2312" w:hAnsi="宋体" w:eastAsia="仿宋_GB2312"/>
          <w:sz w:val="32"/>
          <w:szCs w:val="32"/>
        </w:rPr>
        <w:t xml:space="preserve">    7、增强与香港、澳门特别行政区和台湾地区工商界人士的联系，开展促进经贸合作和促进祖国统一的工作，增进与国外商社团的交往，为国家扩大对外开放、企业走向国际市场服务。</w:t>
      </w:r>
    </w:p>
    <w:p>
      <w:pPr>
        <w:widowControl/>
        <w:spacing w:line="64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8、加强自身建设，体现特色，提高履行和发挥作用的能力，增加凝聚力。</w:t>
      </w:r>
    </w:p>
    <w:p>
      <w:pPr>
        <w:ind w:left="638" w:leftChars="304"/>
        <w:rPr>
          <w:rFonts w:ascii="仿宋_GB2312" w:hAnsi="宋体" w:eastAsia="仿宋_GB2312"/>
          <w:sz w:val="32"/>
          <w:szCs w:val="32"/>
        </w:rPr>
      </w:pPr>
      <w:r>
        <w:rPr>
          <w:rFonts w:hint="eastAsia" w:ascii="仿宋_GB2312" w:hAnsi="宋体" w:eastAsia="仿宋_GB2312"/>
          <w:sz w:val="32"/>
          <w:szCs w:val="32"/>
        </w:rPr>
        <w:t>9、承办政府和有关部门委托事项。</w:t>
      </w:r>
    </w:p>
    <w:p>
      <w:pPr>
        <w:ind w:left="638" w:leftChars="304"/>
        <w:rPr>
          <w:rFonts w:ascii="楷体_GB2312" w:hAnsi="楷体_GB2312" w:eastAsia="楷体_GB2312" w:cs="楷体_GB2312"/>
          <w:b/>
          <w:bCs/>
          <w:kern w:val="0"/>
          <w:sz w:val="32"/>
          <w:szCs w:val="32"/>
        </w:rPr>
      </w:pPr>
      <w:r>
        <w:rPr>
          <w:rFonts w:hint="eastAsia" w:ascii="仿宋_GB2312" w:hAnsi="宋体" w:eastAsia="仿宋_GB2312"/>
          <w:sz w:val="32"/>
          <w:szCs w:val="32"/>
        </w:rPr>
        <w:br w:type="textWrapping"/>
      </w:r>
      <w:r>
        <w:rPr>
          <w:rFonts w:hint="eastAsia" w:ascii="楷体_GB2312" w:hAnsi="楷体_GB2312" w:eastAsia="楷体_GB2312" w:cs="楷体_GB2312"/>
          <w:b/>
          <w:bCs/>
          <w:kern w:val="0"/>
          <w:sz w:val="32"/>
          <w:szCs w:val="32"/>
        </w:rPr>
        <w:t>二、机构设置及人员情况</w:t>
      </w:r>
    </w:p>
    <w:p>
      <w:pPr>
        <w:widowControl/>
        <w:spacing w:line="4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w:t>
      </w:r>
      <w:r>
        <w:rPr>
          <w:rFonts w:hint="eastAsia" w:ascii="仿宋_GB2312" w:hAnsi="黑体" w:eastAsia="仿宋_GB2312" w:cs="宋体"/>
          <w:bCs/>
          <w:kern w:val="0"/>
          <w:sz w:val="32"/>
          <w:szCs w:val="32"/>
        </w:rPr>
        <w:t>无下属预算单位，下设两个处室，分别是：</w:t>
      </w:r>
      <w:r>
        <w:rPr>
          <w:rFonts w:hint="eastAsia" w:ascii="仿宋_GB2312" w:hAnsi="ËÎÌå" w:eastAsia="仿宋_GB2312"/>
          <w:sz w:val="32"/>
          <w:szCs w:val="32"/>
        </w:rPr>
        <w:t>办公室，会员部</w:t>
      </w:r>
      <w:r>
        <w:rPr>
          <w:rFonts w:hint="eastAsia" w:ascii="仿宋_GB2312" w:hAnsi="宋体" w:eastAsia="仿宋_GB2312" w:cs="宋体"/>
          <w:kern w:val="0"/>
          <w:sz w:val="32"/>
          <w:szCs w:val="32"/>
        </w:rPr>
        <w:t>。</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昌吉州工商联编制数11人，实有人数15人，其中：在职11人，增加0人； 退休4人，增加0人；离休0人，增加0人。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kern w:val="0"/>
          <w:sz w:val="24"/>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189.71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17.21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14.98</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昌吉州工商联                               单位：万元</w:t>
      </w:r>
    </w:p>
    <w:tbl>
      <w:tblPr>
        <w:tblStyle w:val="6"/>
        <w:tblW w:w="9741" w:type="dxa"/>
        <w:tblInd w:w="-450" w:type="dxa"/>
        <w:tblLayout w:type="fixed"/>
        <w:tblCellMar>
          <w:top w:w="0" w:type="dxa"/>
          <w:left w:w="108" w:type="dxa"/>
          <w:bottom w:w="0" w:type="dxa"/>
          <w:right w:w="108" w:type="dxa"/>
        </w:tblCellMar>
      </w:tblPr>
      <w:tblGrid>
        <w:gridCol w:w="558"/>
        <w:gridCol w:w="567"/>
        <w:gridCol w:w="567"/>
        <w:gridCol w:w="1704"/>
        <w:gridCol w:w="990"/>
        <w:gridCol w:w="1134"/>
        <w:gridCol w:w="453"/>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3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5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540"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20"/>
                <w:szCs w:val="20"/>
              </w:rPr>
              <w:t>一般公共服务支出</w:t>
            </w:r>
          </w:p>
        </w:tc>
        <w:tc>
          <w:tcPr>
            <w:tcW w:w="990" w:type="dxa"/>
            <w:tcBorders>
              <w:top w:val="nil"/>
              <w:left w:val="nil"/>
              <w:bottom w:val="single" w:color="auto" w:sz="4" w:space="0"/>
              <w:right w:val="single" w:color="auto" w:sz="4" w:space="0"/>
            </w:tcBorders>
            <w:shd w:val="clear" w:color="000000" w:fill="FFFFFF"/>
          </w:tcPr>
          <w:p>
            <w:r>
              <w:rPr>
                <w:rFonts w:hint="eastAsia" w:ascii="宋体" w:hAnsi="宋体" w:cs="宋体"/>
                <w:b/>
                <w:bCs/>
                <w:color w:val="000000"/>
                <w:kern w:val="0"/>
                <w:sz w:val="22"/>
                <w:szCs w:val="22"/>
              </w:rPr>
              <w:t>189.71</w:t>
            </w:r>
          </w:p>
        </w:tc>
        <w:tc>
          <w:tcPr>
            <w:tcW w:w="1134" w:type="dxa"/>
            <w:tcBorders>
              <w:top w:val="nil"/>
              <w:left w:val="nil"/>
              <w:bottom w:val="single" w:color="auto" w:sz="4" w:space="0"/>
              <w:right w:val="single" w:color="auto" w:sz="4" w:space="0"/>
            </w:tcBorders>
            <w:shd w:val="clear" w:color="000000" w:fill="FFFFFF"/>
          </w:tcPr>
          <w:p>
            <w:r>
              <w:rPr>
                <w:rFonts w:hint="eastAsia" w:ascii="宋体" w:hAnsi="宋体" w:cs="宋体"/>
                <w:b/>
                <w:bCs/>
                <w:color w:val="000000"/>
                <w:kern w:val="0"/>
                <w:sz w:val="22"/>
                <w:szCs w:val="22"/>
              </w:rPr>
              <w:t>189.71</w:t>
            </w:r>
          </w:p>
        </w:tc>
        <w:tc>
          <w:tcPr>
            <w:tcW w:w="45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民主党派及工商联事务</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189.71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189.71</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567"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行政运行</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115.54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115.54</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567"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一般行政管理事务</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567"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事业运行</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32.16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32.16</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b/>
                <w:color w:val="000000"/>
                <w:sz w:val="18"/>
                <w:szCs w:val="18"/>
              </w:rPr>
              <w:t>社会保障和就业支出</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right"/>
              <w:rPr>
                <w:rFonts w:ascii="仿宋_GB2312" w:eastAsia="仿宋_GB2312"/>
                <w:b/>
                <w:color w:val="000000"/>
                <w:sz w:val="18"/>
                <w:szCs w:val="18"/>
              </w:rPr>
            </w:pPr>
            <w:r>
              <w:rPr>
                <w:rFonts w:hint="eastAsia" w:ascii="仿宋_GB2312" w:eastAsia="仿宋_GB2312"/>
                <w:b/>
                <w:color w:val="000000"/>
                <w:sz w:val="18"/>
                <w:szCs w:val="18"/>
              </w:rPr>
              <w:t>行政事业单位养支出</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行政单位离退休费</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567"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机关事业单位基本养老保险缴费支出</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16.81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16.81</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卫生健康支出</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行政事业单位医疗</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行政单位医疗</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6.96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6.96</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事业单位医疗</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3.02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3.02</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公务员医疗补助</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3.15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3.15</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其他行政事业单位医疗支出</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0.09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0.09</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住房保障支出</w:t>
            </w:r>
          </w:p>
        </w:tc>
        <w:tc>
          <w:tcPr>
            <w:tcW w:w="990" w:type="dxa"/>
            <w:tcBorders>
              <w:top w:val="nil"/>
              <w:left w:val="nil"/>
              <w:bottom w:val="single" w:color="auto" w:sz="4" w:space="0"/>
              <w:right w:val="single" w:color="auto" w:sz="4" w:space="0"/>
            </w:tcBorders>
          </w:tcPr>
          <w:p>
            <w:r>
              <w:rPr>
                <w:rFonts w:hint="eastAsia" w:ascii="宋体" w:hAnsi="宋体" w:cs="宋体"/>
                <w:b/>
                <w:bCs/>
                <w:color w:val="000000"/>
                <w:kern w:val="0"/>
                <w:sz w:val="22"/>
                <w:szCs w:val="22"/>
              </w:rPr>
              <w:t>14.98</w:t>
            </w:r>
          </w:p>
        </w:tc>
        <w:tc>
          <w:tcPr>
            <w:tcW w:w="1134" w:type="dxa"/>
            <w:tcBorders>
              <w:top w:val="nil"/>
              <w:left w:val="nil"/>
              <w:bottom w:val="single" w:color="auto" w:sz="4" w:space="0"/>
              <w:right w:val="single" w:color="auto" w:sz="4" w:space="0"/>
            </w:tcBorders>
          </w:tcPr>
          <w:p>
            <w:r>
              <w:rPr>
                <w:rFonts w:hint="eastAsia" w:ascii="宋体" w:hAnsi="宋体" w:cs="宋体"/>
                <w:b/>
                <w:bCs/>
                <w:color w:val="000000"/>
                <w:kern w:val="0"/>
                <w:sz w:val="22"/>
                <w:szCs w:val="22"/>
              </w:rPr>
              <w:t>14.98</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b/>
                <w:color w:val="000000"/>
                <w:sz w:val="18"/>
                <w:szCs w:val="18"/>
              </w:rPr>
              <w:t>住房改革支出</w:t>
            </w:r>
          </w:p>
        </w:tc>
        <w:tc>
          <w:tcPr>
            <w:tcW w:w="990" w:type="dxa"/>
            <w:tcBorders>
              <w:top w:val="nil"/>
              <w:left w:val="nil"/>
              <w:bottom w:val="single" w:color="auto" w:sz="4" w:space="0"/>
              <w:right w:val="single" w:color="auto" w:sz="4" w:space="0"/>
            </w:tcBorders>
          </w:tcPr>
          <w:p>
            <w:r>
              <w:rPr>
                <w:rFonts w:hint="eastAsia" w:ascii="宋体" w:hAnsi="宋体" w:cs="宋体"/>
                <w:b/>
                <w:bCs/>
                <w:color w:val="000000"/>
                <w:kern w:val="0"/>
                <w:sz w:val="22"/>
                <w:szCs w:val="22"/>
              </w:rPr>
              <w:t>14.98</w:t>
            </w:r>
          </w:p>
        </w:tc>
        <w:tc>
          <w:tcPr>
            <w:tcW w:w="1134" w:type="dxa"/>
            <w:tcBorders>
              <w:top w:val="nil"/>
              <w:left w:val="nil"/>
              <w:bottom w:val="single" w:color="auto" w:sz="4" w:space="0"/>
              <w:right w:val="single" w:color="auto" w:sz="4" w:space="0"/>
            </w:tcBorders>
          </w:tcPr>
          <w:p>
            <w:r>
              <w:rPr>
                <w:rFonts w:hint="eastAsia" w:ascii="宋体" w:hAnsi="宋体" w:cs="宋体"/>
                <w:b/>
                <w:bCs/>
                <w:color w:val="000000"/>
                <w:kern w:val="0"/>
                <w:sz w:val="22"/>
                <w:szCs w:val="22"/>
              </w:rPr>
              <w:t>14.98</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住房公积金</w:t>
            </w:r>
          </w:p>
        </w:tc>
        <w:tc>
          <w:tcPr>
            <w:tcW w:w="990" w:type="dxa"/>
            <w:tcBorders>
              <w:top w:val="nil"/>
              <w:left w:val="nil"/>
              <w:bottom w:val="single" w:color="auto" w:sz="4" w:space="0"/>
              <w:right w:val="single" w:color="auto" w:sz="4" w:space="0"/>
            </w:tcBorders>
          </w:tcPr>
          <w:p>
            <w:r>
              <w:rPr>
                <w:rFonts w:hint="eastAsia" w:ascii="宋体" w:hAnsi="宋体" w:cs="宋体"/>
                <w:b/>
                <w:bCs/>
                <w:color w:val="000000"/>
                <w:kern w:val="0"/>
                <w:sz w:val="22"/>
                <w:szCs w:val="22"/>
              </w:rPr>
              <w:t>14.98</w:t>
            </w:r>
          </w:p>
        </w:tc>
        <w:tc>
          <w:tcPr>
            <w:tcW w:w="1134" w:type="dxa"/>
            <w:tcBorders>
              <w:top w:val="nil"/>
              <w:left w:val="nil"/>
              <w:bottom w:val="single" w:color="auto" w:sz="4" w:space="0"/>
              <w:right w:val="single" w:color="auto" w:sz="4" w:space="0"/>
            </w:tcBorders>
          </w:tcPr>
          <w:p>
            <w:r>
              <w:rPr>
                <w:rFonts w:hint="eastAsia" w:ascii="宋体" w:hAnsi="宋体" w:cs="宋体"/>
                <w:b/>
                <w:bCs/>
                <w:color w:val="000000"/>
                <w:kern w:val="0"/>
                <w:sz w:val="22"/>
                <w:szCs w:val="22"/>
              </w:rPr>
              <w:t>14.98</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397"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235.11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235.11</w:t>
            </w:r>
          </w:p>
        </w:tc>
        <w:tc>
          <w:tcPr>
            <w:tcW w:w="45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9420" w:type="dxa"/>
        <w:tblInd w:w="-240" w:type="dxa"/>
        <w:tblLayout w:type="fixed"/>
        <w:tblCellMar>
          <w:top w:w="0" w:type="dxa"/>
          <w:left w:w="108" w:type="dxa"/>
          <w:bottom w:w="0" w:type="dxa"/>
          <w:right w:w="108" w:type="dxa"/>
        </w:tblCellMar>
      </w:tblPr>
      <w:tblGrid>
        <w:gridCol w:w="550"/>
        <w:gridCol w:w="439"/>
        <w:gridCol w:w="439"/>
        <w:gridCol w:w="2515"/>
        <w:gridCol w:w="1816"/>
        <w:gridCol w:w="1817"/>
        <w:gridCol w:w="1844"/>
      </w:tblGrid>
      <w:tr>
        <w:tblPrEx>
          <w:tblLayout w:type="fixed"/>
          <w:tblCellMar>
            <w:top w:w="0" w:type="dxa"/>
            <w:left w:w="108" w:type="dxa"/>
            <w:bottom w:w="0" w:type="dxa"/>
            <w:right w:w="108" w:type="dxa"/>
          </w:tblCellMar>
        </w:tblPrEx>
        <w:trPr>
          <w:trHeight w:val="345" w:hRule="atLeast"/>
        </w:trPr>
        <w:tc>
          <w:tcPr>
            <w:tcW w:w="394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47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2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1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1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1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5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3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1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1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1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20"/>
                <w:szCs w:val="20"/>
              </w:rPr>
              <w:t>一般公共服务支出</w:t>
            </w:r>
          </w:p>
        </w:tc>
        <w:tc>
          <w:tcPr>
            <w:tcW w:w="1816"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189.71</w:t>
            </w:r>
          </w:p>
        </w:tc>
        <w:tc>
          <w:tcPr>
            <w:tcW w:w="1817"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147.71</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民主党派及工商联事务</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189.71</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147.71</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39"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行政运行</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115.54</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115.54</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39"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一般行政管理事务</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39"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事业运行</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32.17</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32.17</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b/>
                <w:color w:val="000000"/>
                <w:sz w:val="18"/>
                <w:szCs w:val="18"/>
              </w:rPr>
              <w:t>社会保障和就业支出</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right"/>
              <w:rPr>
                <w:rFonts w:ascii="仿宋_GB2312" w:eastAsia="仿宋_GB2312"/>
                <w:b/>
                <w:color w:val="000000"/>
                <w:sz w:val="18"/>
                <w:szCs w:val="18"/>
              </w:rPr>
            </w:pPr>
            <w:r>
              <w:rPr>
                <w:rFonts w:hint="eastAsia" w:ascii="仿宋_GB2312" w:eastAsia="仿宋_GB2312"/>
                <w:b/>
                <w:color w:val="000000"/>
                <w:sz w:val="18"/>
                <w:szCs w:val="18"/>
              </w:rPr>
              <w:t>行政事业单位养支出</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439"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行政单位离退休费</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439"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机关事业单位基本养老保险缴费支出</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16.81</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16.81</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卫生健康支出</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行政事业单位医疗</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行政单位医疗</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6.96</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6.96</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事业单位医疗</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3.02</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3.02</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公务员医疗补助</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3.15</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3.15</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其他行政事业单位医疗支出</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0.09</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0.09</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住房保障支出</w:t>
            </w:r>
          </w:p>
        </w:tc>
        <w:tc>
          <w:tcPr>
            <w:tcW w:w="1816"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17"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221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b/>
                <w:color w:val="000000"/>
                <w:sz w:val="18"/>
                <w:szCs w:val="18"/>
              </w:rPr>
              <w:t>住房改革支出</w:t>
            </w:r>
          </w:p>
        </w:tc>
        <w:tc>
          <w:tcPr>
            <w:tcW w:w="1816"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17"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221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住房公积金</w:t>
            </w:r>
          </w:p>
        </w:tc>
        <w:tc>
          <w:tcPr>
            <w:tcW w:w="1816"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17" w:type="dxa"/>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1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1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235.11</w:t>
            </w:r>
          </w:p>
        </w:tc>
        <w:tc>
          <w:tcPr>
            <w:tcW w:w="181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193.11</w:t>
            </w:r>
          </w:p>
        </w:tc>
        <w:tc>
          <w:tcPr>
            <w:tcW w:w="18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昌吉州工商联</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189.71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189.71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17.21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17.21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235.11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7"/>
        <w:gridCol w:w="492"/>
        <w:gridCol w:w="439"/>
        <w:gridCol w:w="2501"/>
        <w:gridCol w:w="659"/>
        <w:gridCol w:w="1021"/>
        <w:gridCol w:w="216"/>
        <w:gridCol w:w="1622"/>
        <w:gridCol w:w="1697"/>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99"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昌吉州工商联</w:t>
            </w:r>
          </w:p>
        </w:tc>
        <w:tc>
          <w:tcPr>
            <w:tcW w:w="659"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37"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19" w:type="dxa"/>
            <w:gridSpan w:val="2"/>
            <w:tcBorders>
              <w:top w:val="nil"/>
              <w:left w:val="nil"/>
              <w:bottom w:val="nil"/>
              <w:right w:val="nil"/>
            </w:tcBorders>
            <w:vAlign w:val="center"/>
          </w:tcPr>
          <w:p>
            <w:pPr>
              <w:widowControl/>
              <w:ind w:right="36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99"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15"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9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3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9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3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9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20"/>
                <w:szCs w:val="20"/>
              </w:rPr>
              <w:t>一般公共服务支出</w:t>
            </w:r>
          </w:p>
        </w:tc>
        <w:tc>
          <w:tcPr>
            <w:tcW w:w="1680"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189.71</w:t>
            </w:r>
          </w:p>
        </w:tc>
        <w:tc>
          <w:tcPr>
            <w:tcW w:w="1838"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147.71</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民主党派及工商联事务</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189.71</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147.71</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行政运行</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115.54</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115.54</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一般行政管理事务</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42</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201</w:t>
            </w:r>
          </w:p>
        </w:tc>
        <w:tc>
          <w:tcPr>
            <w:tcW w:w="492"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28</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eastAsia="仿宋_GB2312"/>
                <w:b/>
                <w:color w:val="000000"/>
                <w:sz w:val="18"/>
                <w:szCs w:val="18"/>
              </w:rPr>
              <w:t>事业运行</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32.16</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32.16</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b/>
                <w:color w:val="000000"/>
                <w:sz w:val="18"/>
                <w:szCs w:val="18"/>
              </w:rPr>
              <w:t>社会保障和就业支出</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right"/>
              <w:rPr>
                <w:rFonts w:ascii="仿宋_GB2312" w:eastAsia="仿宋_GB2312"/>
                <w:b/>
                <w:color w:val="000000"/>
                <w:sz w:val="18"/>
                <w:szCs w:val="18"/>
              </w:rPr>
            </w:pPr>
            <w:r>
              <w:rPr>
                <w:rFonts w:hint="eastAsia" w:ascii="仿宋_GB2312" w:eastAsia="仿宋_GB2312"/>
                <w:b/>
                <w:color w:val="000000"/>
                <w:sz w:val="18"/>
                <w:szCs w:val="18"/>
              </w:rPr>
              <w:t>行政事业单位养支出</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17.21</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行政单位离退休费</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0.4</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208</w:t>
            </w:r>
          </w:p>
        </w:tc>
        <w:tc>
          <w:tcPr>
            <w:tcW w:w="492" w:type="dxa"/>
            <w:tcBorders>
              <w:top w:val="nil"/>
              <w:left w:val="nil"/>
              <w:bottom w:val="single" w:color="auto" w:sz="4" w:space="0"/>
              <w:right w:val="single" w:color="auto" w:sz="4" w:space="0"/>
            </w:tcBorders>
          </w:tcPr>
          <w:p>
            <w:r>
              <w:rPr>
                <w:rFonts w:hint="eastAsia" w:ascii="仿宋_GB2312" w:hAnsi="宋体" w:eastAsia="仿宋_GB2312" w:cs="宋体"/>
                <w:color w:val="000000"/>
                <w:sz w:val="20"/>
                <w:szCs w:val="20"/>
              </w:rPr>
              <w:t>05</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机关事业单位基本养老保险缴费支出</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16.81</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16.81</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卫生健康支出</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行政事业单位医疗</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13.22</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行政单位医疗</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6.96</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6.96</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事业单位医疗</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3.02</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3.02</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公务员医疗补助</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3.15</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3.15</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color w:val="000000"/>
                <w:sz w:val="18"/>
                <w:szCs w:val="18"/>
              </w:rPr>
              <w:t>其他行政事业单位医疗支出</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0.09</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0.09</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住房保障支出</w:t>
            </w:r>
          </w:p>
        </w:tc>
        <w:tc>
          <w:tcPr>
            <w:tcW w:w="1680"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38"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b/>
                <w:color w:val="000000"/>
                <w:sz w:val="18"/>
                <w:szCs w:val="18"/>
              </w:rPr>
              <w:t>住房改革支出</w:t>
            </w:r>
          </w:p>
        </w:tc>
        <w:tc>
          <w:tcPr>
            <w:tcW w:w="1680"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38"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697" w:type="dxa"/>
            <w:tcBorders>
              <w:top w:val="nil"/>
              <w:left w:val="nil"/>
              <w:bottom w:val="single" w:color="auto" w:sz="4" w:space="0"/>
              <w:right w:val="single" w:color="auto" w:sz="4" w:space="0"/>
            </w:tcBorders>
          </w:tc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tcPr>
          <w:p>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住房公积金</w:t>
            </w:r>
          </w:p>
        </w:tc>
        <w:tc>
          <w:tcPr>
            <w:tcW w:w="1680"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838" w:type="dxa"/>
            <w:gridSpan w:val="2"/>
            <w:tcBorders>
              <w:top w:val="nil"/>
              <w:left w:val="nil"/>
              <w:bottom w:val="single" w:color="auto" w:sz="4" w:space="0"/>
              <w:right w:val="single" w:color="auto" w:sz="4" w:space="0"/>
            </w:tcBorders>
          </w:tcPr>
          <w:p>
            <w:pPr>
              <w:jc w:val="right"/>
            </w:pPr>
            <w:r>
              <w:rPr>
                <w:rFonts w:hint="eastAsia" w:ascii="宋体" w:hAnsi="宋体" w:cs="宋体"/>
                <w:b/>
                <w:bCs/>
                <w:color w:val="000000"/>
                <w:kern w:val="0"/>
                <w:sz w:val="22"/>
                <w:szCs w:val="22"/>
              </w:rPr>
              <w:t>14.98</w:t>
            </w:r>
          </w:p>
        </w:tc>
        <w:tc>
          <w:tcPr>
            <w:tcW w:w="1697" w:type="dxa"/>
            <w:tcBorders>
              <w:top w:val="nil"/>
              <w:left w:val="nil"/>
              <w:bottom w:val="single" w:color="auto" w:sz="4" w:space="0"/>
              <w:right w:val="single" w:color="auto" w:sz="4" w:space="0"/>
            </w:tcBorders>
          </w:tc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235.11</w:t>
            </w:r>
          </w:p>
        </w:tc>
        <w:tc>
          <w:tcPr>
            <w:tcW w:w="1838"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193.11</w:t>
            </w:r>
          </w:p>
        </w:tc>
        <w:tc>
          <w:tcPr>
            <w:tcW w:w="169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42</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584"/>
        <w:gridCol w:w="1842"/>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昌吉州工商联</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6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6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Cs w:val="21"/>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172.1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172.1</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Dialog" w:hAnsi="Dialog"/>
                <w:color w:val="000000"/>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50.86</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50.86</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38.73</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38.73</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4.15</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4.15</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Dialog" w:hAnsi="Dialog"/>
                <w:color w:val="000000"/>
              </w:rPr>
            </w:pPr>
            <w:r>
              <w:rPr>
                <w:rFonts w:hint="eastAsia" w:ascii="Dialog" w:hAnsi="Dialog"/>
                <w:color w:val="000000"/>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12.41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12.41</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16.81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16.81</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9.98</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9.98</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3.15</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3.15</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0.22</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0.22</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14.98</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14.98</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20.82</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20.82</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ascii="仿宋_GB2312" w:hAnsi="宋体" w:eastAsia="仿宋_GB2312" w:cs="宋体"/>
                <w:b/>
                <w:bCs/>
                <w:color w:val="000000"/>
                <w:kern w:val="0"/>
                <w:szCs w:val="21"/>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16.66</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16.66</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1.61</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ascii="Dialog" w:hAnsi="Dialog"/>
                <w:color w:val="000000"/>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0.36</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0.36</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ascii="Dialog" w:hAnsi="Dialog"/>
                <w:color w:val="000000"/>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0.8</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0.8</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hint="eastAsia" w:ascii="Dialog" w:hAnsi="Dialog"/>
                <w:color w:val="000000"/>
              </w:rPr>
              <w:t>邮</w:t>
            </w:r>
            <w:r>
              <w:rPr>
                <w:rFonts w:ascii="Dialog" w:hAnsi="Dialog"/>
                <w:color w:val="000000"/>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0.50</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0.50</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pP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Dialog" w:hAnsi="Dialog"/>
                <w:color w:val="000000"/>
              </w:rPr>
            </w:pPr>
            <w:r>
              <w:rPr>
                <w:rFonts w:ascii="Dialog" w:hAnsi="Dialog"/>
                <w:color w:val="000000"/>
              </w:rPr>
              <w:t>取暖费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1.73</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1.73</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pP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Dialog" w:hAnsi="Dialog"/>
                <w:color w:val="000000"/>
              </w:rPr>
            </w:pPr>
            <w:r>
              <w:rPr>
                <w:rFonts w:ascii="Dialog" w:hAnsi="Dialog"/>
                <w:color w:val="000000"/>
              </w:rPr>
              <w:t>物业管理费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公务招待费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0.19</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0.19</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0.19</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ascii="Dialog" w:hAnsi="Dialog"/>
                <w:color w:val="000000"/>
              </w:rPr>
              <w:t>劳务费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1.94</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1.94</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1.94</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ascii="Dialog" w:hAnsi="Dialog"/>
                <w:color w:val="000000"/>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1.98</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1.98</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1.98</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ascii="Dialog" w:hAnsi="Dialog"/>
                <w:color w:val="000000"/>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1.78</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1.78</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1.78</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color w:val="000000"/>
                <w:sz w:val="24"/>
              </w:rPr>
            </w:pPr>
            <w:r>
              <w:rPr>
                <w:rFonts w:ascii="Dialog" w:hAnsi="Dialog"/>
                <w:color w:val="00000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2.15</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2.15</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2.15</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Dialog" w:hAnsi="Dialog"/>
                <w:color w:val="00000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1.62</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1.62</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1.62</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4.35</w:t>
            </w:r>
          </w:p>
        </w:tc>
        <w:tc>
          <w:tcPr>
            <w:tcW w:w="156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4.35</w:t>
            </w:r>
          </w:p>
        </w:tc>
        <w:tc>
          <w:tcPr>
            <w:tcW w:w="1842"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4.35</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Dialog" w:hAnsi="Dialog"/>
                <w:color w:val="000000"/>
              </w:rPr>
            </w:pPr>
            <w:r>
              <w:rPr>
                <w:rFonts w:hint="eastAsia" w:ascii="Dialog" w:hAnsi="Dialog"/>
                <w:color w:val="000000"/>
              </w:rPr>
              <w:t>离休费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0.40</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0.40</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0.40</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医疗费补助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3.64</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3.64</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3.64</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0.31</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0.31</w:t>
            </w:r>
          </w:p>
        </w:tc>
      </w:tr>
      <w:tr>
        <w:tblPrEx>
          <w:tblLayout w:type="fixed"/>
          <w:tblCellMar>
            <w:top w:w="0" w:type="dxa"/>
            <w:left w:w="108" w:type="dxa"/>
            <w:bottom w:w="0" w:type="dxa"/>
            <w:right w:w="108" w:type="dxa"/>
          </w:tblCellMar>
        </w:tblPrEx>
        <w:trPr>
          <w:trHeight w:val="283"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193.11</w:t>
            </w: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176.45</w:t>
            </w: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16.66</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0"/>
        <w:gridCol w:w="507"/>
        <w:gridCol w:w="417"/>
        <w:gridCol w:w="417"/>
        <w:gridCol w:w="1669"/>
        <w:gridCol w:w="832"/>
        <w:gridCol w:w="450"/>
        <w:gridCol w:w="110"/>
        <w:gridCol w:w="449"/>
        <w:gridCol w:w="529"/>
        <w:gridCol w:w="637"/>
        <w:gridCol w:w="637"/>
        <w:gridCol w:w="378"/>
        <w:gridCol w:w="200"/>
        <w:gridCol w:w="418"/>
        <w:gridCol w:w="578"/>
        <w:gridCol w:w="419"/>
        <w:gridCol w:w="419"/>
        <w:gridCol w:w="387"/>
        <w:gridCol w:w="77"/>
      </w:tblGrid>
      <w:tr>
        <w:tblPrEx>
          <w:tblLayout w:type="fixed"/>
          <w:tblCellMar>
            <w:top w:w="0" w:type="dxa"/>
            <w:left w:w="108" w:type="dxa"/>
            <w:bottom w:w="0" w:type="dxa"/>
            <w:right w:w="108" w:type="dxa"/>
          </w:tblCellMar>
        </w:tblPrEx>
        <w:trPr>
          <w:gridBefore w:val="1"/>
          <w:gridAfter w:val="1"/>
          <w:wBefore w:w="10" w:type="dxa"/>
          <w:wAfter w:w="77"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7" w:type="dxa"/>
          <w:trHeight w:val="405" w:hRule="atLeast"/>
        </w:trPr>
        <w:tc>
          <w:tcPr>
            <w:tcW w:w="4402"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昌吉州工商联</w:t>
            </w:r>
          </w:p>
        </w:tc>
        <w:tc>
          <w:tcPr>
            <w:tcW w:w="978"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1"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5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6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32"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4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66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3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7" w:type="dxa"/>
            <w:gridSpan w:val="2"/>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201</w:t>
            </w:r>
          </w:p>
        </w:tc>
        <w:tc>
          <w:tcPr>
            <w:tcW w:w="417" w:type="dxa"/>
            <w:vAlign w:val="center"/>
          </w:tcPr>
          <w:p>
            <w:pPr>
              <w:widowControl/>
              <w:jc w:val="center"/>
              <w:outlineLvl w:val="1"/>
              <w:rPr>
                <w:rFonts w:ascii="仿宋_GB2312" w:eastAsia="仿宋_GB2312"/>
                <w:b/>
                <w:color w:val="000000"/>
                <w:sz w:val="18"/>
                <w:szCs w:val="18"/>
              </w:rPr>
            </w:pPr>
          </w:p>
        </w:tc>
        <w:tc>
          <w:tcPr>
            <w:tcW w:w="417" w:type="dxa"/>
            <w:vAlign w:val="center"/>
          </w:tcPr>
          <w:p>
            <w:pPr>
              <w:widowControl/>
              <w:jc w:val="center"/>
              <w:outlineLvl w:val="1"/>
              <w:rPr>
                <w:rFonts w:ascii="仿宋_GB2312" w:eastAsia="仿宋_GB2312"/>
                <w:b/>
                <w:color w:val="000000"/>
                <w:sz w:val="18"/>
                <w:szCs w:val="18"/>
              </w:rPr>
            </w:pPr>
          </w:p>
        </w:tc>
        <w:tc>
          <w:tcPr>
            <w:tcW w:w="1669" w:type="dxa"/>
            <w:vAlign w:val="center"/>
          </w:tcPr>
          <w:p>
            <w:pPr>
              <w:jc w:val="right"/>
              <w:rPr>
                <w:rFonts w:ascii="仿宋_GB2312" w:eastAsia="仿宋_GB2312"/>
                <w:b/>
                <w:color w:val="000000"/>
                <w:sz w:val="18"/>
                <w:szCs w:val="18"/>
              </w:rPr>
            </w:pPr>
            <w:r>
              <w:rPr>
                <w:rFonts w:hint="eastAsia" w:ascii="仿宋_GB2312" w:eastAsia="仿宋_GB2312"/>
                <w:b/>
                <w:color w:val="000000"/>
                <w:sz w:val="18"/>
                <w:szCs w:val="18"/>
              </w:rPr>
              <w:t>一般公共服务支出</w:t>
            </w:r>
          </w:p>
        </w:tc>
        <w:tc>
          <w:tcPr>
            <w:tcW w:w="832" w:type="dxa"/>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工商联业务费</w:t>
            </w:r>
          </w:p>
        </w:tc>
        <w:tc>
          <w:tcPr>
            <w:tcW w:w="450" w:type="dxa"/>
            <w:vAlign w:val="center"/>
          </w:tcPr>
          <w:p>
            <w:pPr>
              <w:widowControl/>
              <w:jc w:val="right"/>
              <w:outlineLvl w:val="1"/>
              <w:rPr>
                <w:rFonts w:ascii="仿宋_GB2312" w:eastAsia="仿宋_GB2312"/>
                <w:b/>
                <w:color w:val="000000"/>
                <w:sz w:val="18"/>
                <w:szCs w:val="18"/>
              </w:rPr>
            </w:pPr>
            <w:r>
              <w:rPr>
                <w:rFonts w:hint="eastAsia" w:ascii="仿宋_GB2312" w:eastAsia="仿宋_GB2312"/>
                <w:b/>
                <w:color w:val="000000"/>
                <w:sz w:val="18"/>
                <w:szCs w:val="18"/>
              </w:rPr>
              <w:t>45</w:t>
            </w:r>
          </w:p>
        </w:tc>
        <w:tc>
          <w:tcPr>
            <w:tcW w:w="559" w:type="dxa"/>
            <w:gridSpan w:val="2"/>
            <w:vAlign w:val="center"/>
          </w:tcPr>
          <w:p>
            <w:pPr>
              <w:widowControl/>
              <w:jc w:val="center"/>
              <w:outlineLvl w:val="1"/>
              <w:rPr>
                <w:rFonts w:ascii="仿宋_GB2312" w:eastAsia="仿宋_GB2312"/>
                <w:b/>
                <w:color w:val="000000"/>
                <w:sz w:val="18"/>
                <w:szCs w:val="18"/>
              </w:rPr>
            </w:pPr>
          </w:p>
        </w:tc>
        <w:tc>
          <w:tcPr>
            <w:tcW w:w="529" w:type="dxa"/>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45</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7" w:type="dxa"/>
            <w:gridSpan w:val="2"/>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201</w:t>
            </w:r>
          </w:p>
        </w:tc>
        <w:tc>
          <w:tcPr>
            <w:tcW w:w="417" w:type="dxa"/>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28</w:t>
            </w:r>
          </w:p>
        </w:tc>
        <w:tc>
          <w:tcPr>
            <w:tcW w:w="417" w:type="dxa"/>
            <w:vAlign w:val="center"/>
          </w:tcPr>
          <w:p>
            <w:pPr>
              <w:widowControl/>
              <w:jc w:val="center"/>
              <w:outlineLvl w:val="1"/>
              <w:rPr>
                <w:rFonts w:ascii="仿宋_GB2312" w:eastAsia="仿宋_GB2312"/>
                <w:b/>
                <w:color w:val="000000"/>
                <w:sz w:val="18"/>
                <w:szCs w:val="18"/>
              </w:rPr>
            </w:pPr>
          </w:p>
        </w:tc>
        <w:tc>
          <w:tcPr>
            <w:tcW w:w="1669" w:type="dxa"/>
            <w:vAlign w:val="center"/>
          </w:tcPr>
          <w:p>
            <w:pPr>
              <w:jc w:val="right"/>
              <w:rPr>
                <w:rFonts w:ascii="仿宋_GB2312" w:eastAsia="仿宋_GB2312"/>
                <w:b/>
                <w:color w:val="000000"/>
                <w:sz w:val="18"/>
                <w:szCs w:val="18"/>
              </w:rPr>
            </w:pPr>
            <w:r>
              <w:rPr>
                <w:rFonts w:hint="eastAsia" w:ascii="仿宋_GB2312" w:eastAsia="仿宋_GB2312"/>
                <w:b/>
                <w:color w:val="000000"/>
                <w:sz w:val="18"/>
                <w:szCs w:val="18"/>
              </w:rPr>
              <w:t>民主党派及工商联事务</w:t>
            </w:r>
          </w:p>
        </w:tc>
        <w:tc>
          <w:tcPr>
            <w:tcW w:w="832" w:type="dxa"/>
          </w:tcPr>
          <w:p>
            <w:pPr>
              <w:rPr>
                <w:rFonts w:ascii="仿宋_GB2312" w:eastAsia="仿宋_GB2312"/>
                <w:b/>
                <w:color w:val="000000"/>
                <w:sz w:val="18"/>
                <w:szCs w:val="18"/>
              </w:rPr>
            </w:pPr>
            <w:r>
              <w:rPr>
                <w:rFonts w:hint="eastAsia" w:ascii="仿宋_GB2312" w:eastAsia="仿宋_GB2312"/>
                <w:b/>
                <w:color w:val="000000"/>
                <w:sz w:val="18"/>
                <w:szCs w:val="18"/>
              </w:rPr>
              <w:t>工商联业务费</w:t>
            </w:r>
          </w:p>
        </w:tc>
        <w:tc>
          <w:tcPr>
            <w:tcW w:w="450" w:type="dxa"/>
          </w:tcPr>
          <w:p>
            <w:pPr>
              <w:jc w:val="right"/>
              <w:rPr>
                <w:rFonts w:ascii="仿宋_GB2312" w:eastAsia="仿宋_GB2312"/>
                <w:b/>
                <w:color w:val="000000"/>
                <w:sz w:val="18"/>
                <w:szCs w:val="18"/>
              </w:rPr>
            </w:pPr>
            <w:r>
              <w:rPr>
                <w:rFonts w:hint="eastAsia" w:ascii="仿宋_GB2312" w:eastAsia="仿宋_GB2312"/>
                <w:b/>
                <w:color w:val="000000"/>
                <w:sz w:val="18"/>
                <w:szCs w:val="18"/>
              </w:rPr>
              <w:t>45</w:t>
            </w:r>
          </w:p>
        </w:tc>
        <w:tc>
          <w:tcPr>
            <w:tcW w:w="559" w:type="dxa"/>
            <w:gridSpan w:val="2"/>
            <w:vAlign w:val="center"/>
          </w:tcPr>
          <w:p>
            <w:pPr>
              <w:widowControl/>
              <w:jc w:val="center"/>
              <w:outlineLvl w:val="1"/>
              <w:rPr>
                <w:rFonts w:ascii="仿宋_GB2312" w:eastAsia="仿宋_GB2312"/>
                <w:b/>
                <w:color w:val="000000"/>
                <w:sz w:val="18"/>
                <w:szCs w:val="18"/>
              </w:rPr>
            </w:pPr>
          </w:p>
        </w:tc>
        <w:tc>
          <w:tcPr>
            <w:tcW w:w="529" w:type="dxa"/>
          </w:tcPr>
          <w:p>
            <w:pPr>
              <w:rPr>
                <w:rFonts w:ascii="仿宋_GB2312" w:eastAsia="仿宋_GB2312"/>
                <w:b/>
                <w:color w:val="000000"/>
                <w:sz w:val="18"/>
                <w:szCs w:val="18"/>
              </w:rPr>
            </w:pPr>
            <w:r>
              <w:rPr>
                <w:rFonts w:hint="eastAsia" w:ascii="仿宋_GB2312" w:eastAsia="仿宋_GB2312"/>
                <w:b/>
                <w:color w:val="000000"/>
                <w:sz w:val="18"/>
                <w:szCs w:val="18"/>
              </w:rPr>
              <w:t>45</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7" w:type="dxa"/>
            <w:gridSpan w:val="2"/>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201</w:t>
            </w:r>
          </w:p>
        </w:tc>
        <w:tc>
          <w:tcPr>
            <w:tcW w:w="417" w:type="dxa"/>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28</w:t>
            </w:r>
          </w:p>
        </w:tc>
        <w:tc>
          <w:tcPr>
            <w:tcW w:w="417" w:type="dxa"/>
            <w:vAlign w:val="center"/>
          </w:tcPr>
          <w:p>
            <w:pPr>
              <w:widowControl/>
              <w:jc w:val="center"/>
              <w:outlineLvl w:val="1"/>
              <w:rPr>
                <w:rFonts w:ascii="仿宋_GB2312" w:eastAsia="仿宋_GB2312"/>
                <w:b/>
                <w:color w:val="000000"/>
                <w:sz w:val="18"/>
                <w:szCs w:val="18"/>
              </w:rPr>
            </w:pPr>
            <w:r>
              <w:rPr>
                <w:rFonts w:hint="eastAsia" w:ascii="仿宋_GB2312" w:eastAsia="仿宋_GB2312"/>
                <w:b/>
                <w:color w:val="000000"/>
                <w:sz w:val="18"/>
                <w:szCs w:val="18"/>
              </w:rPr>
              <w:t>02</w:t>
            </w:r>
          </w:p>
        </w:tc>
        <w:tc>
          <w:tcPr>
            <w:tcW w:w="1669" w:type="dxa"/>
            <w:vAlign w:val="center"/>
          </w:tcPr>
          <w:p>
            <w:pPr>
              <w:jc w:val="right"/>
              <w:rPr>
                <w:rFonts w:ascii="仿宋_GB2312" w:eastAsia="仿宋_GB2312"/>
                <w:b/>
                <w:color w:val="000000"/>
                <w:sz w:val="18"/>
                <w:szCs w:val="18"/>
              </w:rPr>
            </w:pPr>
            <w:r>
              <w:rPr>
                <w:rFonts w:ascii="仿宋_GB2312" w:eastAsia="仿宋_GB2312"/>
                <w:b/>
                <w:color w:val="000000"/>
                <w:sz w:val="18"/>
                <w:szCs w:val="18"/>
              </w:rPr>
              <w:t>一般行政管理事务</w:t>
            </w:r>
          </w:p>
        </w:tc>
        <w:tc>
          <w:tcPr>
            <w:tcW w:w="832" w:type="dxa"/>
          </w:tcPr>
          <w:p>
            <w:pPr>
              <w:rPr>
                <w:rFonts w:ascii="仿宋_GB2312" w:eastAsia="仿宋_GB2312"/>
                <w:b/>
                <w:color w:val="000000"/>
                <w:sz w:val="18"/>
                <w:szCs w:val="18"/>
              </w:rPr>
            </w:pPr>
            <w:r>
              <w:rPr>
                <w:rFonts w:hint="eastAsia" w:ascii="仿宋_GB2312" w:eastAsia="仿宋_GB2312"/>
                <w:b/>
                <w:color w:val="000000"/>
                <w:sz w:val="18"/>
                <w:szCs w:val="18"/>
              </w:rPr>
              <w:t>工商联业务费</w:t>
            </w:r>
          </w:p>
        </w:tc>
        <w:tc>
          <w:tcPr>
            <w:tcW w:w="450" w:type="dxa"/>
          </w:tcPr>
          <w:p>
            <w:pPr>
              <w:jc w:val="right"/>
              <w:rPr>
                <w:rFonts w:ascii="仿宋_GB2312" w:eastAsia="仿宋_GB2312"/>
                <w:b/>
                <w:color w:val="000000"/>
                <w:sz w:val="18"/>
                <w:szCs w:val="18"/>
              </w:rPr>
            </w:pPr>
            <w:r>
              <w:rPr>
                <w:rFonts w:hint="eastAsia" w:ascii="仿宋_GB2312" w:eastAsia="仿宋_GB2312"/>
                <w:b/>
                <w:color w:val="000000"/>
                <w:sz w:val="18"/>
                <w:szCs w:val="18"/>
              </w:rPr>
              <w:t>45</w:t>
            </w:r>
          </w:p>
        </w:tc>
        <w:tc>
          <w:tcPr>
            <w:tcW w:w="559" w:type="dxa"/>
            <w:gridSpan w:val="2"/>
            <w:vAlign w:val="center"/>
          </w:tcPr>
          <w:p>
            <w:pPr>
              <w:widowControl/>
              <w:jc w:val="center"/>
              <w:outlineLvl w:val="1"/>
              <w:rPr>
                <w:rFonts w:ascii="仿宋_GB2312" w:eastAsia="仿宋_GB2312"/>
                <w:b/>
                <w:color w:val="000000"/>
                <w:sz w:val="18"/>
                <w:szCs w:val="18"/>
              </w:rPr>
            </w:pPr>
          </w:p>
        </w:tc>
        <w:tc>
          <w:tcPr>
            <w:tcW w:w="529" w:type="dxa"/>
          </w:tcPr>
          <w:p>
            <w:pPr>
              <w:rPr>
                <w:rFonts w:ascii="仿宋_GB2312" w:eastAsia="仿宋_GB2312"/>
                <w:b/>
                <w:color w:val="000000"/>
                <w:sz w:val="18"/>
                <w:szCs w:val="18"/>
              </w:rPr>
            </w:pPr>
            <w:r>
              <w:rPr>
                <w:rFonts w:hint="eastAsia" w:ascii="仿宋_GB2312" w:eastAsia="仿宋_GB2312"/>
                <w:b/>
                <w:color w:val="000000"/>
                <w:sz w:val="18"/>
                <w:szCs w:val="18"/>
              </w:rPr>
              <w:t>45</w:t>
            </w:r>
          </w:p>
        </w:tc>
        <w:tc>
          <w:tcPr>
            <w:tcW w:w="637" w:type="dxa"/>
          </w:tcPr>
          <w:p>
            <w:pPr>
              <w:widowControl/>
              <w:jc w:val="right"/>
              <w:outlineLvl w:val="1"/>
              <w:rPr>
                <w:rFonts w:ascii="仿宋_GB2312" w:hAnsi="宋体" w:eastAsia="仿宋_GB2312"/>
                <w:kern w:val="0"/>
                <w:sz w:val="32"/>
                <w:szCs w:val="32"/>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7" w:type="dxa"/>
            <w:gridSpan w:val="2"/>
          </w:tcPr>
          <w:p>
            <w:pPr>
              <w:widowControl/>
              <w:jc w:val="center"/>
              <w:outlineLvl w:val="1"/>
              <w:rPr>
                <w:rFonts w:ascii="仿宋_GB2312" w:hAnsi="宋体" w:eastAsia="仿宋_GB2312"/>
                <w:kern w:val="0"/>
                <w:sz w:val="32"/>
                <w:szCs w:val="32"/>
              </w:rPr>
            </w:pPr>
          </w:p>
        </w:tc>
        <w:tc>
          <w:tcPr>
            <w:tcW w:w="417" w:type="dxa"/>
          </w:tcPr>
          <w:p>
            <w:pPr>
              <w:widowControl/>
              <w:jc w:val="center"/>
              <w:outlineLvl w:val="1"/>
              <w:rPr>
                <w:rFonts w:ascii="仿宋_GB2312" w:hAnsi="宋体" w:eastAsia="仿宋_GB2312"/>
                <w:kern w:val="0"/>
                <w:sz w:val="32"/>
                <w:szCs w:val="32"/>
              </w:rPr>
            </w:pPr>
          </w:p>
        </w:tc>
        <w:tc>
          <w:tcPr>
            <w:tcW w:w="417" w:type="dxa"/>
          </w:tcPr>
          <w:p>
            <w:pPr>
              <w:widowControl/>
              <w:jc w:val="center"/>
              <w:outlineLvl w:val="1"/>
              <w:rPr>
                <w:rFonts w:ascii="仿宋_GB2312" w:hAnsi="宋体" w:eastAsia="仿宋_GB2312"/>
                <w:kern w:val="0"/>
                <w:sz w:val="32"/>
                <w:szCs w:val="32"/>
              </w:rPr>
            </w:pPr>
          </w:p>
        </w:tc>
        <w:tc>
          <w:tcPr>
            <w:tcW w:w="1669" w:type="dxa"/>
          </w:tcPr>
          <w:p>
            <w:pPr>
              <w:widowControl/>
              <w:jc w:val="center"/>
              <w:outlineLvl w:val="1"/>
              <w:rPr>
                <w:rFonts w:ascii="仿宋_GB2312" w:hAnsi="宋体" w:eastAsia="仿宋_GB2312"/>
                <w:kern w:val="0"/>
                <w:sz w:val="32"/>
                <w:szCs w:val="32"/>
              </w:rPr>
            </w:pPr>
          </w:p>
        </w:tc>
        <w:tc>
          <w:tcPr>
            <w:tcW w:w="832" w:type="dxa"/>
            <w:vAlign w:val="center"/>
          </w:tcPr>
          <w:p>
            <w:pPr>
              <w:widowControl/>
              <w:jc w:val="center"/>
              <w:outlineLvl w:val="1"/>
              <w:rPr>
                <w:rFonts w:ascii="仿宋_GB2312" w:hAnsi="宋体" w:eastAsia="仿宋_GB2312"/>
                <w:b/>
                <w:bCs/>
                <w:kern w:val="0"/>
                <w:szCs w:val="21"/>
              </w:rPr>
            </w:pPr>
          </w:p>
        </w:tc>
        <w:tc>
          <w:tcPr>
            <w:tcW w:w="450" w:type="dxa"/>
            <w:vAlign w:val="center"/>
          </w:tcPr>
          <w:p>
            <w:pPr>
              <w:widowControl/>
              <w:jc w:val="right"/>
              <w:outlineLvl w:val="1"/>
              <w:rPr>
                <w:rFonts w:ascii="仿宋_GB2312" w:hAnsi="宋体" w:eastAsia="仿宋_GB2312"/>
                <w:kern w:val="0"/>
                <w:szCs w:val="21"/>
              </w:rPr>
            </w:pPr>
          </w:p>
        </w:tc>
        <w:tc>
          <w:tcPr>
            <w:tcW w:w="559" w:type="dxa"/>
            <w:gridSpan w:val="2"/>
          </w:tcPr>
          <w:p>
            <w:pPr>
              <w:widowControl/>
              <w:jc w:val="right"/>
              <w:outlineLvl w:val="1"/>
              <w:rPr>
                <w:rFonts w:ascii="仿宋_GB2312" w:hAnsi="宋体" w:eastAsia="仿宋_GB2312"/>
                <w:kern w:val="0"/>
                <w:sz w:val="32"/>
                <w:szCs w:val="32"/>
              </w:rPr>
            </w:pPr>
          </w:p>
        </w:tc>
        <w:tc>
          <w:tcPr>
            <w:tcW w:w="529" w:type="dxa"/>
          </w:tcPr>
          <w:p>
            <w:pPr>
              <w:widowControl/>
              <w:jc w:val="right"/>
              <w:outlineLvl w:val="1"/>
              <w:rPr>
                <w:rFonts w:ascii="仿宋_GB2312" w:hAnsi="宋体" w:eastAsia="仿宋_GB2312"/>
                <w:kern w:val="0"/>
                <w:szCs w:val="21"/>
              </w:rPr>
            </w:pPr>
          </w:p>
        </w:tc>
        <w:tc>
          <w:tcPr>
            <w:tcW w:w="637" w:type="dxa"/>
          </w:tcPr>
          <w:p>
            <w:pPr>
              <w:widowControl/>
              <w:jc w:val="right"/>
              <w:outlineLvl w:val="1"/>
              <w:rPr>
                <w:rFonts w:ascii="仿宋_GB2312" w:hAnsi="宋体" w:eastAsia="仿宋_GB2312"/>
                <w:kern w:val="0"/>
                <w:szCs w:val="21"/>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7" w:type="dxa"/>
            <w:gridSpan w:val="2"/>
          </w:tcPr>
          <w:p>
            <w:pPr>
              <w:widowControl/>
              <w:jc w:val="center"/>
              <w:outlineLvl w:val="1"/>
              <w:rPr>
                <w:rFonts w:ascii="仿宋_GB2312" w:hAnsi="宋体" w:eastAsia="仿宋_GB2312"/>
                <w:kern w:val="0"/>
                <w:sz w:val="32"/>
                <w:szCs w:val="32"/>
              </w:rPr>
            </w:pPr>
          </w:p>
        </w:tc>
        <w:tc>
          <w:tcPr>
            <w:tcW w:w="417" w:type="dxa"/>
          </w:tcPr>
          <w:p>
            <w:pPr>
              <w:widowControl/>
              <w:jc w:val="center"/>
              <w:outlineLvl w:val="1"/>
              <w:rPr>
                <w:rFonts w:ascii="仿宋_GB2312" w:hAnsi="宋体" w:eastAsia="仿宋_GB2312"/>
                <w:kern w:val="0"/>
                <w:sz w:val="32"/>
                <w:szCs w:val="32"/>
              </w:rPr>
            </w:pPr>
          </w:p>
        </w:tc>
        <w:tc>
          <w:tcPr>
            <w:tcW w:w="417" w:type="dxa"/>
          </w:tcPr>
          <w:p>
            <w:pPr>
              <w:widowControl/>
              <w:jc w:val="center"/>
              <w:outlineLvl w:val="1"/>
              <w:rPr>
                <w:rFonts w:ascii="仿宋_GB2312" w:hAnsi="宋体" w:eastAsia="仿宋_GB2312"/>
                <w:kern w:val="0"/>
                <w:sz w:val="32"/>
                <w:szCs w:val="32"/>
              </w:rPr>
            </w:pPr>
          </w:p>
        </w:tc>
        <w:tc>
          <w:tcPr>
            <w:tcW w:w="1669" w:type="dxa"/>
          </w:tcPr>
          <w:p>
            <w:pPr>
              <w:widowControl/>
              <w:jc w:val="center"/>
              <w:outlineLvl w:val="1"/>
              <w:rPr>
                <w:rFonts w:ascii="仿宋_GB2312" w:hAnsi="宋体" w:eastAsia="仿宋_GB2312"/>
                <w:kern w:val="0"/>
                <w:sz w:val="32"/>
                <w:szCs w:val="32"/>
              </w:rPr>
            </w:pPr>
          </w:p>
        </w:tc>
        <w:tc>
          <w:tcPr>
            <w:tcW w:w="83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450" w:type="dxa"/>
            <w:vAlign w:val="center"/>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45</w:t>
            </w:r>
          </w:p>
        </w:tc>
        <w:tc>
          <w:tcPr>
            <w:tcW w:w="559" w:type="dxa"/>
            <w:gridSpan w:val="2"/>
          </w:tcPr>
          <w:p>
            <w:pPr>
              <w:widowControl/>
              <w:jc w:val="right"/>
              <w:outlineLvl w:val="1"/>
              <w:rPr>
                <w:rFonts w:ascii="仿宋_GB2312" w:hAnsi="宋体" w:eastAsia="仿宋_GB2312"/>
                <w:kern w:val="0"/>
                <w:sz w:val="32"/>
                <w:szCs w:val="32"/>
              </w:rPr>
            </w:pPr>
          </w:p>
        </w:tc>
        <w:tc>
          <w:tcPr>
            <w:tcW w:w="529" w:type="dxa"/>
          </w:tcPr>
          <w:p>
            <w:pPr>
              <w:widowControl/>
              <w:jc w:val="right"/>
              <w:outlineLvl w:val="1"/>
              <w:rPr>
                <w:rFonts w:ascii="仿宋_GB2312" w:hAnsi="宋体" w:eastAsia="仿宋_GB2312"/>
                <w:kern w:val="0"/>
                <w:szCs w:val="21"/>
              </w:rPr>
            </w:pPr>
            <w:r>
              <w:rPr>
                <w:rFonts w:hint="eastAsia" w:ascii="仿宋_GB2312" w:hAnsi="宋体" w:eastAsia="仿宋_GB2312"/>
                <w:kern w:val="0"/>
                <w:szCs w:val="21"/>
              </w:rPr>
              <w:t>45</w:t>
            </w:r>
          </w:p>
        </w:tc>
        <w:tc>
          <w:tcPr>
            <w:tcW w:w="637" w:type="dxa"/>
          </w:tcPr>
          <w:p>
            <w:pPr>
              <w:widowControl/>
              <w:jc w:val="right"/>
              <w:outlineLvl w:val="1"/>
              <w:rPr>
                <w:rFonts w:ascii="仿宋_GB2312" w:hAnsi="宋体" w:eastAsia="仿宋_GB2312"/>
                <w:kern w:val="0"/>
                <w:szCs w:val="21"/>
              </w:rPr>
            </w:pPr>
          </w:p>
        </w:tc>
        <w:tc>
          <w:tcPr>
            <w:tcW w:w="63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2.34</w:t>
            </w:r>
          </w:p>
        </w:tc>
        <w:tc>
          <w:tcPr>
            <w:tcW w:w="1417"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2.15</w:t>
            </w:r>
          </w:p>
        </w:tc>
        <w:tc>
          <w:tcPr>
            <w:tcW w:w="1418"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2.15</w:t>
            </w:r>
          </w:p>
        </w:tc>
        <w:tc>
          <w:tcPr>
            <w:tcW w:w="1712"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0.19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编制部门（单位）：昌吉州工商联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仿宋_GB2312" w:hAnsi="仿宋_GB2312" w:eastAsia="仿宋_GB2312" w:cs="仿宋_GB2312"/>
          <w:kern w:val="0"/>
          <w:sz w:val="32"/>
          <w:szCs w:val="32"/>
        </w:rPr>
        <w:t>昌吉</w:t>
      </w:r>
      <w:r>
        <w:rPr>
          <w:rFonts w:hint="eastAsia" w:ascii="黑体" w:hAnsi="黑体" w:eastAsia="黑体"/>
          <w:kern w:val="0"/>
          <w:sz w:val="32"/>
          <w:szCs w:val="32"/>
        </w:rPr>
        <w:t>州工商联预算情况说明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w:t>
      </w:r>
      <w:r>
        <w:rPr>
          <w:rFonts w:hint="eastAsia" w:ascii="黑体" w:hAnsi="黑体" w:eastAsia="黑体"/>
          <w:kern w:val="0"/>
          <w:sz w:val="32"/>
          <w:szCs w:val="32"/>
        </w:rPr>
        <w:t>工商联</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_GB2312" w:eastAsia="仿宋_GB2312" w:cs="仿宋_GB2312"/>
          <w:kern w:val="0"/>
          <w:sz w:val="32"/>
          <w:szCs w:val="32"/>
        </w:rPr>
        <w:t>昌吉州</w:t>
      </w:r>
      <w:r>
        <w:rPr>
          <w:rFonts w:hint="eastAsia" w:ascii="黑体" w:hAnsi="黑体" w:eastAsia="黑体"/>
          <w:kern w:val="0"/>
          <w:sz w:val="32"/>
          <w:szCs w:val="32"/>
        </w:rPr>
        <w:t>工商联</w:t>
      </w:r>
      <w:r>
        <w:rPr>
          <w:rFonts w:hint="eastAsia" w:ascii="仿宋_GB2312" w:hAnsi="宋体" w:eastAsia="仿宋_GB2312" w:cs="宋体"/>
          <w:kern w:val="0"/>
          <w:sz w:val="32"/>
          <w:szCs w:val="32"/>
        </w:rPr>
        <w:t>2022年所有收入和支出均纳入部门（单位）预算管理。收支总预算235.11万元。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收入预算包括：一般公共预算235.11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 189.71  万元、社会保障和就业支出 17.21万元、卫生健康支出13.22万元、住房保障支出14.98万元。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w:t>
      </w:r>
      <w:r>
        <w:rPr>
          <w:rFonts w:hint="eastAsia" w:ascii="黑体" w:hAnsi="黑体" w:eastAsia="黑体"/>
          <w:kern w:val="0"/>
          <w:sz w:val="32"/>
          <w:szCs w:val="32"/>
        </w:rPr>
        <w:t>工商联</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仿宋"/>
          <w:kern w:val="0"/>
          <w:sz w:val="32"/>
          <w:szCs w:val="32"/>
        </w:rPr>
        <w:t>昌吉州工商联</w:t>
      </w:r>
      <w:r>
        <w:rPr>
          <w:rFonts w:hint="eastAsia" w:ascii="仿宋_GB2312" w:hAnsi="宋体" w:eastAsia="仿宋_GB2312" w:cs="宋体"/>
          <w:kern w:val="0"/>
          <w:sz w:val="32"/>
          <w:szCs w:val="32"/>
        </w:rPr>
        <w:t>收入预算235.11万元，其中：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一般公共预算235.11万元，占100%，比上年预算增加1.19万元，增长0.51%，主要原因是工资上调公积金、社保等相关费用增加；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占0%，比上年预算增加0万元，增长0%，主要原因是我单位无政府性基金预算。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w:t>
      </w:r>
      <w:r>
        <w:rPr>
          <w:rFonts w:hint="eastAsia" w:ascii="黑体" w:hAnsi="黑体" w:eastAsia="黑体"/>
          <w:kern w:val="0"/>
          <w:sz w:val="32"/>
          <w:szCs w:val="32"/>
        </w:rPr>
        <w:t>工商联</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仿宋"/>
          <w:kern w:val="0"/>
          <w:sz w:val="32"/>
          <w:szCs w:val="32"/>
        </w:rPr>
        <w:t>昌吉州工商联</w:t>
      </w:r>
      <w:r>
        <w:rPr>
          <w:rFonts w:hint="eastAsia" w:ascii="仿宋_GB2312" w:hAnsi="宋体" w:eastAsia="仿宋_GB2312" w:cs="宋体"/>
          <w:kern w:val="0"/>
          <w:sz w:val="32"/>
          <w:szCs w:val="32"/>
        </w:rPr>
        <w:t>2022年支出预算235.11万元，其中：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基本支出193.11万元，占82.14%，比上年预算增加4.19万元，增长2.22%，主要原因是工资上调公积金、社保等相关费用增加；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项目支出42万元，占17.86%，比上年预算减少3万元，下降6.67%，主要原因是财政预算安排减少3万元。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w:t>
      </w:r>
      <w:r>
        <w:rPr>
          <w:rFonts w:hint="eastAsia" w:ascii="黑体" w:hAnsi="黑体" w:eastAsia="黑体"/>
          <w:kern w:val="0"/>
          <w:sz w:val="32"/>
          <w:szCs w:val="32"/>
        </w:rPr>
        <w:t>工商联</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2022年财政拨款收支总预算235.11万元。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收入预算包括：</w:t>
      </w:r>
      <w:r>
        <w:rPr>
          <w:rFonts w:hint="eastAsia" w:ascii="仿宋_GB2312" w:hAnsi="宋体" w:eastAsia="仿宋_GB2312" w:cs="宋体"/>
          <w:spacing w:val="-6"/>
          <w:kern w:val="0"/>
          <w:sz w:val="32"/>
          <w:szCs w:val="32"/>
        </w:rPr>
        <w:t>一般公共预算拨款235.11万元。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一般公共服务支出 189.71  万元、社会保障和就业支出 17.21万元、卫生健康支出13.22万元、住房保障支出14.98万元。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主要用于工商联人员经费及正常业务开支。</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昌吉州工商联20</w:t>
      </w:r>
      <w:r>
        <w:rPr>
          <w:rFonts w:hint="eastAsia" w:ascii="楷体_GB2312" w:hAnsi="楷体_GB2312" w:eastAsia="楷体_GB2312" w:cs="楷体_GB2312"/>
          <w:b/>
          <w:bCs/>
          <w:spacing w:val="-6"/>
          <w:kern w:val="0"/>
          <w:sz w:val="32"/>
          <w:szCs w:val="32"/>
        </w:rPr>
        <w:t>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w:t>
      </w:r>
      <w:r>
        <w:rPr>
          <w:rFonts w:hint="eastAsia" w:ascii="仿宋_GB2312" w:hAnsi="宋体" w:eastAsia="仿宋_GB2312" w:cs="宋体"/>
          <w:spacing w:val="-6"/>
          <w:kern w:val="0"/>
          <w:sz w:val="32"/>
          <w:szCs w:val="32"/>
        </w:rPr>
        <w:t>工商联</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rPr>
        <w:t>235.11</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193.11</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 xml:space="preserve">比上年预算增加4.19万元，增长2.22%，主要原因是工资上调公积金、社保等相关费用增加；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42</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比上年预算减少3万元，下降6.67%，主要原因是财政预算安排减少3万元</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left="638" w:leftChars="304"/>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1、一般公共服务189.71万元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80.69</w:t>
      </w:r>
      <w:r>
        <w:rPr>
          <w:rFonts w:hint="eastAsia" w:ascii="仿宋_GB2312" w:hAnsi="仿宋_GB2312" w:eastAsia="仿宋_GB2312" w:cs="仿宋_GB2312"/>
          <w:kern w:val="0"/>
          <w:sz w:val="32"/>
          <w:szCs w:val="32"/>
        </w:rPr>
        <w:t>%。</w:t>
      </w:r>
    </w:p>
    <w:p>
      <w:pPr>
        <w:spacing w:line="560" w:lineRule="exact"/>
        <w:ind w:left="638" w:leftChars="304"/>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2、社会保障和就业支出17.21</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 xml:space="preserve"> 7.32</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3、卫生健康支出13.22万元。占5.62%</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4、住房保障支出14.98万元. 占6.37%</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320" w:firstLineChars="1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1、一般公共服务支出(类) 民主党派及工商联事务（款）行政运行（项）：2022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115.54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ascii="仿宋_GB2312" w:hAnsi="宋体" w:eastAsia="仿宋_GB2312" w:cs="宋体"/>
          <w:kern w:val="0"/>
          <w:sz w:val="32"/>
          <w:szCs w:val="32"/>
        </w:rPr>
        <w:t>预算数</w:t>
      </w:r>
      <w:r>
        <w:rPr>
          <w:rFonts w:hint="eastAsia" w:ascii="仿宋_GB2312" w:hAnsi="仿宋_GB2312" w:eastAsia="仿宋_GB2312" w:cs="仿宋_GB2312"/>
          <w:kern w:val="0"/>
          <w:sz w:val="32"/>
          <w:szCs w:val="32"/>
        </w:rPr>
        <w:t>减少</w:t>
      </w:r>
      <w:r>
        <w:rPr>
          <w:rFonts w:hint="eastAsia" w:ascii="仿宋_GB2312" w:hAnsi="宋体" w:eastAsia="仿宋_GB2312" w:cs="宋体"/>
          <w:kern w:val="0"/>
          <w:sz w:val="32"/>
          <w:szCs w:val="32"/>
        </w:rPr>
        <w:t>6.16万元，</w:t>
      </w:r>
      <w:r>
        <w:rPr>
          <w:rFonts w:hint="eastAsia" w:ascii="仿宋_GB2312" w:hAnsi="仿宋_GB2312" w:eastAsia="仿宋_GB2312" w:cs="仿宋_GB2312"/>
          <w:kern w:val="0"/>
          <w:sz w:val="32"/>
          <w:szCs w:val="32"/>
        </w:rPr>
        <w:t>下降</w:t>
      </w:r>
      <w:r>
        <w:rPr>
          <w:rFonts w:hint="eastAsia" w:ascii="仿宋_GB2312" w:hAnsi="宋体" w:eastAsia="仿宋_GB2312" w:cs="宋体"/>
          <w:kern w:val="0"/>
          <w:sz w:val="32"/>
          <w:szCs w:val="32"/>
        </w:rPr>
        <w:t>5.06%，主要原因是：上年</w:t>
      </w:r>
      <w:r>
        <w:rPr>
          <w:rFonts w:ascii="仿宋_GB2312" w:hAnsi="仿宋_GB2312" w:eastAsia="仿宋_GB2312" w:cs="仿宋_GB2312"/>
          <w:sz w:val="32"/>
          <w:szCs w:val="32"/>
        </w:rPr>
        <w:t>行政运行</w:t>
      </w:r>
      <w:r>
        <w:rPr>
          <w:rFonts w:hint="eastAsia" w:ascii="仿宋_GB2312" w:hAnsi="宋体" w:eastAsia="仿宋_GB2312" w:cs="宋体"/>
          <w:kern w:val="0"/>
          <w:sz w:val="32"/>
          <w:szCs w:val="32"/>
        </w:rPr>
        <w:t>中包括</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，今年在住房保障支出住房改革支出</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分项预算。</w:t>
      </w:r>
    </w:p>
    <w:p>
      <w:pPr>
        <w:widowControl/>
        <w:spacing w:line="58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2、一般公共服务支出(类) 民主党派及工商联事务（款）一般行政管理事务(项)：2021年预算数42万元，比上年预算</w:t>
      </w:r>
      <w:r>
        <w:rPr>
          <w:rFonts w:hint="eastAsia" w:ascii="仿宋_GB2312" w:hAnsi="仿宋_GB2312" w:eastAsia="仿宋_GB2312" w:cs="仿宋_GB2312"/>
          <w:kern w:val="0"/>
          <w:sz w:val="32"/>
          <w:szCs w:val="32"/>
        </w:rPr>
        <w:t>减少</w:t>
      </w:r>
      <w:r>
        <w:rPr>
          <w:rFonts w:hint="eastAsia" w:ascii="仿宋_GB2312" w:hAnsi="宋体" w:eastAsia="仿宋_GB2312" w:cs="宋体"/>
          <w:kern w:val="0"/>
          <w:sz w:val="32"/>
          <w:szCs w:val="32"/>
        </w:rPr>
        <w:t>3万元，</w:t>
      </w:r>
      <w:r>
        <w:rPr>
          <w:rFonts w:hint="eastAsia" w:ascii="仿宋_GB2312" w:hAnsi="仿宋_GB2312" w:eastAsia="仿宋_GB2312" w:cs="仿宋_GB2312"/>
          <w:kern w:val="0"/>
          <w:sz w:val="32"/>
          <w:szCs w:val="32"/>
        </w:rPr>
        <w:t>下降</w:t>
      </w:r>
      <w:r>
        <w:rPr>
          <w:rFonts w:hint="eastAsia" w:ascii="仿宋_GB2312" w:hAnsi="宋体" w:eastAsia="仿宋_GB2312" w:cs="宋体"/>
          <w:kern w:val="0"/>
          <w:sz w:val="32"/>
          <w:szCs w:val="32"/>
        </w:rPr>
        <w:t>6.67%，主要原因是财政预算安排减少3万元。</w:t>
      </w:r>
    </w:p>
    <w:p>
      <w:pPr>
        <w:spacing w:line="560" w:lineRule="exact"/>
        <w:ind w:firstLine="320" w:firstLineChars="1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3、一般公共服务支出(类) 民主党派及工商联事务（款）事业运行(项);2022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32.16万元，比上年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w:t>
      </w:r>
      <w:r>
        <w:rPr>
          <w:rFonts w:hint="eastAsia" w:ascii="仿宋_GB2312" w:hAnsi="仿宋_GB2312" w:eastAsia="仿宋_GB2312" w:cs="仿宋_GB2312"/>
          <w:kern w:val="0"/>
          <w:sz w:val="32"/>
          <w:szCs w:val="32"/>
        </w:rPr>
        <w:t>减少</w:t>
      </w:r>
      <w:r>
        <w:rPr>
          <w:rFonts w:hint="eastAsia" w:ascii="仿宋_GB2312" w:hAnsi="宋体" w:eastAsia="仿宋_GB2312" w:cs="宋体"/>
          <w:kern w:val="0"/>
          <w:sz w:val="32"/>
          <w:szCs w:val="32"/>
        </w:rPr>
        <w:t>6.66万元,</w:t>
      </w:r>
      <w:r>
        <w:rPr>
          <w:rFonts w:hint="eastAsia" w:ascii="仿宋_GB2312" w:hAnsi="仿宋_GB2312" w:eastAsia="仿宋_GB2312" w:cs="仿宋_GB2312"/>
          <w:kern w:val="0"/>
          <w:sz w:val="32"/>
          <w:szCs w:val="32"/>
        </w:rPr>
        <w:t xml:space="preserve"> 下降</w:t>
      </w:r>
      <w:r>
        <w:rPr>
          <w:rFonts w:hint="eastAsia" w:ascii="仿宋_GB2312" w:hAnsi="宋体" w:eastAsia="仿宋_GB2312" w:cs="宋体"/>
          <w:kern w:val="0"/>
          <w:sz w:val="32"/>
          <w:szCs w:val="32"/>
        </w:rPr>
        <w:t>18.02%，主要原因是：上年事业运行中包括</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，今年在住房保障支出住房改革支出</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分项预算。</w:t>
      </w:r>
    </w:p>
    <w:p>
      <w:pPr>
        <w:spacing w:line="560" w:lineRule="exact"/>
        <w:ind w:firstLine="320" w:firstLineChars="100"/>
        <w:rPr>
          <w:rFonts w:ascii="仿宋_GB2312" w:hAnsi="宋体" w:eastAsia="仿宋_GB2312" w:cs="宋体"/>
          <w:kern w:val="0"/>
          <w:sz w:val="32"/>
          <w:szCs w:val="32"/>
        </w:rPr>
      </w:pPr>
      <w:r>
        <w:rPr>
          <w:rFonts w:hint="eastAsia" w:ascii="仿宋_GB2312" w:hAnsi="宋体" w:eastAsia="仿宋_GB2312" w:cs="宋体"/>
          <w:kern w:val="0"/>
          <w:sz w:val="32"/>
          <w:szCs w:val="32"/>
        </w:rPr>
        <w:t>4、社会保障和就业支出(类) 行政事业单位养支出（款）行政单位离退休费（项）:2022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0.4万元，比上年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数增加0.4万元，增长0.4%，主要原因是：今年将机关事业单位基本养老保险缴费支出和行政单位离退休费分项预算。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5、社会保障和就业支出(类) 行政事业单位养支出（款）机关事业单位基本养老保险缴费支出（项）:2022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16.81万元，比上年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 xml:space="preserve">数增加1.78万元，增长11.84%，主要原因是：工资上调导致社保费用增加；   </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w:t>
      </w:r>
      <w:r>
        <w:rPr>
          <w:rFonts w:hint="eastAsia" w:ascii="仿宋_GB2312" w:eastAsia="仿宋_GB2312"/>
          <w:b/>
          <w:color w:val="000000"/>
          <w:sz w:val="18"/>
          <w:szCs w:val="18"/>
        </w:rPr>
        <w:t xml:space="preserve"> </w:t>
      </w:r>
      <w:r>
        <w:rPr>
          <w:rFonts w:hint="eastAsia" w:ascii="仿宋_GB2312" w:hAnsi="宋体" w:eastAsia="仿宋_GB2312" w:cs="宋体"/>
          <w:kern w:val="0"/>
          <w:sz w:val="32"/>
          <w:szCs w:val="32"/>
        </w:rPr>
        <w:t>行政事业单位医疗（款）行政单位医疗(项);2022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6.96万元，比上年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w:t>
      </w:r>
      <w:r>
        <w:rPr>
          <w:rFonts w:hint="eastAsia" w:ascii="仿宋_GB2312" w:hAnsi="仿宋_GB2312" w:eastAsia="仿宋_GB2312" w:cs="仿宋_GB2312"/>
          <w:kern w:val="0"/>
          <w:sz w:val="32"/>
          <w:szCs w:val="32"/>
        </w:rPr>
        <w:t>减少</w:t>
      </w:r>
      <w:r>
        <w:rPr>
          <w:rFonts w:hint="eastAsia" w:ascii="仿宋_GB2312" w:hAnsi="宋体" w:eastAsia="仿宋_GB2312" w:cs="宋体"/>
          <w:kern w:val="0"/>
          <w:sz w:val="32"/>
          <w:szCs w:val="32"/>
        </w:rPr>
        <w:t>4.49万元，</w:t>
      </w:r>
      <w:r>
        <w:rPr>
          <w:rFonts w:hint="eastAsia" w:ascii="仿宋_GB2312" w:hAnsi="仿宋_GB2312" w:eastAsia="仿宋_GB2312" w:cs="仿宋_GB2312"/>
          <w:kern w:val="0"/>
          <w:sz w:val="32"/>
          <w:szCs w:val="32"/>
        </w:rPr>
        <w:t>下降</w:t>
      </w:r>
      <w:r>
        <w:rPr>
          <w:rFonts w:hint="eastAsia" w:ascii="仿宋_GB2312" w:hAnsi="宋体" w:eastAsia="仿宋_GB2312" w:cs="宋体"/>
          <w:kern w:val="0"/>
          <w:sz w:val="32"/>
          <w:szCs w:val="32"/>
        </w:rPr>
        <w:t>39.21%，主要原因是：上年包括在机关事业单位基本养老保险缴费支出科目中，今年分项预算。</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7、卫生健康支出(类)</w:t>
      </w:r>
      <w:r>
        <w:rPr>
          <w:rFonts w:hint="eastAsia" w:ascii="仿宋_GB2312" w:eastAsia="仿宋_GB2312"/>
          <w:b/>
          <w:color w:val="000000"/>
          <w:sz w:val="18"/>
          <w:szCs w:val="18"/>
        </w:rPr>
        <w:t xml:space="preserve"> </w:t>
      </w:r>
      <w:r>
        <w:rPr>
          <w:rFonts w:hint="eastAsia" w:ascii="仿宋_GB2312" w:hAnsi="宋体" w:eastAsia="仿宋_GB2312" w:cs="宋体"/>
          <w:kern w:val="0"/>
          <w:sz w:val="32"/>
          <w:szCs w:val="32"/>
        </w:rPr>
        <w:t>行政事业单位医疗（款）事业单位医疗(项);2022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3.02万元，比上年</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数增加3.02万元，增长3.02%，主要原因是：上年包括在机关事业单位基本养老保险缴费支出科目中，今年分项预算。</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8、卫生健康支出(类) 行政事业单位医疗（款）公务员医疗补助(项);2022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3.15万元，比上年预算数</w:t>
      </w:r>
      <w:r>
        <w:rPr>
          <w:rFonts w:hint="eastAsia" w:ascii="仿宋_GB2312" w:hAnsi="仿宋_GB2312" w:eastAsia="仿宋_GB2312" w:cs="仿宋_GB2312"/>
          <w:kern w:val="0"/>
          <w:sz w:val="32"/>
          <w:szCs w:val="32"/>
        </w:rPr>
        <w:t>减少</w:t>
      </w:r>
      <w:r>
        <w:rPr>
          <w:rFonts w:hint="eastAsia" w:ascii="仿宋_GB2312" w:hAnsi="宋体" w:eastAsia="仿宋_GB2312" w:cs="宋体"/>
          <w:kern w:val="0"/>
          <w:sz w:val="32"/>
          <w:szCs w:val="32"/>
        </w:rPr>
        <w:t>0.51万元，</w:t>
      </w:r>
      <w:r>
        <w:rPr>
          <w:rFonts w:hint="eastAsia" w:ascii="仿宋_GB2312" w:hAnsi="仿宋_GB2312" w:eastAsia="仿宋_GB2312" w:cs="仿宋_GB2312"/>
          <w:kern w:val="0"/>
          <w:sz w:val="32"/>
          <w:szCs w:val="32"/>
        </w:rPr>
        <w:t>下降</w:t>
      </w:r>
      <w:r>
        <w:rPr>
          <w:rFonts w:hint="eastAsia" w:ascii="仿宋_GB2312" w:hAnsi="宋体" w:eastAsia="仿宋_GB2312" w:cs="宋体"/>
          <w:kern w:val="0"/>
          <w:sz w:val="32"/>
          <w:szCs w:val="32"/>
        </w:rPr>
        <w:t>13.93%，主要原因是：上年一部分包括在机关事业单位基本养老保险缴费支出科目中，今年分项预算。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9、卫生健康支出(类) 行政事业单位医疗（款）其他行政事业单位医疗支出(项);2022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0.09万元，比上年预算数增加0.09万元，增长0.09%，主要原因是：上年包括在机关事业单位基本养老保险缴费支出科目中，今年分项预算。</w:t>
      </w:r>
    </w:p>
    <w:p>
      <w:pPr>
        <w:spacing w:line="560" w:lineRule="exact"/>
        <w:ind w:firstLine="320" w:firstLineChars="1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10、住房保障支出（类）住房改革支出（款）</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14.98</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14.98</w:t>
      </w:r>
      <w:r>
        <w:rPr>
          <w:rFonts w:hint="eastAsia" w:ascii="仿宋_GB2312" w:hAnsi="仿宋_GB2312" w:eastAsia="仿宋_GB2312" w:cs="仿宋_GB2312"/>
          <w:kern w:val="0"/>
          <w:sz w:val="32"/>
          <w:szCs w:val="32"/>
        </w:rPr>
        <w:t>万元，增长14.98%，主要原因是：</w:t>
      </w:r>
      <w:r>
        <w:rPr>
          <w:rFonts w:hint="eastAsia" w:ascii="仿宋_GB2312" w:hAnsi="宋体" w:eastAsia="仿宋_GB2312" w:cs="宋体"/>
          <w:kern w:val="0"/>
          <w:sz w:val="32"/>
          <w:szCs w:val="32"/>
        </w:rPr>
        <w:t>上年这项费用在</w:t>
      </w:r>
      <w:r>
        <w:rPr>
          <w:rFonts w:ascii="仿宋_GB2312" w:hAnsi="仿宋_GB2312" w:eastAsia="仿宋_GB2312" w:cs="仿宋_GB2312"/>
          <w:sz w:val="32"/>
          <w:szCs w:val="32"/>
        </w:rPr>
        <w:t>行政运行</w:t>
      </w:r>
      <w:r>
        <w:rPr>
          <w:rFonts w:hint="eastAsia" w:ascii="仿宋_GB2312" w:hAnsi="宋体" w:eastAsia="仿宋_GB2312" w:cs="宋体"/>
          <w:kern w:val="0"/>
          <w:sz w:val="32"/>
          <w:szCs w:val="32"/>
        </w:rPr>
        <w:t>中预算，今年分项预算。</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关于昌吉州工商联2022年一般公共预算基本支出情况说明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spacing w:val="-6"/>
          <w:kern w:val="0"/>
          <w:sz w:val="32"/>
          <w:szCs w:val="32"/>
        </w:rPr>
        <w:t>工商联2022年一般公共预算基本支出</w:t>
      </w:r>
      <w:r>
        <w:rPr>
          <w:rFonts w:hint="eastAsia" w:ascii="仿宋_GB2312" w:hAnsi="宋体" w:eastAsia="仿宋_GB2312" w:cs="宋体"/>
          <w:kern w:val="0"/>
          <w:sz w:val="32"/>
          <w:szCs w:val="32"/>
        </w:rPr>
        <w:t>193.11</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176.45万元，主要包括：基本工资、津贴补贴、奖金、绩效工资、机关事业单位基本养老保险缴费、职工基本医疗保险缴费、公务员医疗补助缴费、其他社会保障缴费、住房公积金、医疗费、其他工资福利支出、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公用经费16.66万元，主要包括：办公费、印刷费、水费、电费、邮电费、取暖费、物业管理费、公务接待费、劳务费、工会经费、福利费、公务用车运行维护费、其他商品和服务支出等。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昌吉州工商联</w:t>
      </w:r>
      <w:r>
        <w:rPr>
          <w:rFonts w:hint="eastAsia" w:ascii="楷体_GB2312" w:hAnsi="楷体_GB2312" w:eastAsia="楷体_GB2312" w:cs="楷体_GB2312"/>
          <w:b/>
          <w:bCs/>
          <w:spacing w:val="-6"/>
          <w:kern w:val="0"/>
          <w:sz w:val="32"/>
          <w:szCs w:val="32"/>
        </w:rPr>
        <w:t>2022年一般公共预算项目支出情况说明</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：工商联专项业务费</w:t>
      </w:r>
    </w:p>
    <w:p>
      <w:pPr>
        <w:widowControl/>
        <w:spacing w:line="640" w:lineRule="exact"/>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根据三定方案及2022年工作计划。</w:t>
      </w:r>
    </w:p>
    <w:p>
      <w:pPr>
        <w:widowControl/>
        <w:spacing w:line="580" w:lineRule="exact"/>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42万元</w:t>
      </w:r>
    </w:p>
    <w:p>
      <w:pPr>
        <w:widowControl/>
        <w:spacing w:line="580" w:lineRule="exact"/>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：昌吉州工商联</w:t>
      </w:r>
    </w:p>
    <w:p>
      <w:pPr>
        <w:widowControl/>
        <w:spacing w:line="58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加强和改进非公有制经济人士思想政治工作、引导会员按照科学发展观的要求，转变经济发展方式，加强能源资源节约，重视生态环境保护，建立和谐劳动关系。企业党员培训率提高到90%以上。</w:t>
      </w:r>
    </w:p>
    <w:p>
      <w:pPr>
        <w:widowControl/>
        <w:spacing w:line="580" w:lineRule="exact"/>
        <w:ind w:left="630" w:leftChars="3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2022年1月-12月</w:t>
      </w:r>
    </w:p>
    <w:p>
      <w:pPr>
        <w:widowControl/>
        <w:spacing w:line="580" w:lineRule="exact"/>
        <w:ind w:firstLine="64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八、关于昌吉州工商联2022年一般公共预算“三公”经费预算情况说明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spacing w:val="-6"/>
          <w:kern w:val="0"/>
          <w:sz w:val="32"/>
          <w:szCs w:val="32"/>
        </w:rPr>
        <w:t>工商联</w:t>
      </w:r>
      <w:r>
        <w:rPr>
          <w:rFonts w:hint="eastAsia" w:ascii="仿宋_GB2312" w:hAnsi="宋体" w:eastAsia="仿宋_GB2312" w:cs="宋体"/>
          <w:kern w:val="0"/>
          <w:sz w:val="32"/>
          <w:szCs w:val="32"/>
        </w:rPr>
        <w:t>2022年一般公共预算“三公”经费数为2.34万元，其中：因公出国（境）费0万元，公务用车购置0万元，公务用车运行费2.15万元，公务接待费0.19万元。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0万元，增长0%，其中：因公出国（境）费增加0万元，增长0%，主要原因是根据中央八项规定严格控制三公经费；公务用车购置费增加0万元，增长0%，主要原因是根据中央八项规定严格控制三公经费；公务用车运行费增加0万元，增长0%，主要原因是根据中央八项规定严格控制三公经费；公务接待费增加0万元，增长0%，主要原因是根据中央八项规定严格控制三公经费。</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九、关于昌吉州工商联2022年政府性基金预算拨款情况说明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spacing w:val="-6"/>
          <w:kern w:val="0"/>
          <w:sz w:val="32"/>
          <w:szCs w:val="32"/>
        </w:rPr>
        <w:t>工商联</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w:t>
      </w:r>
      <w:r>
        <w:rPr>
          <w:rFonts w:hint="eastAsia" w:ascii="仿宋_GB2312" w:hAnsi="黑体" w:eastAsia="仿宋_GB2312"/>
          <w:sz w:val="32"/>
          <w:szCs w:val="32"/>
        </w:rPr>
        <w:t>工商联</w:t>
      </w:r>
      <w:r>
        <w:rPr>
          <w:rFonts w:hint="eastAsia" w:ascii="仿宋_GB2312" w:hAnsi="仿宋_GB2312" w:eastAsia="仿宋_GB2312" w:cs="仿宋_GB2312"/>
          <w:kern w:val="0"/>
          <w:sz w:val="32"/>
          <w:szCs w:val="32"/>
        </w:rPr>
        <w:t>机关运行经费财政拨款预算16.66万元，比上年预算减少0.3万元，下降1.77%。主要原因是</w:t>
      </w:r>
      <w:r>
        <w:rPr>
          <w:rFonts w:hint="eastAsia" w:ascii="仿宋_GB2312" w:hAnsi="宋体" w:eastAsia="仿宋_GB2312" w:cs="宋体"/>
          <w:kern w:val="0"/>
          <w:sz w:val="32"/>
          <w:szCs w:val="32"/>
        </w:rPr>
        <w:t>根据中央八项规定严格控制公用经费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w:t>
      </w:r>
      <w:r>
        <w:rPr>
          <w:rFonts w:hint="eastAsia" w:ascii="仿宋_GB2312" w:hAnsi="黑体" w:eastAsia="仿宋_GB2312"/>
          <w:sz w:val="32"/>
          <w:szCs w:val="32"/>
        </w:rPr>
        <w:t>工商联</w:t>
      </w:r>
      <w:r>
        <w:rPr>
          <w:rFonts w:hint="eastAsia" w:ascii="仿宋_GB2312" w:hAnsi="仿宋_GB2312" w:eastAsia="仿宋_GB2312" w:cs="仿宋_GB2312"/>
          <w:kern w:val="0"/>
          <w:sz w:val="32"/>
          <w:szCs w:val="32"/>
        </w:rPr>
        <w:t>政府采购预算15.98万元，其中：政府采购货物预算14.98万元，政府采购工程预算0万元，政府采购服务预算1万元。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2022年度本部门（单位）面向中小企业预留政府采购项目预算金额0万元，其中：面向小微企业预留政府采购项目预算金额0万元。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w:t>
      </w:r>
      <w:r>
        <w:rPr>
          <w:rFonts w:hint="eastAsia" w:ascii="仿宋_GB2312" w:hAnsi="黑体" w:eastAsia="仿宋_GB2312"/>
          <w:sz w:val="32"/>
          <w:szCs w:val="32"/>
        </w:rPr>
        <w:t>工商联</w:t>
      </w:r>
      <w:r>
        <w:rPr>
          <w:rFonts w:hint="eastAsia" w:ascii="仿宋_GB2312" w:hAnsi="仿宋_GB2312" w:eastAsia="仿宋_GB2312" w:cs="仿宋_GB2312"/>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辆，价值35.16万元；其中：一般公务用车1辆，价值 35.16万元；执法执勤用车0辆，价值0万元；其他车辆0辆，价值0万元。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3.办公家具价值4.55万元。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4.其他资产价值20.23万元。</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2022年，本年度预算绩效管理的财政拨款项目1个，涉及预算金额42万元。具体情况见下表（按项目分别填报）：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ind w:firstLine="1928" w:firstLineChars="6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绩效  目  标  表</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kern w:val="0"/>
                <w:sz w:val="22"/>
                <w:szCs w:val="22"/>
              </w:rPr>
              <w:t>昌吉州工商联</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kern w:val="0"/>
                <w:sz w:val="22"/>
                <w:szCs w:val="22"/>
              </w:rPr>
              <w:t>昌吉州工商联</w:t>
            </w:r>
            <w:r>
              <w:rPr>
                <w:rFonts w:hint="eastAsia" w:ascii="宋体" w:hAnsi="宋体" w:cs="宋体"/>
                <w:kern w:val="0"/>
                <w:sz w:val="18"/>
                <w:szCs w:val="18"/>
              </w:rPr>
              <w:t>专项业务经费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42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kern w:val="0"/>
                <w:sz w:val="22"/>
                <w:szCs w:val="22"/>
              </w:rPr>
              <w:t>目标1：本部门是党和政府联系非公制经济人士的桥梁和纽带，是政府管理非公有制经济的助手:目标2：宣传党和国家的方针政策，开展非公有制经济人士思想政治工作。目标3：是做好非公有制经济人士的日常联系、考察、培训工作。目标4：举办各类党建工作培训班5次。目标5：提高社会稳定性。</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23"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22"/>
                <w:szCs w:val="22"/>
              </w:rPr>
              <w:t>保证单位正常业务运行</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&gt;=17人</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22"/>
                <w:szCs w:val="22"/>
              </w:rPr>
              <w:t>举办各类党建工作培训班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&gt;=5次</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22"/>
                <w:szCs w:val="22"/>
              </w:rPr>
              <w:t>参加培训人数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&gt;=80人次</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培训质量合格率100%</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w:t>
            </w:r>
            <w:r>
              <w:rPr>
                <w:rStyle w:val="16"/>
                <w:rFonts w:hint="eastAsia"/>
              </w:rPr>
              <w:t>90</w:t>
            </w:r>
            <w:r>
              <w:rPr>
                <w:rStyle w:val="16"/>
              </w:rPr>
              <w:t>%</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培训工作完成时限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22"/>
                <w:szCs w:val="22"/>
              </w:rPr>
            </w:pPr>
            <w:r>
              <w:rPr>
                <w:rFonts w:hint="eastAsia" w:ascii="宋体" w:hAnsi="宋体" w:cs="宋体"/>
                <w:kern w:val="0"/>
                <w:sz w:val="18"/>
                <w:szCs w:val="18"/>
              </w:rPr>
              <w:t>培训工作开展及时效率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调研考察工作成本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&lt;=</w:t>
            </w:r>
            <w:r>
              <w:rPr>
                <w:rFonts w:hint="eastAsia" w:ascii="宋体" w:hAnsi="宋体" w:cs="宋体"/>
                <w:color w:val="000000"/>
                <w:sz w:val="18"/>
                <w:szCs w:val="18"/>
              </w:rPr>
              <w:t>21万元</w:t>
            </w:r>
          </w:p>
        </w:tc>
      </w:tr>
      <w:tr>
        <w:tblPrEx>
          <w:tblLayout w:type="fixed"/>
          <w:tblCellMar>
            <w:top w:w="0" w:type="dxa"/>
            <w:left w:w="0" w:type="dxa"/>
            <w:bottom w:w="0" w:type="dxa"/>
            <w:right w:w="0" w:type="dxa"/>
          </w:tblCellMar>
        </w:tblPrEx>
        <w:trPr>
          <w:trHeight w:val="23"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22"/>
                <w:szCs w:val="22"/>
              </w:rPr>
            </w:pPr>
            <w:r>
              <w:rPr>
                <w:rFonts w:hint="eastAsia" w:ascii="宋体" w:hAnsi="宋体" w:cs="宋体"/>
                <w:color w:val="000000"/>
                <w:kern w:val="0"/>
                <w:sz w:val="22"/>
                <w:szCs w:val="22"/>
              </w:rPr>
              <w:t>教育培训工作成本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&lt;=</w:t>
            </w:r>
            <w:r>
              <w:rPr>
                <w:rFonts w:hint="eastAsia" w:ascii="宋体" w:hAnsi="宋体" w:cs="宋体"/>
                <w:color w:val="000000"/>
                <w:sz w:val="18"/>
                <w:szCs w:val="18"/>
              </w:rPr>
              <w:t>21万元</w:t>
            </w:r>
          </w:p>
        </w:tc>
      </w:tr>
      <w:tr>
        <w:tblPrEx>
          <w:tblLayout w:type="fixed"/>
          <w:tblCellMar>
            <w:top w:w="0" w:type="dxa"/>
            <w:left w:w="0" w:type="dxa"/>
            <w:bottom w:w="0" w:type="dxa"/>
            <w:right w:w="0" w:type="dxa"/>
          </w:tblCellMar>
        </w:tblPrEx>
        <w:trPr>
          <w:trHeight w:val="23"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提高社会稳定性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提升</w:t>
            </w:r>
          </w:p>
        </w:tc>
      </w:tr>
      <w:tr>
        <w:tblPrEx>
          <w:tblLayout w:type="fixed"/>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23"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22"/>
                <w:szCs w:val="22"/>
              </w:rPr>
              <w:t>培训有力地促进企业经营管理水平的改进和提高，企业经营管理者的素质得到了明显的提高和改善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23"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22"/>
                <w:szCs w:val="22"/>
              </w:rPr>
              <w:t>非公制经济人士满意度（%）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达到95%</w:t>
            </w:r>
          </w:p>
        </w:tc>
      </w:tr>
    </w:tbl>
    <w:p>
      <w:pPr>
        <w:spacing w:line="60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hAnsi="宋体" w:eastAsia="仿宋_GB2312" w:cs="宋体"/>
          <w:kern w:val="0"/>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w:t>
      </w:r>
      <w:bookmarkStart w:id="0" w:name="_GoBack"/>
      <w:bookmarkEnd w:id="0"/>
      <w:r>
        <w:rPr>
          <w:rFonts w:hint="eastAsia" w:ascii="仿宋_GB2312" w:eastAsia="仿宋_GB2312"/>
          <w:sz w:val="32"/>
          <w:szCs w:val="32"/>
        </w:rPr>
        <w:t>的公用经费，包括</w:t>
      </w:r>
      <w:r>
        <w:rPr>
          <w:rFonts w:hint="eastAsia" w:ascii="仿宋_GB2312" w:hAnsi="宋体" w:eastAsia="仿宋_GB2312" w:cs="宋体"/>
          <w:kern w:val="0"/>
          <w:sz w:val="32"/>
          <w:szCs w:val="32"/>
        </w:rPr>
        <w:t>办公费、印刷费、水费、电费、邮电费、取暖费、物业管理费、公务接待费、劳务费、工会经费、福利费、公务用车运行维护费、其他商品和服务支出等。</w:t>
      </w:r>
    </w:p>
    <w:p>
      <w:pPr>
        <w:spacing w:line="560" w:lineRule="exact"/>
        <w:ind w:firstLine="640" w:firstLineChars="200"/>
        <w:rPr>
          <w:rFonts w:ascii="仿宋_GB2312" w:hAnsi="宋体" w:eastAsia="仿宋_GB2312" w:cs="宋体"/>
          <w:kern w:val="0"/>
          <w:sz w:val="32"/>
          <w:szCs w:val="32"/>
        </w:rPr>
      </w:pPr>
    </w:p>
    <w:p>
      <w:pPr>
        <w:spacing w:line="560" w:lineRule="exact"/>
        <w:ind w:firstLine="1920" w:firstLineChars="600"/>
        <w:rPr>
          <w:rFonts w:ascii="仿宋_GB2312" w:hAnsi="宋体" w:eastAsia="仿宋_GB2312" w:cs="宋体"/>
          <w:kern w:val="0"/>
          <w:sz w:val="32"/>
          <w:szCs w:val="32"/>
        </w:rPr>
      </w:pPr>
    </w:p>
    <w:p>
      <w:pPr>
        <w:spacing w:line="560" w:lineRule="exact"/>
        <w:ind w:firstLine="5120" w:firstLineChars="1600"/>
        <w:rPr>
          <w:rFonts w:ascii="仿宋_GB2312" w:hAnsi="宋体" w:eastAsia="仿宋_GB2312" w:cs="宋体"/>
          <w:kern w:val="0"/>
          <w:sz w:val="32"/>
          <w:szCs w:val="32"/>
        </w:rPr>
      </w:pPr>
      <w:r>
        <w:rPr>
          <w:rFonts w:hint="eastAsia" w:ascii="仿宋_GB2312" w:hAnsi="宋体" w:eastAsia="仿宋_GB2312" w:cs="宋体"/>
          <w:kern w:val="0"/>
          <w:sz w:val="32"/>
          <w:szCs w:val="32"/>
        </w:rPr>
        <w:t>昌吉州工商联</w:t>
      </w:r>
    </w:p>
    <w:p>
      <w:pPr>
        <w:spacing w:line="560" w:lineRule="exact"/>
        <w:ind w:firstLine="4960" w:firstLineChars="1550"/>
        <w:rPr>
          <w:rFonts w:ascii="仿宋_GB2312" w:hAnsi="宋体" w:eastAsia="仿宋_GB2312" w:cs="宋体"/>
          <w:kern w:val="0"/>
          <w:sz w:val="32"/>
          <w:szCs w:val="32"/>
        </w:rPr>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ËÎÌå">
    <w:altName w:val="Times New Roman"/>
    <w:panose1 w:val="00000000000000000000"/>
    <w:charset w:val="00"/>
    <w:family w:val="auto"/>
    <w:pitch w:val="default"/>
    <w:sig w:usb0="00000000" w:usb1="00000000" w:usb2="00000000"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8" o:spid="_x0000_s4099" o:spt="202" type="#_x0000_t202" style="position:absolute;left:0pt;margin-top:0pt;height:18.15pt;width:42.05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9" o:spid="_x0000_s4098" o:spt="202" type="#_x0000_t202" style="position:absolute;left:0pt;margin-top:0pt;height:18.15pt;width:42.05pt;mso-position-horizontal:outside;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10" o:spid="_x0000_s4097" o:spt="202" type="#_x0000_t202" style="position:absolute;left:0pt;margin-top:0pt;height:18.15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">
          <v:path arrowok="t"/>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71</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116B5"/>
    <w:rsid w:val="0001360B"/>
    <w:rsid w:val="00021B32"/>
    <w:rsid w:val="0006673C"/>
    <w:rsid w:val="000670DA"/>
    <w:rsid w:val="000B4B73"/>
    <w:rsid w:val="000E5BE5"/>
    <w:rsid w:val="000E78D8"/>
    <w:rsid w:val="000F7C71"/>
    <w:rsid w:val="00111D70"/>
    <w:rsid w:val="0012711F"/>
    <w:rsid w:val="001319A7"/>
    <w:rsid w:val="00171E28"/>
    <w:rsid w:val="001A2A72"/>
    <w:rsid w:val="001B188E"/>
    <w:rsid w:val="001E39E0"/>
    <w:rsid w:val="00200DA1"/>
    <w:rsid w:val="00201C7E"/>
    <w:rsid w:val="002304CE"/>
    <w:rsid w:val="00233CEC"/>
    <w:rsid w:val="00281D04"/>
    <w:rsid w:val="002A78F3"/>
    <w:rsid w:val="002B14CD"/>
    <w:rsid w:val="002E371F"/>
    <w:rsid w:val="002E5250"/>
    <w:rsid w:val="00311885"/>
    <w:rsid w:val="00312182"/>
    <w:rsid w:val="003201B1"/>
    <w:rsid w:val="00320DD9"/>
    <w:rsid w:val="00332C9D"/>
    <w:rsid w:val="0034311D"/>
    <w:rsid w:val="003473E9"/>
    <w:rsid w:val="00365CD8"/>
    <w:rsid w:val="00375161"/>
    <w:rsid w:val="003755D3"/>
    <w:rsid w:val="003923D8"/>
    <w:rsid w:val="003A4103"/>
    <w:rsid w:val="003C7AF2"/>
    <w:rsid w:val="003D37F4"/>
    <w:rsid w:val="003D6C2F"/>
    <w:rsid w:val="003D78B2"/>
    <w:rsid w:val="003D7F68"/>
    <w:rsid w:val="003F1F8F"/>
    <w:rsid w:val="003F457C"/>
    <w:rsid w:val="003F7F14"/>
    <w:rsid w:val="00405B4B"/>
    <w:rsid w:val="0040717E"/>
    <w:rsid w:val="004226B4"/>
    <w:rsid w:val="004265FD"/>
    <w:rsid w:val="00432BE1"/>
    <w:rsid w:val="004461E1"/>
    <w:rsid w:val="0047118F"/>
    <w:rsid w:val="00482B88"/>
    <w:rsid w:val="0049728B"/>
    <w:rsid w:val="004D14E1"/>
    <w:rsid w:val="004D477F"/>
    <w:rsid w:val="004D5E3A"/>
    <w:rsid w:val="004F05E5"/>
    <w:rsid w:val="00562385"/>
    <w:rsid w:val="005838DD"/>
    <w:rsid w:val="0059437A"/>
    <w:rsid w:val="00616316"/>
    <w:rsid w:val="0062451F"/>
    <w:rsid w:val="006253AF"/>
    <w:rsid w:val="00687621"/>
    <w:rsid w:val="00695317"/>
    <w:rsid w:val="006A1260"/>
    <w:rsid w:val="006A64F1"/>
    <w:rsid w:val="006A727A"/>
    <w:rsid w:val="006C0915"/>
    <w:rsid w:val="006C2333"/>
    <w:rsid w:val="006D258A"/>
    <w:rsid w:val="006E650A"/>
    <w:rsid w:val="0070651D"/>
    <w:rsid w:val="00720258"/>
    <w:rsid w:val="00734DAA"/>
    <w:rsid w:val="00736925"/>
    <w:rsid w:val="007425B5"/>
    <w:rsid w:val="007A53BC"/>
    <w:rsid w:val="007A575D"/>
    <w:rsid w:val="007C1649"/>
    <w:rsid w:val="007E5C26"/>
    <w:rsid w:val="007F3A84"/>
    <w:rsid w:val="008104FA"/>
    <w:rsid w:val="00814967"/>
    <w:rsid w:val="00817DE1"/>
    <w:rsid w:val="0083066A"/>
    <w:rsid w:val="008576C8"/>
    <w:rsid w:val="008623C1"/>
    <w:rsid w:val="008E47E9"/>
    <w:rsid w:val="008E58A7"/>
    <w:rsid w:val="0090107A"/>
    <w:rsid w:val="00924970"/>
    <w:rsid w:val="00936CDD"/>
    <w:rsid w:val="00937681"/>
    <w:rsid w:val="00943C04"/>
    <w:rsid w:val="00944B81"/>
    <w:rsid w:val="009A1A75"/>
    <w:rsid w:val="009B6335"/>
    <w:rsid w:val="009B708F"/>
    <w:rsid w:val="009C0940"/>
    <w:rsid w:val="009E5DD1"/>
    <w:rsid w:val="009F3E5A"/>
    <w:rsid w:val="009F76DD"/>
    <w:rsid w:val="00A06239"/>
    <w:rsid w:val="00A066E7"/>
    <w:rsid w:val="00A34954"/>
    <w:rsid w:val="00A72CAC"/>
    <w:rsid w:val="00AB2479"/>
    <w:rsid w:val="00AD55AB"/>
    <w:rsid w:val="00AF3F7E"/>
    <w:rsid w:val="00B141E5"/>
    <w:rsid w:val="00B843D0"/>
    <w:rsid w:val="00B8737F"/>
    <w:rsid w:val="00B9203B"/>
    <w:rsid w:val="00B955A9"/>
    <w:rsid w:val="00BD3BD3"/>
    <w:rsid w:val="00BF3795"/>
    <w:rsid w:val="00C00D30"/>
    <w:rsid w:val="00C02F55"/>
    <w:rsid w:val="00C12D75"/>
    <w:rsid w:val="00C155B2"/>
    <w:rsid w:val="00C51016"/>
    <w:rsid w:val="00C65339"/>
    <w:rsid w:val="00C77330"/>
    <w:rsid w:val="00C917BC"/>
    <w:rsid w:val="00CA58A2"/>
    <w:rsid w:val="00CE4C77"/>
    <w:rsid w:val="00D01DF9"/>
    <w:rsid w:val="00D066AB"/>
    <w:rsid w:val="00D141D8"/>
    <w:rsid w:val="00D4644F"/>
    <w:rsid w:val="00D56938"/>
    <w:rsid w:val="00D61939"/>
    <w:rsid w:val="00D76054"/>
    <w:rsid w:val="00D85033"/>
    <w:rsid w:val="00D903F5"/>
    <w:rsid w:val="00D97364"/>
    <w:rsid w:val="00DC05CC"/>
    <w:rsid w:val="00DC0695"/>
    <w:rsid w:val="00DD58A5"/>
    <w:rsid w:val="00DF3CAE"/>
    <w:rsid w:val="00DF6939"/>
    <w:rsid w:val="00E00BDD"/>
    <w:rsid w:val="00E01C4E"/>
    <w:rsid w:val="00E0368B"/>
    <w:rsid w:val="00E03765"/>
    <w:rsid w:val="00E223F5"/>
    <w:rsid w:val="00E26156"/>
    <w:rsid w:val="00E376BF"/>
    <w:rsid w:val="00E54979"/>
    <w:rsid w:val="00E574AC"/>
    <w:rsid w:val="00E57671"/>
    <w:rsid w:val="00E6688D"/>
    <w:rsid w:val="00E73108"/>
    <w:rsid w:val="00E755DC"/>
    <w:rsid w:val="00E84E97"/>
    <w:rsid w:val="00E9674C"/>
    <w:rsid w:val="00EA0613"/>
    <w:rsid w:val="00EA2A75"/>
    <w:rsid w:val="00EA7F4D"/>
    <w:rsid w:val="00EB347C"/>
    <w:rsid w:val="00EB6983"/>
    <w:rsid w:val="00ED2E01"/>
    <w:rsid w:val="00EF419C"/>
    <w:rsid w:val="00F015DF"/>
    <w:rsid w:val="00F1519C"/>
    <w:rsid w:val="00F255E4"/>
    <w:rsid w:val="00F274B3"/>
    <w:rsid w:val="00F32B6A"/>
    <w:rsid w:val="00F46CF1"/>
    <w:rsid w:val="00F579C8"/>
    <w:rsid w:val="00F8058E"/>
    <w:rsid w:val="00F91EEB"/>
    <w:rsid w:val="00F922AE"/>
    <w:rsid w:val="00F93801"/>
    <w:rsid w:val="00FA21AB"/>
    <w:rsid w:val="00FB71DD"/>
    <w:rsid w:val="00FC6981"/>
    <w:rsid w:val="00FD739A"/>
    <w:rsid w:val="00FD747C"/>
    <w:rsid w:val="00FE760D"/>
    <w:rsid w:val="00FF72DB"/>
    <w:rsid w:val="0100256D"/>
    <w:rsid w:val="0A8C2558"/>
    <w:rsid w:val="1A4D23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font21"/>
    <w:basedOn w:val="8"/>
    <w:qFormat/>
    <w:uiPriority w:val="0"/>
    <w:rPr>
      <w:rFonts w:hint="eastAsia" w:ascii="宋体" w:hAnsi="宋体" w:eastAsia="宋体" w:cs="宋体"/>
      <w:color w:val="000000"/>
      <w:sz w:val="21"/>
      <w:szCs w:val="21"/>
      <w:u w:val="none"/>
    </w:rPr>
  </w:style>
  <w:style w:type="character" w:customStyle="1" w:styleId="16">
    <w:name w:val="font11"/>
    <w:basedOn w:val="8"/>
    <w:qFormat/>
    <w:uiPriority w:val="0"/>
    <w:rPr>
      <w:rFonts w:ascii="Calibri" w:hAnsi="Calibri" w:cs="Calibri"/>
      <w:color w:val="000000"/>
      <w:sz w:val="21"/>
      <w:szCs w:val="21"/>
      <w:u w:val="none"/>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9"/>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ADEC01-E4D0-437D-BD6B-54F86B942C5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24</Pages>
  <Words>1828</Words>
  <Characters>10425</Characters>
  <Lines>86</Lines>
  <Paragraphs>24</Paragraphs>
  <TotalTime>340</TotalTime>
  <ScaleCrop>false</ScaleCrop>
  <LinksUpToDate>false</LinksUpToDate>
  <CharactersWithSpaces>12229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cp:lastPrinted>2022-04-06T09:33:00Z</cp:lastPrinted>
  <dcterms:modified xsi:type="dcterms:W3CDTF">2022-04-13T07:20:14Z</dcterms:modified>
  <cp:revision>195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