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32"/>
          <w:szCs w:val="32"/>
          <w:highlight w:val="none"/>
        </w:rPr>
      </w:pPr>
      <w:r>
        <w:rPr>
          <w:rFonts w:hint="eastAsia" w:ascii="黑体" w:hAnsi="黑体" w:eastAsia="黑体"/>
          <w:sz w:val="32"/>
          <w:szCs w:val="32"/>
          <w:highlight w:val="none"/>
        </w:rPr>
        <w:t>附件</w:t>
      </w:r>
      <w:r>
        <w:rPr>
          <w:rFonts w:ascii="黑体" w:hAnsi="黑体" w:eastAsia="黑体"/>
          <w:sz w:val="32"/>
          <w:szCs w:val="32"/>
          <w:highlight w:val="none"/>
        </w:rPr>
        <w:t>3</w:t>
      </w:r>
      <w:r>
        <w:rPr>
          <w:rFonts w:hint="eastAsia" w:ascii="黑体" w:hAnsi="黑体" w:eastAsia="黑体"/>
          <w:sz w:val="32"/>
          <w:szCs w:val="32"/>
          <w:highlight w:val="none"/>
        </w:rPr>
        <w:t>：</w:t>
      </w:r>
    </w:p>
    <w:p>
      <w:pPr>
        <w:widowControl/>
        <w:spacing w:before="100" w:beforeAutospacing="1" w:after="100" w:afterAutospacing="1"/>
        <w:jc w:val="center"/>
        <w:outlineLvl w:val="1"/>
        <w:rPr>
          <w:rFonts w:ascii="方正小标宋_GBK" w:hAnsi="宋体" w:eastAsia="方正小标宋_GBK"/>
          <w:kern w:val="0"/>
          <w:sz w:val="44"/>
          <w:szCs w:val="44"/>
          <w:highlight w:val="none"/>
        </w:rPr>
      </w:pPr>
    </w:p>
    <w:p>
      <w:pPr>
        <w:widowControl/>
        <w:spacing w:before="100" w:beforeAutospacing="1" w:after="100" w:afterAutospacing="1"/>
        <w:jc w:val="center"/>
        <w:outlineLvl w:val="1"/>
        <w:rPr>
          <w:rFonts w:ascii="方正小标宋_GBK" w:hAnsi="宋体" w:eastAsia="方正小标宋_GBK"/>
          <w:kern w:val="0"/>
          <w:sz w:val="44"/>
          <w:szCs w:val="44"/>
          <w:highlight w:val="none"/>
        </w:rPr>
      </w:pPr>
    </w:p>
    <w:p>
      <w:pPr>
        <w:widowControl/>
        <w:spacing w:before="100" w:beforeAutospacing="1" w:after="100" w:afterAutospacing="1"/>
        <w:jc w:val="center"/>
        <w:outlineLvl w:val="1"/>
        <w:rPr>
          <w:rFonts w:hint="eastAsia" w:ascii="方正小标宋_GBK" w:hAnsi="宋体" w:eastAsia="方正小标宋_GBK"/>
          <w:kern w:val="0"/>
          <w:sz w:val="44"/>
          <w:szCs w:val="44"/>
          <w:highlight w:val="none"/>
        </w:rPr>
      </w:pPr>
      <w:r>
        <w:rPr>
          <w:rFonts w:hint="eastAsia" w:ascii="方正小标宋_GBK" w:hAnsi="宋体" w:eastAsia="方正小标宋_GBK"/>
          <w:kern w:val="0"/>
          <w:sz w:val="44"/>
          <w:szCs w:val="44"/>
          <w:highlight w:val="none"/>
        </w:rPr>
        <w:t>昌吉州政府投资项目评审中心202</w:t>
      </w:r>
      <w:r>
        <w:rPr>
          <w:rFonts w:hint="eastAsia" w:ascii="方正小标宋_GBK" w:hAnsi="宋体" w:eastAsia="方正小标宋_GBK"/>
          <w:kern w:val="0"/>
          <w:sz w:val="44"/>
          <w:szCs w:val="44"/>
          <w:highlight w:val="none"/>
          <w:lang w:val="en-US" w:eastAsia="zh-CN"/>
        </w:rPr>
        <w:t>2</w:t>
      </w:r>
      <w:r>
        <w:rPr>
          <w:rFonts w:hint="eastAsia" w:ascii="方正小标宋_GBK" w:hAnsi="宋体" w:eastAsia="方正小标宋_GBK"/>
          <w:kern w:val="0"/>
          <w:sz w:val="44"/>
          <w:szCs w:val="44"/>
          <w:highlight w:val="none"/>
        </w:rPr>
        <w:t>年</w:t>
      </w:r>
    </w:p>
    <w:p>
      <w:pPr>
        <w:widowControl/>
        <w:spacing w:before="100" w:beforeAutospacing="1" w:after="100" w:afterAutospacing="1"/>
        <w:jc w:val="center"/>
        <w:outlineLvl w:val="1"/>
        <w:rPr>
          <w:rFonts w:ascii="方正小标宋_GBK" w:hAnsi="宋体" w:eastAsia="方正小标宋_GBK"/>
          <w:kern w:val="0"/>
          <w:sz w:val="44"/>
          <w:szCs w:val="44"/>
          <w:highlight w:val="none"/>
        </w:rPr>
      </w:pPr>
      <w:r>
        <w:rPr>
          <w:rFonts w:hint="eastAsia" w:ascii="方正小标宋_GBK" w:hAnsi="宋体" w:eastAsia="方正小标宋_GBK"/>
          <w:kern w:val="0"/>
          <w:sz w:val="44"/>
          <w:szCs w:val="44"/>
          <w:highlight w:val="none"/>
          <w:lang w:eastAsia="zh-CN"/>
        </w:rPr>
        <w:t>部门</w:t>
      </w:r>
      <w:r>
        <w:rPr>
          <w:rFonts w:hint="eastAsia" w:ascii="方正小标宋_GBK" w:hAnsi="宋体" w:eastAsia="方正小标宋_GBK"/>
          <w:kern w:val="0"/>
          <w:sz w:val="44"/>
          <w:szCs w:val="44"/>
          <w:highlight w:val="none"/>
        </w:rPr>
        <w:t>预算公开</w:t>
      </w:r>
    </w:p>
    <w:p>
      <w:pPr>
        <w:widowControl/>
        <w:spacing w:line="440" w:lineRule="exact"/>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spacing w:line="560" w:lineRule="exact"/>
        <w:jc w:val="center"/>
        <w:rPr>
          <w:rFonts w:ascii="黑体" w:hAnsi="黑体" w:eastAsia="黑体" w:cs="黑体"/>
          <w:kern w:val="0"/>
          <w:sz w:val="32"/>
          <w:szCs w:val="32"/>
          <w:highlight w:val="none"/>
        </w:rPr>
      </w:pPr>
      <w:r>
        <w:rPr>
          <w:rFonts w:hint="eastAsia" w:ascii="黑体" w:hAnsi="黑体" w:eastAsia="黑体" w:cs="黑体"/>
          <w:kern w:val="0"/>
          <w:sz w:val="32"/>
          <w:szCs w:val="32"/>
          <w:highlight w:val="none"/>
        </w:rPr>
        <w:t>目 录</w:t>
      </w:r>
    </w:p>
    <w:p>
      <w:pPr>
        <w:spacing w:line="560" w:lineRule="exact"/>
        <w:ind w:firstLine="643" w:firstLineChars="200"/>
        <w:rPr>
          <w:rFonts w:ascii="仿宋_GB2312" w:hAnsi="仿宋_GB2312" w:eastAsia="仿宋_GB2312" w:cs="仿宋_GB2312"/>
          <w:b/>
          <w:kern w:val="0"/>
          <w:sz w:val="32"/>
          <w:szCs w:val="32"/>
          <w:highlight w:val="none"/>
        </w:rPr>
      </w:pP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 xml:space="preserve">第一部分  </w:t>
      </w:r>
      <w:r>
        <w:rPr>
          <w:rFonts w:hint="eastAsia" w:ascii="仿宋_GB2312" w:hAnsi="宋体" w:eastAsia="仿宋_GB2312"/>
          <w:b/>
          <w:kern w:val="0"/>
          <w:sz w:val="32"/>
          <w:szCs w:val="32"/>
          <w:highlight w:val="none"/>
        </w:rPr>
        <w:t>昌吉政府投资项目评审中心</w:t>
      </w:r>
      <w:r>
        <w:rPr>
          <w:rFonts w:hint="eastAsia" w:ascii="仿宋_GB2312" w:hAnsi="仿宋_GB2312" w:eastAsia="仿宋_GB2312" w:cs="仿宋_GB2312"/>
          <w:b/>
          <w:kern w:val="0"/>
          <w:sz w:val="32"/>
          <w:szCs w:val="32"/>
          <w:highlight w:val="none"/>
        </w:rPr>
        <w:t>概况</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一、主要职能</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二、机构设置及人员情况</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第二部分  2022年部门（单位）预算公开表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一、部门（单位）收支总体情况表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二、部门（单位）收入总体情况表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三、部门（单位）支出总体情况表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四、财政拨款收支总体情况表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五、一般公共预算支出情况表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六、一般公共预算基本支出情况表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七、一般公共预算</w:t>
      </w:r>
      <w:r>
        <w:rPr>
          <w:rFonts w:hint="eastAsia" w:ascii="仿宋_GB2312" w:hAnsi="仿宋_GB2312" w:eastAsia="仿宋_GB2312" w:cs="仿宋_GB2312"/>
          <w:bCs/>
          <w:kern w:val="0"/>
          <w:sz w:val="32"/>
          <w:szCs w:val="32"/>
          <w:highlight w:val="none"/>
        </w:rPr>
        <w:t>项目支出情况表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八、一般公共预算“三公”经费支出情况表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九、政府性基金预算支出情况表</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第三部分  2022年部门（单位）预算情况说明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一、关于</w:t>
      </w:r>
      <w:r>
        <w:rPr>
          <w:rFonts w:hint="eastAsia" w:ascii="仿宋_GB2312" w:hAnsi="宋体" w:eastAsia="仿宋_GB2312"/>
          <w:kern w:val="0"/>
          <w:sz w:val="32"/>
          <w:szCs w:val="32"/>
          <w:highlight w:val="none"/>
        </w:rPr>
        <w:t>昌吉州政府投资项目评审中心</w:t>
      </w:r>
      <w:r>
        <w:rPr>
          <w:rFonts w:hint="eastAsia" w:ascii="仿宋_GB2312" w:hAnsi="仿宋_GB2312" w:eastAsia="仿宋_GB2312" w:cs="仿宋_GB2312"/>
          <w:kern w:val="0"/>
          <w:sz w:val="32"/>
          <w:szCs w:val="32"/>
          <w:highlight w:val="none"/>
        </w:rPr>
        <w:t>2022年收支预算情况的总体说明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二、关于</w:t>
      </w:r>
      <w:r>
        <w:rPr>
          <w:rFonts w:hint="eastAsia" w:ascii="仿宋_GB2312" w:hAnsi="宋体" w:eastAsia="仿宋_GB2312"/>
          <w:kern w:val="0"/>
          <w:sz w:val="32"/>
          <w:szCs w:val="32"/>
          <w:highlight w:val="none"/>
        </w:rPr>
        <w:t>昌吉州政府投资项目评审中心</w:t>
      </w:r>
      <w:r>
        <w:rPr>
          <w:rFonts w:hint="eastAsia" w:ascii="仿宋_GB2312" w:hAnsi="仿宋_GB2312" w:eastAsia="仿宋_GB2312" w:cs="仿宋_GB2312"/>
          <w:kern w:val="0"/>
          <w:sz w:val="32"/>
          <w:szCs w:val="32"/>
          <w:highlight w:val="none"/>
        </w:rPr>
        <w:t>2022年收入预算情况说明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三、关于</w:t>
      </w:r>
      <w:r>
        <w:rPr>
          <w:rFonts w:hint="eastAsia" w:ascii="仿宋_GB2312" w:hAnsi="宋体" w:eastAsia="仿宋_GB2312"/>
          <w:kern w:val="0"/>
          <w:sz w:val="32"/>
          <w:szCs w:val="32"/>
          <w:highlight w:val="none"/>
        </w:rPr>
        <w:t>昌吉州政府投资项目评审中心</w:t>
      </w:r>
      <w:r>
        <w:rPr>
          <w:rFonts w:hint="eastAsia" w:ascii="仿宋_GB2312" w:hAnsi="仿宋_GB2312" w:eastAsia="仿宋_GB2312" w:cs="仿宋_GB2312"/>
          <w:kern w:val="0"/>
          <w:sz w:val="32"/>
          <w:szCs w:val="32"/>
          <w:highlight w:val="none"/>
        </w:rPr>
        <w:t>2022年支出预算情况说明</w:t>
      </w:r>
    </w:p>
    <w:p>
      <w:pPr>
        <w:spacing w:line="560" w:lineRule="exact"/>
        <w:ind w:firstLine="640" w:firstLineChars="200"/>
        <w:rPr>
          <w:rFonts w:ascii="仿宋_GB2312" w:hAnsi="仿宋_GB2312" w:eastAsia="仿宋_GB2312" w:cs="仿宋_GB2312"/>
          <w:bCs/>
          <w:kern w:val="0"/>
          <w:sz w:val="32"/>
          <w:szCs w:val="32"/>
          <w:highlight w:val="none"/>
        </w:rPr>
      </w:pPr>
      <w:r>
        <w:rPr>
          <w:rFonts w:hint="eastAsia" w:ascii="仿宋_GB2312" w:hAnsi="仿宋_GB2312" w:eastAsia="仿宋_GB2312" w:cs="仿宋_GB2312"/>
          <w:bCs/>
          <w:kern w:val="0"/>
          <w:sz w:val="32"/>
          <w:szCs w:val="32"/>
          <w:highlight w:val="none"/>
        </w:rPr>
        <w:t>四、关于</w:t>
      </w:r>
      <w:r>
        <w:rPr>
          <w:rFonts w:hint="eastAsia" w:ascii="仿宋_GB2312" w:hAnsi="宋体" w:eastAsia="仿宋_GB2312"/>
          <w:kern w:val="0"/>
          <w:sz w:val="32"/>
          <w:szCs w:val="32"/>
          <w:highlight w:val="none"/>
        </w:rPr>
        <w:t>昌吉州政府投资项目评审中心</w:t>
      </w:r>
      <w:r>
        <w:rPr>
          <w:rFonts w:hint="eastAsia" w:ascii="仿宋_GB2312" w:hAnsi="仿宋_GB2312" w:eastAsia="仿宋_GB2312" w:cs="仿宋_GB2312"/>
          <w:kern w:val="0"/>
          <w:sz w:val="32"/>
          <w:szCs w:val="32"/>
          <w:highlight w:val="none"/>
        </w:rPr>
        <w:t>2022</w:t>
      </w:r>
      <w:r>
        <w:rPr>
          <w:rFonts w:hint="eastAsia" w:ascii="仿宋_GB2312" w:hAnsi="仿宋_GB2312" w:eastAsia="仿宋_GB2312" w:cs="仿宋_GB2312"/>
          <w:bCs/>
          <w:kern w:val="0"/>
          <w:sz w:val="32"/>
          <w:szCs w:val="32"/>
          <w:highlight w:val="none"/>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highlight w:val="none"/>
        </w:rPr>
      </w:pPr>
      <w:r>
        <w:rPr>
          <w:rFonts w:hint="eastAsia" w:ascii="仿宋_GB2312" w:hAnsi="仿宋_GB2312" w:eastAsia="仿宋_GB2312" w:cs="仿宋_GB2312"/>
          <w:kern w:val="0"/>
          <w:sz w:val="32"/>
          <w:szCs w:val="32"/>
          <w:highlight w:val="none"/>
        </w:rPr>
        <w:t>五、</w:t>
      </w:r>
      <w:r>
        <w:rPr>
          <w:rFonts w:hint="eastAsia" w:ascii="仿宋_GB2312" w:hAnsi="仿宋_GB2312" w:eastAsia="仿宋_GB2312" w:cs="仿宋_GB2312"/>
          <w:spacing w:val="-6"/>
          <w:kern w:val="0"/>
          <w:sz w:val="32"/>
          <w:szCs w:val="32"/>
          <w:highlight w:val="none"/>
        </w:rPr>
        <w:t>关于</w:t>
      </w:r>
      <w:r>
        <w:rPr>
          <w:rFonts w:hint="eastAsia" w:ascii="仿宋_GB2312" w:hAnsi="宋体" w:eastAsia="仿宋_GB2312"/>
          <w:kern w:val="0"/>
          <w:sz w:val="32"/>
          <w:szCs w:val="32"/>
          <w:highlight w:val="none"/>
        </w:rPr>
        <w:t>昌吉州政府投资项目评审中心</w:t>
      </w:r>
      <w:r>
        <w:rPr>
          <w:rFonts w:hint="eastAsia" w:ascii="仿宋_GB2312" w:hAnsi="仿宋_GB2312" w:eastAsia="仿宋_GB2312" w:cs="仿宋_GB2312"/>
          <w:kern w:val="0"/>
          <w:sz w:val="32"/>
          <w:szCs w:val="32"/>
          <w:highlight w:val="none"/>
        </w:rPr>
        <w:t>2022</w:t>
      </w:r>
      <w:r>
        <w:rPr>
          <w:rFonts w:hint="eastAsia" w:ascii="仿宋_GB2312" w:hAnsi="仿宋_GB2312" w:eastAsia="仿宋_GB2312" w:cs="仿宋_GB2312"/>
          <w:spacing w:val="-6"/>
          <w:kern w:val="0"/>
          <w:sz w:val="32"/>
          <w:szCs w:val="32"/>
          <w:highlight w:val="none"/>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highlight w:val="none"/>
        </w:rPr>
      </w:pPr>
      <w:r>
        <w:rPr>
          <w:rFonts w:hint="eastAsia" w:ascii="仿宋_GB2312" w:hAnsi="仿宋_GB2312" w:eastAsia="仿宋_GB2312" w:cs="仿宋_GB2312"/>
          <w:kern w:val="0"/>
          <w:sz w:val="32"/>
          <w:szCs w:val="32"/>
          <w:highlight w:val="none"/>
        </w:rPr>
        <w:t>六、</w:t>
      </w:r>
      <w:r>
        <w:rPr>
          <w:rFonts w:hint="eastAsia" w:ascii="仿宋_GB2312" w:hAnsi="仿宋_GB2312" w:eastAsia="仿宋_GB2312" w:cs="仿宋_GB2312"/>
          <w:spacing w:val="-6"/>
          <w:kern w:val="0"/>
          <w:sz w:val="32"/>
          <w:szCs w:val="32"/>
          <w:highlight w:val="none"/>
        </w:rPr>
        <w:t>关于</w:t>
      </w:r>
      <w:r>
        <w:rPr>
          <w:rFonts w:hint="eastAsia" w:ascii="仿宋_GB2312" w:hAnsi="宋体" w:eastAsia="仿宋_GB2312"/>
          <w:kern w:val="0"/>
          <w:sz w:val="32"/>
          <w:szCs w:val="32"/>
          <w:highlight w:val="none"/>
        </w:rPr>
        <w:t>昌吉州政府投资项目评审中心</w:t>
      </w:r>
      <w:r>
        <w:rPr>
          <w:rFonts w:hint="eastAsia" w:ascii="仿宋_GB2312" w:hAnsi="仿宋_GB2312" w:eastAsia="仿宋_GB2312" w:cs="仿宋_GB2312"/>
          <w:kern w:val="0"/>
          <w:sz w:val="32"/>
          <w:szCs w:val="32"/>
          <w:highlight w:val="none"/>
        </w:rPr>
        <w:t>2022</w:t>
      </w:r>
      <w:r>
        <w:rPr>
          <w:rFonts w:hint="eastAsia" w:ascii="仿宋_GB2312" w:hAnsi="仿宋_GB2312" w:eastAsia="仿宋_GB2312" w:cs="仿宋_GB2312"/>
          <w:spacing w:val="-6"/>
          <w:kern w:val="0"/>
          <w:sz w:val="32"/>
          <w:szCs w:val="32"/>
          <w:highlight w:val="none"/>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highlight w:val="none"/>
        </w:rPr>
      </w:pPr>
      <w:r>
        <w:rPr>
          <w:rFonts w:hint="eastAsia" w:ascii="仿宋_GB2312" w:hAnsi="仿宋_GB2312" w:eastAsia="仿宋_GB2312" w:cs="仿宋_GB2312"/>
          <w:kern w:val="0"/>
          <w:sz w:val="32"/>
          <w:szCs w:val="32"/>
          <w:highlight w:val="none"/>
        </w:rPr>
        <w:t>七、</w:t>
      </w:r>
      <w:r>
        <w:rPr>
          <w:rFonts w:hint="eastAsia" w:ascii="仿宋_GB2312" w:hAnsi="仿宋_GB2312" w:eastAsia="仿宋_GB2312" w:cs="仿宋_GB2312"/>
          <w:spacing w:val="-6"/>
          <w:kern w:val="0"/>
          <w:sz w:val="32"/>
          <w:szCs w:val="32"/>
          <w:highlight w:val="none"/>
        </w:rPr>
        <w:t>关于</w:t>
      </w:r>
      <w:r>
        <w:rPr>
          <w:rFonts w:hint="eastAsia" w:ascii="仿宋_GB2312" w:hAnsi="宋体" w:eastAsia="仿宋_GB2312"/>
          <w:kern w:val="0"/>
          <w:sz w:val="32"/>
          <w:szCs w:val="32"/>
          <w:highlight w:val="none"/>
        </w:rPr>
        <w:t>昌吉州政府投资项目评审中心</w:t>
      </w:r>
      <w:r>
        <w:rPr>
          <w:rFonts w:hint="eastAsia" w:ascii="仿宋_GB2312" w:hAnsi="仿宋_GB2312" w:eastAsia="仿宋_GB2312" w:cs="仿宋_GB2312"/>
          <w:kern w:val="0"/>
          <w:sz w:val="32"/>
          <w:szCs w:val="32"/>
          <w:highlight w:val="none"/>
        </w:rPr>
        <w:t>2022</w:t>
      </w:r>
      <w:r>
        <w:rPr>
          <w:rFonts w:hint="eastAsia" w:ascii="仿宋_GB2312" w:hAnsi="仿宋_GB2312" w:eastAsia="仿宋_GB2312" w:cs="仿宋_GB2312"/>
          <w:spacing w:val="-6"/>
          <w:kern w:val="0"/>
          <w:sz w:val="32"/>
          <w:szCs w:val="32"/>
          <w:highlight w:val="none"/>
        </w:rPr>
        <w:t>年一般公共预算项目支出情况说明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八、关于</w:t>
      </w:r>
      <w:r>
        <w:rPr>
          <w:rFonts w:hint="eastAsia" w:ascii="仿宋_GB2312" w:hAnsi="宋体" w:eastAsia="仿宋_GB2312"/>
          <w:kern w:val="0"/>
          <w:sz w:val="32"/>
          <w:szCs w:val="32"/>
          <w:highlight w:val="none"/>
        </w:rPr>
        <w:t>昌吉州政府投资项目评审中心</w:t>
      </w:r>
      <w:r>
        <w:rPr>
          <w:rFonts w:hint="eastAsia" w:ascii="仿宋_GB2312" w:hAnsi="仿宋_GB2312" w:eastAsia="仿宋_GB2312" w:cs="仿宋_GB2312"/>
          <w:kern w:val="0"/>
          <w:sz w:val="32"/>
          <w:szCs w:val="32"/>
          <w:highlight w:val="none"/>
        </w:rPr>
        <w:t>2022年一般公共预算“三公”经费预算情况说明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九、关于</w:t>
      </w:r>
      <w:r>
        <w:rPr>
          <w:rFonts w:hint="eastAsia" w:ascii="仿宋_GB2312" w:hAnsi="宋体" w:eastAsia="仿宋_GB2312"/>
          <w:kern w:val="0"/>
          <w:sz w:val="32"/>
          <w:szCs w:val="32"/>
          <w:highlight w:val="none"/>
        </w:rPr>
        <w:t>昌吉州政府投资项目评审中心</w:t>
      </w:r>
      <w:r>
        <w:rPr>
          <w:rFonts w:hint="eastAsia" w:ascii="仿宋_GB2312" w:hAnsi="仿宋_GB2312" w:eastAsia="仿宋_GB2312" w:cs="仿宋_GB2312"/>
          <w:kern w:val="0"/>
          <w:sz w:val="32"/>
          <w:szCs w:val="32"/>
          <w:highlight w:val="none"/>
        </w:rPr>
        <w:t>2022年政府性基金预算拨款情况说明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十、其他重要事项的情况说明</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第四部分  名词解释</w:t>
      </w:r>
    </w:p>
    <w:p>
      <w:pPr>
        <w:spacing w:line="600" w:lineRule="exact"/>
        <w:ind w:firstLine="640" w:firstLineChars="200"/>
        <w:rPr>
          <w:rFonts w:ascii="仿宋_GB2312" w:hAnsi="仿宋_GB2312" w:eastAsia="仿宋_GB2312" w:cs="仿宋_GB2312"/>
          <w:kern w:val="0"/>
          <w:sz w:val="32"/>
          <w:szCs w:val="32"/>
          <w:highlight w:val="none"/>
        </w:rPr>
        <w:sectPr>
          <w:footerReference r:id="rId3" w:type="default"/>
          <w:pgSz w:w="11906" w:h="16838"/>
          <w:pgMar w:top="2098" w:right="1418" w:bottom="1928" w:left="1588" w:header="851" w:footer="992" w:gutter="0"/>
          <w:pgNumType w:fmt="numberInDash"/>
          <w:cols w:space="720" w:num="1"/>
          <w:docGrid w:linePitch="312" w:charSpace="0"/>
        </w:sectPr>
      </w:pPr>
    </w:p>
    <w:p>
      <w:pPr>
        <w:widowControl/>
        <w:spacing w:line="540" w:lineRule="exact"/>
        <w:jc w:val="center"/>
        <w:outlineLvl w:val="1"/>
        <w:rPr>
          <w:rFonts w:ascii="黑体" w:hAnsi="黑体" w:eastAsia="黑体"/>
          <w:kern w:val="0"/>
          <w:sz w:val="32"/>
          <w:szCs w:val="32"/>
          <w:highlight w:val="none"/>
        </w:rPr>
      </w:pPr>
      <w:r>
        <w:rPr>
          <w:rFonts w:hint="eastAsia" w:ascii="黑体" w:hAnsi="黑体" w:eastAsia="黑体"/>
          <w:kern w:val="0"/>
          <w:sz w:val="32"/>
          <w:szCs w:val="32"/>
          <w:highlight w:val="none"/>
        </w:rPr>
        <w:t>第一部分   昌吉州政府投资项目评审中心概况</w:t>
      </w:r>
    </w:p>
    <w:p>
      <w:pPr>
        <w:widowControl/>
        <w:spacing w:line="540" w:lineRule="exact"/>
        <w:jc w:val="center"/>
        <w:outlineLvl w:val="1"/>
        <w:rPr>
          <w:rFonts w:ascii="宋体" w:hAnsi="宋体"/>
          <w:b/>
          <w:kern w:val="0"/>
          <w:sz w:val="32"/>
          <w:szCs w:val="32"/>
          <w:highlight w:val="none"/>
        </w:rPr>
      </w:pPr>
    </w:p>
    <w:p>
      <w:pPr>
        <w:widowControl/>
        <w:spacing w:line="540" w:lineRule="exact"/>
        <w:ind w:firstLine="643" w:firstLineChars="200"/>
        <w:jc w:val="left"/>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一、主要职能</w:t>
      </w:r>
    </w:p>
    <w:p>
      <w:pPr>
        <w:spacing w:line="540" w:lineRule="exact"/>
        <w:ind w:firstLine="640" w:firstLineChars="200"/>
        <w:rPr>
          <w:rFonts w:ascii="仿宋_GB2312" w:hAnsi="宋体" w:eastAsia="仿宋_GB2312" w:cs="宋体"/>
          <w:bCs/>
          <w:kern w:val="0"/>
          <w:sz w:val="32"/>
          <w:szCs w:val="32"/>
          <w:highlight w:val="none"/>
        </w:rPr>
      </w:pPr>
      <w:r>
        <w:rPr>
          <w:rFonts w:hint="eastAsia" w:ascii="黑体" w:hAnsi="黑体" w:eastAsia="黑体" w:cs="宋体"/>
          <w:bCs/>
          <w:kern w:val="0"/>
          <w:sz w:val="32"/>
          <w:szCs w:val="32"/>
          <w:highlight w:val="none"/>
        </w:rPr>
        <w:t xml:space="preserve">   </w:t>
      </w:r>
      <w:r>
        <w:rPr>
          <w:rFonts w:hint="eastAsia" w:ascii="仿宋_GB2312" w:hAnsi="宋体" w:eastAsia="仿宋_GB2312"/>
          <w:sz w:val="32"/>
          <w:szCs w:val="32"/>
          <w:highlight w:val="none"/>
        </w:rPr>
        <w:t>对政府投资项目进行评审、接受自治州发改委的委托，对基本建设、技术改造和其他项目的前期工作以及建设实施进行评审、论证、咨询，为决策提供科学依据；受建设单位委托，编制建设项目规划、项目建议书、可行性研究报告及项目资金申请报告书、节能评估报告、建设项目社会稳定风险评估报告，承办州发改委交办的其他事项。</w:t>
      </w:r>
      <w:r>
        <w:rPr>
          <w:rFonts w:hint="eastAsia" w:ascii="仿宋_GB2312" w:hAnsi="宋体" w:eastAsia="仿宋_GB2312" w:cs="宋体"/>
          <w:bCs/>
          <w:kern w:val="0"/>
          <w:sz w:val="32"/>
          <w:szCs w:val="32"/>
          <w:highlight w:val="none"/>
        </w:rPr>
        <w:t xml:space="preserve"> </w:t>
      </w:r>
    </w:p>
    <w:p>
      <w:pPr>
        <w:widowControl/>
        <w:spacing w:line="540" w:lineRule="exact"/>
        <w:ind w:firstLine="643" w:firstLineChars="200"/>
        <w:jc w:val="left"/>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二、机构设置及人员情况</w:t>
      </w:r>
    </w:p>
    <w:p>
      <w:pPr>
        <w:widowControl/>
        <w:spacing w:line="560" w:lineRule="exact"/>
        <w:ind w:firstLine="640" w:firstLineChars="200"/>
        <w:jc w:val="left"/>
        <w:rPr>
          <w:rFonts w:ascii="仿宋_GB2312" w:hAnsi="宋体" w:eastAsia="仿宋_GB2312" w:cs="宋体"/>
          <w:kern w:val="0"/>
          <w:sz w:val="32"/>
          <w:szCs w:val="32"/>
          <w:highlight w:val="none"/>
        </w:rPr>
      </w:pPr>
      <w:r>
        <w:rPr>
          <w:rFonts w:hint="eastAsia" w:ascii="仿宋_GB2312" w:hAnsi="黑体" w:eastAsia="仿宋_GB2312" w:cs="宋体"/>
          <w:bCs/>
          <w:kern w:val="0"/>
          <w:sz w:val="32"/>
          <w:szCs w:val="32"/>
          <w:highlight w:val="none"/>
        </w:rPr>
        <w:t>昌吉州政府投资项目评审中心无下属预算单位，下设0个科室</w:t>
      </w:r>
      <w:r>
        <w:rPr>
          <w:rFonts w:hint="eastAsia" w:ascii="仿宋_GB2312" w:hAnsi="宋体" w:eastAsia="仿宋_GB2312" w:cs="宋体"/>
          <w:kern w:val="0"/>
          <w:sz w:val="32"/>
          <w:szCs w:val="32"/>
          <w:highlight w:val="none"/>
        </w:rPr>
        <w:t>。</w:t>
      </w:r>
    </w:p>
    <w:p>
      <w:pPr>
        <w:widowControl/>
        <w:spacing w:line="540" w:lineRule="exact"/>
        <w:ind w:firstLine="640" w:firstLineChars="200"/>
        <w:jc w:val="left"/>
        <w:rPr>
          <w:rFonts w:hint="eastAsia" w:ascii="仿宋_GB2312" w:hAnsi="宋体" w:eastAsia="仿宋_GB2312" w:cs="宋体"/>
          <w:kern w:val="0"/>
          <w:sz w:val="32"/>
          <w:szCs w:val="32"/>
          <w:highlight w:val="none"/>
        </w:rPr>
      </w:pPr>
      <w:r>
        <w:rPr>
          <w:rFonts w:hint="eastAsia" w:ascii="仿宋_GB2312" w:hAnsi="黑体" w:eastAsia="仿宋_GB2312" w:cs="宋体"/>
          <w:bCs/>
          <w:kern w:val="0"/>
          <w:sz w:val="32"/>
          <w:szCs w:val="32"/>
          <w:highlight w:val="none"/>
        </w:rPr>
        <w:t>昌吉州政府投资项目评审中心</w:t>
      </w:r>
      <w:r>
        <w:rPr>
          <w:rFonts w:hint="eastAsia" w:ascii="仿宋_GB2312" w:hAnsi="宋体" w:eastAsia="仿宋_GB2312" w:cs="宋体"/>
          <w:kern w:val="0"/>
          <w:sz w:val="32"/>
          <w:szCs w:val="32"/>
          <w:highlight w:val="none"/>
        </w:rPr>
        <w:t>编制数5人，实有人数</w:t>
      </w:r>
      <w:r>
        <w:rPr>
          <w:rFonts w:hint="eastAsia" w:ascii="仿宋_GB2312" w:hAnsi="宋体" w:eastAsia="仿宋_GB2312" w:cs="宋体"/>
          <w:kern w:val="0"/>
          <w:sz w:val="32"/>
          <w:szCs w:val="32"/>
          <w:highlight w:val="none"/>
          <w:lang w:val="en-US" w:eastAsia="zh-CN"/>
        </w:rPr>
        <w:t>9</w:t>
      </w:r>
      <w:r>
        <w:rPr>
          <w:rFonts w:hint="eastAsia" w:ascii="仿宋_GB2312" w:hAnsi="宋体" w:eastAsia="仿宋_GB2312" w:cs="宋体"/>
          <w:kern w:val="0"/>
          <w:sz w:val="32"/>
          <w:szCs w:val="32"/>
          <w:highlight w:val="none"/>
        </w:rPr>
        <w:t>人，其中：在职5人，增加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人；退休4人，增加0人；离休0人，增加0人。</w:t>
      </w: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ascii="黑体" w:hAnsi="黑体" w:eastAsia="黑体"/>
          <w:kern w:val="0"/>
          <w:sz w:val="32"/>
          <w:szCs w:val="32"/>
          <w:highlight w:val="none"/>
        </w:rPr>
      </w:pPr>
      <w:r>
        <w:rPr>
          <w:rFonts w:hint="eastAsia" w:ascii="黑体" w:hAnsi="黑体" w:eastAsia="黑体"/>
          <w:kern w:val="0"/>
          <w:sz w:val="32"/>
          <w:szCs w:val="32"/>
          <w:highlight w:val="none"/>
        </w:rPr>
        <w:t xml:space="preserve">第二部分  </w:t>
      </w:r>
      <w:r>
        <w:rPr>
          <w:rFonts w:ascii="黑体" w:hAnsi="黑体" w:eastAsia="黑体"/>
          <w:kern w:val="0"/>
          <w:sz w:val="32"/>
          <w:szCs w:val="32"/>
          <w:highlight w:val="none"/>
        </w:rPr>
        <w:t>2022</w:t>
      </w:r>
      <w:r>
        <w:rPr>
          <w:rFonts w:hint="eastAsia" w:ascii="黑体" w:hAnsi="黑体" w:eastAsia="黑体"/>
          <w:kern w:val="0"/>
          <w:sz w:val="32"/>
          <w:szCs w:val="32"/>
          <w:highlight w:val="none"/>
        </w:rPr>
        <w:t>年部门（单位）预算公开表</w:t>
      </w:r>
    </w:p>
    <w:p>
      <w:pPr>
        <w:widowControl/>
        <w:spacing w:line="240" w:lineRule="exact"/>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表1</w:t>
      </w:r>
    </w:p>
    <w:p>
      <w:pPr>
        <w:widowControl/>
        <w:spacing w:line="360" w:lineRule="exact"/>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部门（单位）收支总体情况表</w:t>
      </w:r>
    </w:p>
    <w:p>
      <w:pPr>
        <w:widowControl/>
        <w:spacing w:line="440" w:lineRule="exact"/>
        <w:outlineLvl w:val="1"/>
        <w:rPr>
          <w:rFonts w:ascii="仿宋_GB2312" w:hAnsi="宋体" w:eastAsia="仿宋_GB2312"/>
          <w:kern w:val="0"/>
          <w:sz w:val="24"/>
          <w:highlight w:val="none"/>
        </w:rPr>
      </w:pPr>
      <w:r>
        <w:rPr>
          <w:rFonts w:hint="eastAsia" w:ascii="仿宋_GB2312" w:hAnsi="宋体" w:eastAsia="仿宋_GB2312"/>
          <w:kern w:val="0"/>
          <w:sz w:val="24"/>
          <w:highlight w:val="none"/>
        </w:rPr>
        <w:t xml:space="preserve">编制部门（单位）： 昌吉州政府投资项目评审中心           </w:t>
      </w:r>
      <w:r>
        <w:rPr>
          <w:rFonts w:hint="eastAsia" w:ascii="仿宋_GB2312" w:hAnsi="宋体" w:eastAsia="仿宋_GB2312"/>
          <w:kern w:val="0"/>
          <w:sz w:val="24"/>
          <w:highlight w:val="none"/>
          <w:lang w:val="en-US" w:eastAsia="zh-CN"/>
        </w:rPr>
        <w:t xml:space="preserve">    </w:t>
      </w:r>
      <w:r>
        <w:rPr>
          <w:rFonts w:hint="eastAsia" w:ascii="仿宋_GB2312" w:hAnsi="宋体" w:eastAsia="仿宋_GB2312"/>
          <w:kern w:val="0"/>
          <w:sz w:val="24"/>
          <w:highlight w:val="none"/>
        </w:rPr>
        <w:t>单位：万元</w:t>
      </w:r>
    </w:p>
    <w:tbl>
      <w:tblPr>
        <w:tblStyle w:val="6"/>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74.84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宋体" w:hAnsi="宋体" w:cs="宋体"/>
                <w:kern w:val="0"/>
                <w:sz w:val="18"/>
                <w:szCs w:val="18"/>
                <w:highlight w:val="none"/>
                <w:lang w:val="en-US" w:eastAsia="zh-CN"/>
              </w:rPr>
              <w:t>55.86</w:t>
            </w:r>
            <w:r>
              <w:rPr>
                <w:rFonts w:hint="eastAsia" w:ascii="宋体" w:hAnsi="宋体" w:cs="宋体"/>
                <w:kern w:val="0"/>
                <w:sz w:val="18"/>
                <w:szCs w:val="18"/>
                <w:highlight w:val="none"/>
              </w:rPr>
              <w:t xml:space="preserve">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45"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宋体" w:hAnsi="宋体" w:cs="宋体"/>
                <w:kern w:val="0"/>
                <w:sz w:val="18"/>
                <w:szCs w:val="18"/>
                <w:highlight w:val="none"/>
              </w:rPr>
              <w:t>7.29</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宋体" w:hAnsi="宋体" w:cs="宋体"/>
                <w:kern w:val="0"/>
                <w:sz w:val="18"/>
                <w:szCs w:val="18"/>
                <w:highlight w:val="none"/>
              </w:rPr>
              <w:t>5.44</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宋体" w:hAnsi="宋体" w:cs="宋体"/>
                <w:kern w:val="0"/>
                <w:sz w:val="18"/>
                <w:szCs w:val="18"/>
                <w:highlight w:val="none"/>
              </w:rPr>
              <w:t>6.25</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highlight w:val="none"/>
              </w:rPr>
            </w:pPr>
            <w:r>
              <w:rPr>
                <w:rFonts w:hint="eastAsia" w:ascii="仿宋_GB2312" w:hAnsi="宋体" w:eastAsia="仿宋_GB2312" w:cs="宋体"/>
                <w:kern w:val="0"/>
                <w:sz w:val="18"/>
                <w:szCs w:val="18"/>
                <w:highlight w:val="none"/>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highlight w:val="none"/>
              </w:rPr>
            </w:pPr>
            <w:r>
              <w:rPr>
                <w:rFonts w:hint="eastAsia" w:ascii="仿宋_GB2312" w:hAnsi="宋体" w:eastAsia="仿宋_GB2312" w:cs="宋体"/>
                <w:color w:val="000000"/>
                <w:kern w:val="0"/>
                <w:sz w:val="18"/>
                <w:szCs w:val="18"/>
                <w:highlight w:val="none"/>
                <w:lang w:bidi="ar"/>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highlight w:val="none"/>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highlight w:val="none"/>
                <w:lang w:bidi="ar"/>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20"/>
                <w:szCs w:val="20"/>
                <w:highlight w:val="none"/>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val="en-US" w:eastAsia="zh-CN"/>
              </w:rPr>
              <w:t>74.84</w:t>
            </w: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val="en-US" w:eastAsia="zh-CN"/>
              </w:rPr>
              <w:t>74.84</w:t>
            </w:r>
            <w:r>
              <w:rPr>
                <w:rFonts w:hint="eastAsia" w:ascii="仿宋_GB2312" w:hAnsi="宋体" w:eastAsia="仿宋_GB2312" w:cs="宋体"/>
                <w:kern w:val="0"/>
                <w:sz w:val="18"/>
                <w:szCs w:val="18"/>
                <w:highlight w:val="none"/>
              </w:rPr>
              <w:t>　</w:t>
            </w:r>
          </w:p>
        </w:tc>
      </w:tr>
    </w:tbl>
    <w:p>
      <w:pPr>
        <w:widowControl/>
        <w:spacing w:line="280" w:lineRule="exac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表2</w:t>
      </w:r>
    </w:p>
    <w:p>
      <w:pPr>
        <w:widowControl/>
        <w:spacing w:line="440" w:lineRule="exact"/>
        <w:jc w:val="center"/>
        <w:outlineLvl w:val="1"/>
        <w:rPr>
          <w:rFonts w:ascii="方正小标宋_GBK" w:hAnsi="方正小标宋_GBK" w:eastAsia="方正小标宋_GBK" w:cs="方正小标宋_GBK"/>
          <w:bCs/>
          <w:kern w:val="0"/>
          <w:sz w:val="36"/>
          <w:szCs w:val="36"/>
          <w:highlight w:val="none"/>
        </w:rPr>
      </w:pPr>
      <w:r>
        <w:rPr>
          <w:rFonts w:hint="eastAsia" w:ascii="方正小标宋_GBK" w:hAnsi="方正小标宋_GBK" w:eastAsia="方正小标宋_GBK" w:cs="方正小标宋_GBK"/>
          <w:bCs/>
          <w:kern w:val="0"/>
          <w:sz w:val="36"/>
          <w:szCs w:val="36"/>
          <w:highlight w:val="none"/>
        </w:rPr>
        <w:t>部门（单位）收入总体情况表</w:t>
      </w:r>
    </w:p>
    <w:p>
      <w:pPr>
        <w:widowControl/>
        <w:spacing w:line="440" w:lineRule="exact"/>
        <w:outlineLvl w:val="1"/>
        <w:rPr>
          <w:rFonts w:ascii="仿宋_GB2312" w:hAnsi="宋体" w:eastAsia="仿宋_GB2312"/>
          <w:kern w:val="0"/>
          <w:sz w:val="24"/>
          <w:highlight w:val="none"/>
        </w:rPr>
      </w:pPr>
      <w:r>
        <w:rPr>
          <w:rFonts w:hint="eastAsia" w:ascii="仿宋_GB2312" w:hAnsi="宋体" w:eastAsia="仿宋_GB2312"/>
          <w:kern w:val="0"/>
          <w:sz w:val="24"/>
          <w:highlight w:val="none"/>
        </w:rPr>
        <w:t xml:space="preserve">编制部门（单位）： 昌吉州政府投资项目评审中心           </w:t>
      </w:r>
      <w:r>
        <w:rPr>
          <w:rFonts w:hint="eastAsia" w:ascii="仿宋_GB2312" w:hAnsi="宋体" w:eastAsia="仿宋_GB2312"/>
          <w:kern w:val="0"/>
          <w:sz w:val="24"/>
          <w:highlight w:val="none"/>
          <w:lang w:val="en-US" w:eastAsia="zh-CN"/>
        </w:rPr>
        <w:t xml:space="preserve">    </w:t>
      </w:r>
      <w:r>
        <w:rPr>
          <w:rFonts w:hint="eastAsia" w:ascii="仿宋_GB2312" w:hAnsi="宋体" w:eastAsia="仿宋_GB2312"/>
          <w:kern w:val="0"/>
          <w:sz w:val="24"/>
          <w:highlight w:val="none"/>
        </w:rPr>
        <w:t>单位：万元</w:t>
      </w:r>
    </w:p>
    <w:tbl>
      <w:tblPr>
        <w:tblStyle w:val="6"/>
        <w:tblW w:w="9741" w:type="dxa"/>
        <w:tblInd w:w="-450" w:type="dxa"/>
        <w:tblLayout w:type="fixed"/>
        <w:tblCellMar>
          <w:top w:w="0" w:type="dxa"/>
          <w:left w:w="108" w:type="dxa"/>
          <w:bottom w:w="0" w:type="dxa"/>
          <w:right w:w="108" w:type="dxa"/>
        </w:tblCellMar>
      </w:tblPr>
      <w:tblGrid>
        <w:gridCol w:w="530"/>
        <w:gridCol w:w="437"/>
        <w:gridCol w:w="500"/>
        <w:gridCol w:w="1929"/>
        <w:gridCol w:w="1018"/>
        <w:gridCol w:w="850"/>
        <w:gridCol w:w="709"/>
        <w:gridCol w:w="795"/>
        <w:gridCol w:w="921"/>
        <w:gridCol w:w="660"/>
        <w:gridCol w:w="708"/>
        <w:gridCol w:w="684"/>
      </w:tblGrid>
      <w:tr>
        <w:tblPrEx>
          <w:tblCellMar>
            <w:top w:w="0" w:type="dxa"/>
            <w:left w:w="108" w:type="dxa"/>
            <w:bottom w:w="0" w:type="dxa"/>
            <w:right w:w="108" w:type="dxa"/>
          </w:tblCellMar>
        </w:tblPrEx>
        <w:trPr>
          <w:trHeight w:val="510" w:hRule="atLeast"/>
        </w:trPr>
        <w:tc>
          <w:tcPr>
            <w:tcW w:w="1467"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功能分类科目编码</w:t>
            </w:r>
          </w:p>
        </w:tc>
        <w:tc>
          <w:tcPr>
            <w:tcW w:w="192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单位其他资金收入</w:t>
            </w:r>
          </w:p>
        </w:tc>
      </w:tr>
      <w:tr>
        <w:tblPrEx>
          <w:tblCellMar>
            <w:top w:w="0" w:type="dxa"/>
            <w:left w:w="108" w:type="dxa"/>
            <w:bottom w:w="0" w:type="dxa"/>
            <w:right w:w="108" w:type="dxa"/>
          </w:tblCellMar>
        </w:tblPrEx>
        <w:trPr>
          <w:trHeight w:val="1870" w:hRule="atLeast"/>
        </w:trPr>
        <w:tc>
          <w:tcPr>
            <w:tcW w:w="530"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类</w:t>
            </w:r>
          </w:p>
        </w:tc>
        <w:tc>
          <w:tcPr>
            <w:tcW w:w="43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款</w:t>
            </w:r>
          </w:p>
        </w:tc>
        <w:tc>
          <w:tcPr>
            <w:tcW w:w="500"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项</w:t>
            </w:r>
          </w:p>
        </w:tc>
        <w:tc>
          <w:tcPr>
            <w:tcW w:w="192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r>
      <w:tr>
        <w:tblPrEx>
          <w:tblCellMar>
            <w:top w:w="0" w:type="dxa"/>
            <w:left w:w="108" w:type="dxa"/>
            <w:bottom w:w="0" w:type="dxa"/>
            <w:right w:w="108" w:type="dxa"/>
          </w:tblCellMar>
        </w:tblPrEx>
        <w:trPr>
          <w:trHeight w:val="465" w:hRule="atLeast"/>
        </w:trPr>
        <w:tc>
          <w:tcPr>
            <w:tcW w:w="530" w:type="dxa"/>
            <w:tcBorders>
              <w:top w:val="nil"/>
              <w:left w:val="single" w:color="auto" w:sz="4" w:space="0"/>
              <w:bottom w:val="single" w:color="auto" w:sz="4" w:space="0"/>
              <w:right w:val="single" w:color="auto" w:sz="4" w:space="0"/>
            </w:tcBorders>
            <w:shd w:val="clear" w:color="auto" w:fill="auto"/>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201</w:t>
            </w:r>
          </w:p>
        </w:tc>
        <w:tc>
          <w:tcPr>
            <w:tcW w:w="43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sz w:val="20"/>
                <w:szCs w:val="20"/>
                <w:highlight w:val="none"/>
              </w:rPr>
            </w:pPr>
          </w:p>
        </w:tc>
        <w:tc>
          <w:tcPr>
            <w:tcW w:w="5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sz w:val="20"/>
                <w:szCs w:val="20"/>
                <w:highlight w:val="none"/>
              </w:rPr>
            </w:pPr>
          </w:p>
        </w:tc>
        <w:tc>
          <w:tcPr>
            <w:tcW w:w="1929" w:type="dxa"/>
            <w:tcBorders>
              <w:top w:val="nil"/>
              <w:left w:val="nil"/>
              <w:bottom w:val="single" w:color="auto" w:sz="4" w:space="0"/>
              <w:right w:val="single" w:color="auto" w:sz="4" w:space="0"/>
            </w:tcBorders>
            <w:shd w:val="clear" w:color="auto" w:fill="auto"/>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一般公共服务支出</w:t>
            </w:r>
          </w:p>
        </w:tc>
        <w:tc>
          <w:tcPr>
            <w:tcW w:w="1018" w:type="dxa"/>
            <w:tcBorders>
              <w:top w:val="nil"/>
              <w:left w:val="nil"/>
              <w:bottom w:val="single" w:color="auto" w:sz="4" w:space="0"/>
              <w:right w:val="single" w:color="auto" w:sz="4" w:space="0"/>
            </w:tcBorders>
            <w:shd w:val="clear" w:color="000000" w:fill="FFFFFF"/>
            <w:vAlign w:val="top"/>
          </w:tcPr>
          <w:p>
            <w:pPr>
              <w:widowControl/>
              <w:jc w:val="center"/>
              <w:rPr>
                <w:rFonts w:hint="eastAsia" w:ascii="宋体" w:hAnsi="宋体" w:eastAsia="仿宋_GB2312" w:cs="宋体"/>
                <w:b/>
                <w:bCs/>
                <w:color w:val="000000"/>
                <w:kern w:val="0"/>
                <w:sz w:val="22"/>
                <w:szCs w:val="22"/>
                <w:highlight w:val="none"/>
                <w:lang w:val="en-US" w:eastAsia="zh-CN"/>
              </w:rPr>
            </w:pPr>
            <w:r>
              <w:rPr>
                <w:rFonts w:hint="eastAsia" w:ascii="仿宋_GB2312" w:hAnsi="宋体" w:eastAsia="仿宋_GB2312" w:cs="宋体"/>
                <w:b/>
                <w:color w:val="000000"/>
                <w:kern w:val="0"/>
                <w:sz w:val="20"/>
                <w:szCs w:val="20"/>
                <w:highlight w:val="none"/>
              </w:rPr>
              <w:t>55.8</w:t>
            </w:r>
            <w:r>
              <w:rPr>
                <w:rFonts w:hint="eastAsia" w:ascii="仿宋_GB2312" w:hAnsi="宋体" w:eastAsia="仿宋_GB2312" w:cs="宋体"/>
                <w:b/>
                <w:color w:val="000000"/>
                <w:kern w:val="0"/>
                <w:sz w:val="20"/>
                <w:szCs w:val="20"/>
                <w:highlight w:val="none"/>
                <w:lang w:val="en-US" w:eastAsia="zh-CN"/>
              </w:rPr>
              <w:t>6</w:t>
            </w:r>
          </w:p>
        </w:tc>
        <w:tc>
          <w:tcPr>
            <w:tcW w:w="850" w:type="dxa"/>
            <w:tcBorders>
              <w:top w:val="nil"/>
              <w:left w:val="nil"/>
              <w:bottom w:val="single" w:color="auto" w:sz="4" w:space="0"/>
              <w:right w:val="single" w:color="auto" w:sz="4" w:space="0"/>
            </w:tcBorders>
            <w:shd w:val="clear" w:color="000000" w:fill="FFFFFF"/>
            <w:vAlign w:val="top"/>
          </w:tcPr>
          <w:p>
            <w:pPr>
              <w:widowControl/>
              <w:jc w:val="center"/>
              <w:rPr>
                <w:rFonts w:hint="eastAsia" w:ascii="宋体" w:hAnsi="宋体" w:eastAsia="仿宋_GB2312" w:cs="宋体"/>
                <w:b/>
                <w:bCs/>
                <w:color w:val="000000"/>
                <w:kern w:val="0"/>
                <w:sz w:val="22"/>
                <w:szCs w:val="22"/>
                <w:highlight w:val="none"/>
                <w:lang w:val="en-US" w:eastAsia="zh-CN"/>
              </w:rPr>
            </w:pPr>
            <w:r>
              <w:rPr>
                <w:rFonts w:hint="eastAsia" w:ascii="仿宋_GB2312" w:hAnsi="宋体" w:eastAsia="仿宋_GB2312" w:cs="宋体"/>
                <w:b/>
                <w:color w:val="000000"/>
                <w:kern w:val="0"/>
                <w:sz w:val="20"/>
                <w:szCs w:val="20"/>
                <w:highlight w:val="none"/>
              </w:rPr>
              <w:t>55.8</w:t>
            </w:r>
            <w:r>
              <w:rPr>
                <w:rFonts w:hint="eastAsia" w:ascii="仿宋_GB2312" w:hAnsi="宋体" w:eastAsia="仿宋_GB2312" w:cs="宋体"/>
                <w:b/>
                <w:color w:val="000000"/>
                <w:kern w:val="0"/>
                <w:sz w:val="20"/>
                <w:szCs w:val="20"/>
                <w:highlight w:val="none"/>
                <w:lang w:val="en-US" w:eastAsia="zh-CN"/>
              </w:rPr>
              <w:t>6</w:t>
            </w:r>
          </w:p>
        </w:tc>
        <w:tc>
          <w:tcPr>
            <w:tcW w:w="709"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hint="default" w:ascii="宋体" w:hAnsi="宋体" w:eastAsia="宋体" w:cs="宋体"/>
                <w:b/>
                <w:bCs/>
                <w:color w:val="000000"/>
                <w:kern w:val="0"/>
                <w:sz w:val="22"/>
                <w:szCs w:val="22"/>
                <w:highlight w:val="none"/>
                <w:lang w:val="en-US" w:eastAsia="zh-CN"/>
              </w:rPr>
            </w:pPr>
          </w:p>
        </w:tc>
      </w:tr>
      <w:tr>
        <w:tblPrEx>
          <w:tblCellMar>
            <w:top w:w="0" w:type="dxa"/>
            <w:left w:w="108" w:type="dxa"/>
            <w:bottom w:w="0" w:type="dxa"/>
            <w:right w:w="108" w:type="dxa"/>
          </w:tblCellMar>
        </w:tblPrEx>
        <w:trPr>
          <w:trHeight w:val="465" w:hRule="atLeast"/>
        </w:trPr>
        <w:tc>
          <w:tcPr>
            <w:tcW w:w="530" w:type="dxa"/>
            <w:tcBorders>
              <w:top w:val="nil"/>
              <w:left w:val="single" w:color="auto" w:sz="4" w:space="0"/>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201</w:t>
            </w:r>
          </w:p>
        </w:tc>
        <w:tc>
          <w:tcPr>
            <w:tcW w:w="43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04</w:t>
            </w:r>
          </w:p>
        </w:tc>
        <w:tc>
          <w:tcPr>
            <w:tcW w:w="5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p>
        </w:tc>
        <w:tc>
          <w:tcPr>
            <w:tcW w:w="1929" w:type="dxa"/>
            <w:tcBorders>
              <w:top w:val="nil"/>
              <w:left w:val="nil"/>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发展与改革事务</w:t>
            </w:r>
          </w:p>
        </w:tc>
        <w:tc>
          <w:tcPr>
            <w:tcW w:w="1018"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55.87</w:t>
            </w:r>
          </w:p>
        </w:tc>
        <w:tc>
          <w:tcPr>
            <w:tcW w:w="850"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55.87</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30" w:type="dxa"/>
            <w:tcBorders>
              <w:top w:val="nil"/>
              <w:left w:val="single" w:color="auto" w:sz="4" w:space="0"/>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201</w:t>
            </w:r>
          </w:p>
        </w:tc>
        <w:tc>
          <w:tcPr>
            <w:tcW w:w="43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04</w:t>
            </w:r>
          </w:p>
        </w:tc>
        <w:tc>
          <w:tcPr>
            <w:tcW w:w="5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50</w:t>
            </w:r>
          </w:p>
        </w:tc>
        <w:tc>
          <w:tcPr>
            <w:tcW w:w="1929" w:type="dxa"/>
            <w:tcBorders>
              <w:top w:val="nil"/>
              <w:left w:val="nil"/>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事业运行</w:t>
            </w:r>
          </w:p>
        </w:tc>
        <w:tc>
          <w:tcPr>
            <w:tcW w:w="1018"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55.87</w:t>
            </w:r>
          </w:p>
        </w:tc>
        <w:tc>
          <w:tcPr>
            <w:tcW w:w="850"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55.87</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30" w:type="dxa"/>
            <w:tcBorders>
              <w:top w:val="nil"/>
              <w:left w:val="single" w:color="auto" w:sz="4" w:space="0"/>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208</w:t>
            </w:r>
          </w:p>
        </w:tc>
        <w:tc>
          <w:tcPr>
            <w:tcW w:w="43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p>
        </w:tc>
        <w:tc>
          <w:tcPr>
            <w:tcW w:w="5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p>
        </w:tc>
        <w:tc>
          <w:tcPr>
            <w:tcW w:w="1929" w:type="dxa"/>
            <w:tcBorders>
              <w:top w:val="nil"/>
              <w:left w:val="nil"/>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社会保障和就业支出</w:t>
            </w:r>
          </w:p>
        </w:tc>
        <w:tc>
          <w:tcPr>
            <w:tcW w:w="1018"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7.29</w:t>
            </w:r>
          </w:p>
        </w:tc>
        <w:tc>
          <w:tcPr>
            <w:tcW w:w="850"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7.29</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30" w:type="dxa"/>
            <w:tcBorders>
              <w:top w:val="nil"/>
              <w:left w:val="single" w:color="auto" w:sz="4" w:space="0"/>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208</w:t>
            </w:r>
          </w:p>
        </w:tc>
        <w:tc>
          <w:tcPr>
            <w:tcW w:w="43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05</w:t>
            </w:r>
          </w:p>
        </w:tc>
        <w:tc>
          <w:tcPr>
            <w:tcW w:w="5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p>
        </w:tc>
        <w:tc>
          <w:tcPr>
            <w:tcW w:w="1929" w:type="dxa"/>
            <w:tcBorders>
              <w:top w:val="nil"/>
              <w:left w:val="nil"/>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行政事业单位养老支出</w:t>
            </w:r>
          </w:p>
        </w:tc>
        <w:tc>
          <w:tcPr>
            <w:tcW w:w="1018"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7.29</w:t>
            </w:r>
          </w:p>
        </w:tc>
        <w:tc>
          <w:tcPr>
            <w:tcW w:w="850"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7.29</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30" w:type="dxa"/>
            <w:tcBorders>
              <w:top w:val="nil"/>
              <w:left w:val="single" w:color="auto" w:sz="4" w:space="0"/>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208</w:t>
            </w:r>
          </w:p>
        </w:tc>
        <w:tc>
          <w:tcPr>
            <w:tcW w:w="43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05</w:t>
            </w:r>
          </w:p>
        </w:tc>
        <w:tc>
          <w:tcPr>
            <w:tcW w:w="5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02</w:t>
            </w:r>
          </w:p>
        </w:tc>
        <w:tc>
          <w:tcPr>
            <w:tcW w:w="1929" w:type="dxa"/>
            <w:tcBorders>
              <w:top w:val="nil"/>
              <w:left w:val="nil"/>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事业单位离退休</w:t>
            </w:r>
          </w:p>
        </w:tc>
        <w:tc>
          <w:tcPr>
            <w:tcW w:w="1018"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0.40</w:t>
            </w:r>
          </w:p>
        </w:tc>
        <w:tc>
          <w:tcPr>
            <w:tcW w:w="850"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0.40</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30" w:type="dxa"/>
            <w:tcBorders>
              <w:top w:val="nil"/>
              <w:left w:val="single" w:color="auto" w:sz="4" w:space="0"/>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208</w:t>
            </w:r>
          </w:p>
        </w:tc>
        <w:tc>
          <w:tcPr>
            <w:tcW w:w="43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05</w:t>
            </w:r>
          </w:p>
        </w:tc>
        <w:tc>
          <w:tcPr>
            <w:tcW w:w="5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05</w:t>
            </w:r>
          </w:p>
        </w:tc>
        <w:tc>
          <w:tcPr>
            <w:tcW w:w="1929" w:type="dxa"/>
            <w:tcBorders>
              <w:top w:val="nil"/>
              <w:left w:val="nil"/>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机关事业单位基本养老保险缴费支出</w:t>
            </w:r>
          </w:p>
        </w:tc>
        <w:tc>
          <w:tcPr>
            <w:tcW w:w="1018"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6.89</w:t>
            </w:r>
          </w:p>
        </w:tc>
        <w:tc>
          <w:tcPr>
            <w:tcW w:w="850"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6.89</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30" w:type="dxa"/>
            <w:tcBorders>
              <w:top w:val="nil"/>
              <w:left w:val="single" w:color="auto" w:sz="4" w:space="0"/>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210</w:t>
            </w:r>
          </w:p>
        </w:tc>
        <w:tc>
          <w:tcPr>
            <w:tcW w:w="43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p>
        </w:tc>
        <w:tc>
          <w:tcPr>
            <w:tcW w:w="5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p>
        </w:tc>
        <w:tc>
          <w:tcPr>
            <w:tcW w:w="1929" w:type="dxa"/>
            <w:tcBorders>
              <w:top w:val="nil"/>
              <w:left w:val="nil"/>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卫生健康支出</w:t>
            </w:r>
          </w:p>
        </w:tc>
        <w:tc>
          <w:tcPr>
            <w:tcW w:w="1018"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5.44</w:t>
            </w:r>
          </w:p>
        </w:tc>
        <w:tc>
          <w:tcPr>
            <w:tcW w:w="850"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5.44</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30" w:type="dxa"/>
            <w:tcBorders>
              <w:top w:val="nil"/>
              <w:left w:val="single" w:color="auto" w:sz="4" w:space="0"/>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210</w:t>
            </w:r>
          </w:p>
        </w:tc>
        <w:tc>
          <w:tcPr>
            <w:tcW w:w="43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11</w:t>
            </w:r>
          </w:p>
        </w:tc>
        <w:tc>
          <w:tcPr>
            <w:tcW w:w="5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p>
        </w:tc>
        <w:tc>
          <w:tcPr>
            <w:tcW w:w="1929" w:type="dxa"/>
            <w:tcBorders>
              <w:top w:val="nil"/>
              <w:left w:val="nil"/>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行政事业单位医疗</w:t>
            </w:r>
          </w:p>
        </w:tc>
        <w:tc>
          <w:tcPr>
            <w:tcW w:w="1018"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5.44</w:t>
            </w:r>
          </w:p>
        </w:tc>
        <w:tc>
          <w:tcPr>
            <w:tcW w:w="850"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5.44</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30" w:type="dxa"/>
            <w:tcBorders>
              <w:top w:val="nil"/>
              <w:left w:val="single" w:color="auto" w:sz="4" w:space="0"/>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210</w:t>
            </w:r>
          </w:p>
        </w:tc>
        <w:tc>
          <w:tcPr>
            <w:tcW w:w="43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11</w:t>
            </w:r>
          </w:p>
        </w:tc>
        <w:tc>
          <w:tcPr>
            <w:tcW w:w="5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02</w:t>
            </w:r>
          </w:p>
        </w:tc>
        <w:tc>
          <w:tcPr>
            <w:tcW w:w="1929" w:type="dxa"/>
            <w:tcBorders>
              <w:top w:val="nil"/>
              <w:left w:val="nil"/>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事业单位医疗</w:t>
            </w:r>
          </w:p>
        </w:tc>
        <w:tc>
          <w:tcPr>
            <w:tcW w:w="1018"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4.09</w:t>
            </w:r>
          </w:p>
        </w:tc>
        <w:tc>
          <w:tcPr>
            <w:tcW w:w="850"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4.09</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30" w:type="dxa"/>
            <w:tcBorders>
              <w:top w:val="nil"/>
              <w:left w:val="single" w:color="auto" w:sz="4" w:space="0"/>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210</w:t>
            </w:r>
          </w:p>
        </w:tc>
        <w:tc>
          <w:tcPr>
            <w:tcW w:w="43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11</w:t>
            </w:r>
          </w:p>
        </w:tc>
        <w:tc>
          <w:tcPr>
            <w:tcW w:w="5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03</w:t>
            </w:r>
          </w:p>
        </w:tc>
        <w:tc>
          <w:tcPr>
            <w:tcW w:w="1929" w:type="dxa"/>
            <w:tcBorders>
              <w:top w:val="nil"/>
              <w:left w:val="nil"/>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公务员医疗补助</w:t>
            </w:r>
          </w:p>
        </w:tc>
        <w:tc>
          <w:tcPr>
            <w:tcW w:w="1018"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1.29</w:t>
            </w:r>
          </w:p>
        </w:tc>
        <w:tc>
          <w:tcPr>
            <w:tcW w:w="850"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1.29</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30" w:type="dxa"/>
            <w:tcBorders>
              <w:top w:val="nil"/>
              <w:left w:val="single" w:color="auto" w:sz="4" w:space="0"/>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210</w:t>
            </w:r>
          </w:p>
        </w:tc>
        <w:tc>
          <w:tcPr>
            <w:tcW w:w="43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11</w:t>
            </w:r>
          </w:p>
        </w:tc>
        <w:tc>
          <w:tcPr>
            <w:tcW w:w="5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99</w:t>
            </w:r>
          </w:p>
        </w:tc>
        <w:tc>
          <w:tcPr>
            <w:tcW w:w="1929" w:type="dxa"/>
            <w:tcBorders>
              <w:top w:val="nil"/>
              <w:left w:val="nil"/>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其他行政事业单位医疗支出</w:t>
            </w:r>
          </w:p>
        </w:tc>
        <w:tc>
          <w:tcPr>
            <w:tcW w:w="1018"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0.05</w:t>
            </w:r>
          </w:p>
        </w:tc>
        <w:tc>
          <w:tcPr>
            <w:tcW w:w="850"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0.05</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30" w:type="dxa"/>
            <w:tcBorders>
              <w:top w:val="nil"/>
              <w:left w:val="single" w:color="auto" w:sz="4" w:space="0"/>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221</w:t>
            </w:r>
          </w:p>
        </w:tc>
        <w:tc>
          <w:tcPr>
            <w:tcW w:w="43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p>
        </w:tc>
        <w:tc>
          <w:tcPr>
            <w:tcW w:w="5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p>
        </w:tc>
        <w:tc>
          <w:tcPr>
            <w:tcW w:w="1929" w:type="dxa"/>
            <w:tcBorders>
              <w:top w:val="nil"/>
              <w:left w:val="nil"/>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住房保障支出</w:t>
            </w:r>
          </w:p>
        </w:tc>
        <w:tc>
          <w:tcPr>
            <w:tcW w:w="1018"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6.25</w:t>
            </w:r>
          </w:p>
        </w:tc>
        <w:tc>
          <w:tcPr>
            <w:tcW w:w="850"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6.25</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30" w:type="dxa"/>
            <w:tcBorders>
              <w:top w:val="nil"/>
              <w:left w:val="single" w:color="auto" w:sz="4" w:space="0"/>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221</w:t>
            </w:r>
          </w:p>
        </w:tc>
        <w:tc>
          <w:tcPr>
            <w:tcW w:w="43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02</w:t>
            </w:r>
          </w:p>
        </w:tc>
        <w:tc>
          <w:tcPr>
            <w:tcW w:w="5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p>
        </w:tc>
        <w:tc>
          <w:tcPr>
            <w:tcW w:w="1929" w:type="dxa"/>
            <w:tcBorders>
              <w:top w:val="nil"/>
              <w:left w:val="nil"/>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住房改革支出</w:t>
            </w:r>
          </w:p>
        </w:tc>
        <w:tc>
          <w:tcPr>
            <w:tcW w:w="1018"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6.25</w:t>
            </w:r>
          </w:p>
        </w:tc>
        <w:tc>
          <w:tcPr>
            <w:tcW w:w="850"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6.25</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30" w:type="dxa"/>
            <w:tcBorders>
              <w:top w:val="nil"/>
              <w:left w:val="single" w:color="auto" w:sz="4" w:space="0"/>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221</w:t>
            </w:r>
          </w:p>
        </w:tc>
        <w:tc>
          <w:tcPr>
            <w:tcW w:w="43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02</w:t>
            </w:r>
          </w:p>
        </w:tc>
        <w:tc>
          <w:tcPr>
            <w:tcW w:w="5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01</w:t>
            </w:r>
          </w:p>
        </w:tc>
        <w:tc>
          <w:tcPr>
            <w:tcW w:w="1929" w:type="dxa"/>
            <w:tcBorders>
              <w:top w:val="nil"/>
              <w:left w:val="nil"/>
              <w:bottom w:val="single" w:color="auto" w:sz="4" w:space="0"/>
              <w:right w:val="single" w:color="auto" w:sz="4" w:space="0"/>
            </w:tcBorders>
            <w:vAlign w:val="top"/>
          </w:tcPr>
          <w:p>
            <w:pPr>
              <w:widowControl/>
              <w:jc w:val="center"/>
              <w:rPr>
                <w:rFonts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住房公积金</w:t>
            </w:r>
          </w:p>
        </w:tc>
        <w:tc>
          <w:tcPr>
            <w:tcW w:w="1018"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6.25</w:t>
            </w:r>
          </w:p>
        </w:tc>
        <w:tc>
          <w:tcPr>
            <w:tcW w:w="850"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6.25</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3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p>
        </w:tc>
        <w:tc>
          <w:tcPr>
            <w:tcW w:w="43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p>
        </w:tc>
        <w:tc>
          <w:tcPr>
            <w:tcW w:w="5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p>
        </w:tc>
        <w:tc>
          <w:tcPr>
            <w:tcW w:w="192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3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p>
        </w:tc>
        <w:tc>
          <w:tcPr>
            <w:tcW w:w="43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p>
        </w:tc>
        <w:tc>
          <w:tcPr>
            <w:tcW w:w="5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p>
        </w:tc>
        <w:tc>
          <w:tcPr>
            <w:tcW w:w="192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30"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92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r>
              <w:rPr>
                <w:rFonts w:hint="eastAsia" w:ascii="仿宋_GB2312" w:eastAsia="仿宋_GB2312"/>
                <w:b/>
                <w:bCs/>
                <w:color w:val="000000"/>
                <w:sz w:val="20"/>
                <w:szCs w:val="20"/>
                <w:highlight w:val="none"/>
              </w:rPr>
              <w:t>合  计</w:t>
            </w:r>
            <w:r>
              <w:rPr>
                <w:rFonts w:hint="eastAsia" w:ascii="仿宋_GB2312" w:eastAsia="仿宋_GB2312"/>
                <w:color w:val="000000"/>
                <w:sz w:val="20"/>
                <w:szCs w:val="20"/>
                <w:highlight w:val="none"/>
              </w:rPr>
              <w:t>　</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highlight w:val="none"/>
                <w:lang w:val="en-US" w:eastAsia="zh-CN"/>
              </w:rPr>
            </w:pPr>
            <w:r>
              <w:rPr>
                <w:rFonts w:hint="eastAsia" w:ascii="宋体" w:hAnsi="宋体" w:cs="宋体"/>
                <w:b/>
                <w:bCs/>
                <w:color w:val="000000"/>
                <w:kern w:val="0"/>
                <w:sz w:val="22"/>
                <w:szCs w:val="22"/>
                <w:highlight w:val="none"/>
                <w:lang w:val="en-US" w:eastAsia="zh-CN"/>
              </w:rPr>
              <w:t>74.84</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highlight w:val="none"/>
                <w:lang w:val="en-US" w:eastAsia="zh-CN"/>
              </w:rPr>
            </w:pPr>
            <w:r>
              <w:rPr>
                <w:rFonts w:hint="eastAsia" w:ascii="宋体" w:hAnsi="宋体" w:cs="宋体"/>
                <w:b/>
                <w:bCs/>
                <w:color w:val="000000"/>
                <w:kern w:val="0"/>
                <w:sz w:val="22"/>
                <w:szCs w:val="22"/>
                <w:highlight w:val="none"/>
                <w:lang w:val="en-US" w:eastAsia="zh-CN"/>
              </w:rPr>
              <w:t>74.84</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highlight w:val="none"/>
                <w:lang w:val="en-US" w:eastAsia="zh-CN"/>
              </w:rPr>
            </w:pPr>
          </w:p>
        </w:tc>
      </w:tr>
    </w:tbl>
    <w:p>
      <w:pPr>
        <w:widowControl/>
        <w:spacing w:line="280" w:lineRule="exac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表3</w:t>
      </w:r>
    </w:p>
    <w:p>
      <w:pPr>
        <w:widowControl/>
        <w:spacing w:line="360" w:lineRule="exact"/>
        <w:jc w:val="center"/>
        <w:outlineLvl w:val="1"/>
        <w:rPr>
          <w:rFonts w:ascii="方正小标宋_GBK" w:hAnsi="方正小标宋_GBK" w:eastAsia="方正小标宋_GBK" w:cs="方正小标宋_GBK"/>
          <w:bCs/>
          <w:kern w:val="0"/>
          <w:sz w:val="36"/>
          <w:szCs w:val="36"/>
          <w:highlight w:val="none"/>
        </w:rPr>
      </w:pPr>
      <w:r>
        <w:rPr>
          <w:rFonts w:hint="eastAsia" w:ascii="方正小标宋_GBK" w:hAnsi="方正小标宋_GBK" w:eastAsia="方正小标宋_GBK" w:cs="方正小标宋_GBK"/>
          <w:bCs/>
          <w:kern w:val="0"/>
          <w:sz w:val="36"/>
          <w:szCs w:val="36"/>
          <w:highlight w:val="none"/>
        </w:rPr>
        <w:t>部门（单位）支出总体情况表</w:t>
      </w:r>
    </w:p>
    <w:p>
      <w:pPr>
        <w:widowControl/>
        <w:spacing w:line="440" w:lineRule="exact"/>
        <w:outlineLvl w:val="1"/>
        <w:rPr>
          <w:rFonts w:ascii="仿宋_GB2312" w:hAnsi="宋体" w:eastAsia="仿宋_GB2312"/>
          <w:b/>
          <w:kern w:val="0"/>
          <w:sz w:val="32"/>
          <w:szCs w:val="32"/>
          <w:highlight w:val="none"/>
        </w:rPr>
      </w:pPr>
      <w:r>
        <w:rPr>
          <w:rFonts w:hint="eastAsia" w:ascii="仿宋_GB2312" w:hAnsi="宋体" w:eastAsia="仿宋_GB2312"/>
          <w:kern w:val="0"/>
          <w:sz w:val="24"/>
          <w:highlight w:val="none"/>
        </w:rPr>
        <w:t xml:space="preserve">编制部门（单位）： 昌吉州政府投资项目评审中心           </w:t>
      </w:r>
      <w:r>
        <w:rPr>
          <w:rFonts w:hint="eastAsia" w:ascii="仿宋_GB2312" w:hAnsi="宋体" w:eastAsia="仿宋_GB2312"/>
          <w:kern w:val="0"/>
          <w:sz w:val="24"/>
          <w:highlight w:val="none"/>
          <w:lang w:val="en-US" w:eastAsia="zh-CN"/>
        </w:rPr>
        <w:t xml:space="preserve">    </w:t>
      </w:r>
      <w:r>
        <w:rPr>
          <w:rFonts w:hint="eastAsia" w:ascii="仿宋_GB2312" w:hAnsi="宋体" w:eastAsia="仿宋_GB2312"/>
          <w:kern w:val="0"/>
          <w:sz w:val="24"/>
          <w:highlight w:val="none"/>
        </w:rPr>
        <w:t>单位：万元</w:t>
      </w:r>
    </w:p>
    <w:tbl>
      <w:tblPr>
        <w:tblStyle w:val="6"/>
        <w:tblW w:w="9455" w:type="dxa"/>
        <w:tblInd w:w="-240" w:type="dxa"/>
        <w:tblLayout w:type="fixed"/>
        <w:tblCellMar>
          <w:top w:w="0" w:type="dxa"/>
          <w:left w:w="108" w:type="dxa"/>
          <w:bottom w:w="0" w:type="dxa"/>
          <w:right w:w="108" w:type="dxa"/>
        </w:tblCellMar>
      </w:tblPr>
      <w:tblGrid>
        <w:gridCol w:w="520"/>
        <w:gridCol w:w="480"/>
        <w:gridCol w:w="470"/>
        <w:gridCol w:w="2370"/>
        <w:gridCol w:w="1855"/>
        <w:gridCol w:w="1856"/>
        <w:gridCol w:w="1904"/>
      </w:tblGrid>
      <w:tr>
        <w:tblPrEx>
          <w:tblCellMar>
            <w:top w:w="0" w:type="dxa"/>
            <w:left w:w="108" w:type="dxa"/>
            <w:bottom w:w="0" w:type="dxa"/>
            <w:right w:w="108" w:type="dxa"/>
          </w:tblCellMar>
        </w:tblPrEx>
        <w:trPr>
          <w:trHeight w:val="345" w:hRule="atLeast"/>
        </w:trPr>
        <w:tc>
          <w:tcPr>
            <w:tcW w:w="3840"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支出预算</w:t>
            </w:r>
          </w:p>
        </w:tc>
      </w:tr>
      <w:tr>
        <w:tblPrEx>
          <w:tblCellMar>
            <w:top w:w="0" w:type="dxa"/>
            <w:left w:w="108" w:type="dxa"/>
            <w:bottom w:w="0" w:type="dxa"/>
            <w:right w:w="108" w:type="dxa"/>
          </w:tblCellMar>
        </w:tblPrEx>
        <w:trPr>
          <w:trHeight w:val="480" w:hRule="atLeast"/>
        </w:trPr>
        <w:tc>
          <w:tcPr>
            <w:tcW w:w="1470"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功能分类科目编码</w:t>
            </w:r>
          </w:p>
        </w:tc>
        <w:tc>
          <w:tcPr>
            <w:tcW w:w="2370" w:type="dxa"/>
            <w:vMerge w:val="restart"/>
            <w:tcBorders>
              <w:top w:val="nil"/>
              <w:left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功能分类科目名称</w:t>
            </w:r>
          </w:p>
        </w:tc>
        <w:tc>
          <w:tcPr>
            <w:tcW w:w="1855" w:type="dxa"/>
            <w:vMerge w:val="restart"/>
            <w:tcBorders>
              <w:top w:val="nil"/>
              <w:left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合  计</w:t>
            </w:r>
          </w:p>
        </w:tc>
        <w:tc>
          <w:tcPr>
            <w:tcW w:w="1856" w:type="dxa"/>
            <w:vMerge w:val="restart"/>
            <w:tcBorders>
              <w:top w:val="nil"/>
              <w:left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基本支出</w:t>
            </w:r>
          </w:p>
        </w:tc>
        <w:tc>
          <w:tcPr>
            <w:tcW w:w="1904" w:type="dxa"/>
            <w:vMerge w:val="restart"/>
            <w:tcBorders>
              <w:top w:val="nil"/>
              <w:left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项目支出</w:t>
            </w:r>
          </w:p>
        </w:tc>
      </w:tr>
      <w:tr>
        <w:tblPrEx>
          <w:tblCellMar>
            <w:top w:w="0" w:type="dxa"/>
            <w:left w:w="108" w:type="dxa"/>
            <w:bottom w:w="0" w:type="dxa"/>
            <w:right w:w="108" w:type="dxa"/>
          </w:tblCellMar>
        </w:tblPrEx>
        <w:trPr>
          <w:trHeight w:val="430" w:hRule="atLeast"/>
        </w:trPr>
        <w:tc>
          <w:tcPr>
            <w:tcW w:w="52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类</w:t>
            </w: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款</w:t>
            </w:r>
          </w:p>
        </w:tc>
        <w:tc>
          <w:tcPr>
            <w:tcW w:w="4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项</w:t>
            </w:r>
          </w:p>
        </w:tc>
        <w:tc>
          <w:tcPr>
            <w:tcW w:w="2370" w:type="dxa"/>
            <w:vMerge w:val="continue"/>
            <w:tcBorders>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highlight w:val="none"/>
              </w:rPr>
            </w:pPr>
          </w:p>
        </w:tc>
        <w:tc>
          <w:tcPr>
            <w:tcW w:w="1855" w:type="dxa"/>
            <w:vMerge w:val="continue"/>
            <w:tcBorders>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highlight w:val="none"/>
              </w:rPr>
            </w:pPr>
          </w:p>
        </w:tc>
        <w:tc>
          <w:tcPr>
            <w:tcW w:w="1856" w:type="dxa"/>
            <w:vMerge w:val="continue"/>
            <w:tcBorders>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highlight w:val="none"/>
              </w:rPr>
            </w:pPr>
          </w:p>
        </w:tc>
        <w:tc>
          <w:tcPr>
            <w:tcW w:w="1904" w:type="dxa"/>
            <w:vMerge w:val="continue"/>
            <w:tcBorders>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highlight w:val="none"/>
              </w:rPr>
            </w:pPr>
          </w:p>
        </w:tc>
      </w:tr>
      <w:tr>
        <w:tblPrEx>
          <w:tblCellMar>
            <w:top w:w="0" w:type="dxa"/>
            <w:left w:w="108" w:type="dxa"/>
            <w:bottom w:w="0" w:type="dxa"/>
            <w:right w:w="108" w:type="dxa"/>
          </w:tblCellMar>
        </w:tblPrEx>
        <w:trPr>
          <w:trHeight w:val="405" w:hRule="atLeast"/>
        </w:trPr>
        <w:tc>
          <w:tcPr>
            <w:tcW w:w="520" w:type="dxa"/>
            <w:tcBorders>
              <w:top w:val="nil"/>
              <w:left w:val="single" w:color="auto" w:sz="4" w:space="0"/>
              <w:bottom w:val="single" w:color="auto" w:sz="4" w:space="0"/>
              <w:right w:val="single" w:color="auto" w:sz="4" w:space="0"/>
            </w:tcBorders>
            <w:vAlign w:val="top"/>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rPr>
              <w:t>201</w:t>
            </w:r>
          </w:p>
        </w:tc>
        <w:tc>
          <w:tcPr>
            <w:tcW w:w="48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47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2370"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一般公共服务支出</w:t>
            </w:r>
          </w:p>
        </w:tc>
        <w:tc>
          <w:tcPr>
            <w:tcW w:w="1855" w:type="dxa"/>
            <w:tcBorders>
              <w:top w:val="nil"/>
              <w:left w:val="nil"/>
              <w:bottom w:val="single" w:color="auto" w:sz="4" w:space="0"/>
              <w:right w:val="single" w:color="auto" w:sz="4" w:space="0"/>
            </w:tcBorders>
            <w:vAlign w:val="top"/>
          </w:tcPr>
          <w:p>
            <w:pPr>
              <w:widowControl/>
              <w:jc w:val="center"/>
              <w:rPr>
                <w:rFonts w:hint="eastAsia" w:ascii="宋体" w:hAnsi="宋体" w:eastAsia="仿宋_GB2312" w:cs="宋体"/>
                <w:b/>
                <w:bCs/>
                <w:color w:val="000000"/>
                <w:kern w:val="0"/>
                <w:sz w:val="22"/>
                <w:szCs w:val="22"/>
                <w:highlight w:val="none"/>
                <w:lang w:val="en-US" w:eastAsia="zh-CN"/>
              </w:rPr>
            </w:pPr>
            <w:r>
              <w:rPr>
                <w:rFonts w:hint="eastAsia" w:ascii="仿宋_GB2312" w:hAnsi="宋体" w:eastAsia="仿宋_GB2312" w:cs="宋体"/>
                <w:b/>
                <w:color w:val="000000"/>
                <w:kern w:val="0"/>
                <w:sz w:val="20"/>
                <w:szCs w:val="20"/>
                <w:highlight w:val="none"/>
              </w:rPr>
              <w:t>55.8</w:t>
            </w:r>
            <w:r>
              <w:rPr>
                <w:rFonts w:hint="eastAsia" w:ascii="仿宋_GB2312" w:hAnsi="宋体" w:eastAsia="仿宋_GB2312" w:cs="宋体"/>
                <w:b/>
                <w:color w:val="000000"/>
                <w:kern w:val="0"/>
                <w:sz w:val="20"/>
                <w:szCs w:val="20"/>
                <w:highlight w:val="none"/>
                <w:lang w:val="en-US" w:eastAsia="zh-CN"/>
              </w:rPr>
              <w:t>6</w:t>
            </w:r>
          </w:p>
        </w:tc>
        <w:tc>
          <w:tcPr>
            <w:tcW w:w="1856" w:type="dxa"/>
            <w:tcBorders>
              <w:top w:val="nil"/>
              <w:left w:val="nil"/>
              <w:bottom w:val="single" w:color="auto" w:sz="4" w:space="0"/>
              <w:right w:val="single" w:color="auto" w:sz="4" w:space="0"/>
            </w:tcBorders>
            <w:vAlign w:val="top"/>
          </w:tcPr>
          <w:p>
            <w:pPr>
              <w:widowControl/>
              <w:jc w:val="center"/>
              <w:rPr>
                <w:rFonts w:hint="eastAsia" w:ascii="宋体" w:hAnsi="宋体" w:eastAsia="仿宋_GB2312" w:cs="宋体"/>
                <w:b/>
                <w:bCs/>
                <w:color w:val="000000"/>
                <w:kern w:val="0"/>
                <w:sz w:val="22"/>
                <w:szCs w:val="22"/>
                <w:highlight w:val="none"/>
                <w:lang w:val="en-US" w:eastAsia="zh-CN"/>
              </w:rPr>
            </w:pPr>
            <w:r>
              <w:rPr>
                <w:rFonts w:hint="eastAsia" w:ascii="仿宋_GB2312" w:hAnsi="宋体" w:eastAsia="仿宋_GB2312" w:cs="宋体"/>
                <w:b/>
                <w:color w:val="000000"/>
                <w:kern w:val="0"/>
                <w:sz w:val="20"/>
                <w:szCs w:val="20"/>
                <w:highlight w:val="none"/>
              </w:rPr>
              <w:t>55.8</w:t>
            </w:r>
            <w:r>
              <w:rPr>
                <w:rFonts w:hint="eastAsia" w:ascii="仿宋_GB2312" w:hAnsi="宋体" w:eastAsia="仿宋_GB2312" w:cs="宋体"/>
                <w:b/>
                <w:color w:val="000000"/>
                <w:kern w:val="0"/>
                <w:sz w:val="20"/>
                <w:szCs w:val="20"/>
                <w:highlight w:val="none"/>
                <w:lang w:val="en-US" w:eastAsia="zh-CN"/>
              </w:rPr>
              <w:t>6</w:t>
            </w:r>
          </w:p>
        </w:tc>
        <w:tc>
          <w:tcPr>
            <w:tcW w:w="1904"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20" w:type="dxa"/>
            <w:tcBorders>
              <w:top w:val="nil"/>
              <w:left w:val="single" w:color="auto" w:sz="4" w:space="0"/>
              <w:bottom w:val="single" w:color="auto" w:sz="4" w:space="0"/>
              <w:right w:val="single" w:color="auto" w:sz="4" w:space="0"/>
            </w:tcBorders>
            <w:vAlign w:val="top"/>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rPr>
              <w:t>201</w:t>
            </w:r>
          </w:p>
        </w:tc>
        <w:tc>
          <w:tcPr>
            <w:tcW w:w="48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04</w:t>
            </w:r>
          </w:p>
        </w:tc>
        <w:tc>
          <w:tcPr>
            <w:tcW w:w="47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2370"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发展与改革事务</w:t>
            </w:r>
          </w:p>
        </w:tc>
        <w:tc>
          <w:tcPr>
            <w:tcW w:w="1855" w:type="dxa"/>
            <w:tcBorders>
              <w:top w:val="nil"/>
              <w:left w:val="nil"/>
              <w:bottom w:val="single" w:color="auto" w:sz="4" w:space="0"/>
              <w:right w:val="single" w:color="auto" w:sz="4" w:space="0"/>
            </w:tcBorders>
            <w:vAlign w:val="top"/>
          </w:tcPr>
          <w:p>
            <w:pPr>
              <w:widowControl/>
              <w:jc w:val="center"/>
              <w:rPr>
                <w:rFonts w:hint="eastAsia" w:ascii="宋体" w:hAnsi="宋体" w:eastAsia="仿宋_GB2312" w:cs="宋体"/>
                <w:b/>
                <w:bCs/>
                <w:color w:val="000000"/>
                <w:kern w:val="0"/>
                <w:sz w:val="22"/>
                <w:szCs w:val="22"/>
                <w:highlight w:val="none"/>
                <w:lang w:val="en-US" w:eastAsia="zh-CN"/>
              </w:rPr>
            </w:pPr>
            <w:r>
              <w:rPr>
                <w:rFonts w:hint="eastAsia" w:ascii="仿宋_GB2312" w:hAnsi="宋体" w:eastAsia="仿宋_GB2312" w:cs="宋体"/>
                <w:b/>
                <w:color w:val="000000"/>
                <w:kern w:val="0"/>
                <w:sz w:val="20"/>
                <w:szCs w:val="20"/>
                <w:highlight w:val="none"/>
              </w:rPr>
              <w:t>55.8</w:t>
            </w:r>
            <w:r>
              <w:rPr>
                <w:rFonts w:hint="eastAsia" w:ascii="仿宋_GB2312" w:hAnsi="宋体" w:eastAsia="仿宋_GB2312" w:cs="宋体"/>
                <w:b/>
                <w:color w:val="000000"/>
                <w:kern w:val="0"/>
                <w:sz w:val="20"/>
                <w:szCs w:val="20"/>
                <w:highlight w:val="none"/>
                <w:lang w:val="en-US" w:eastAsia="zh-CN"/>
              </w:rPr>
              <w:t>6</w:t>
            </w:r>
          </w:p>
        </w:tc>
        <w:tc>
          <w:tcPr>
            <w:tcW w:w="1856" w:type="dxa"/>
            <w:tcBorders>
              <w:top w:val="nil"/>
              <w:left w:val="nil"/>
              <w:bottom w:val="single" w:color="auto" w:sz="4" w:space="0"/>
              <w:right w:val="single" w:color="auto" w:sz="4" w:space="0"/>
            </w:tcBorders>
            <w:vAlign w:val="top"/>
          </w:tcPr>
          <w:p>
            <w:pPr>
              <w:widowControl/>
              <w:jc w:val="center"/>
              <w:rPr>
                <w:rFonts w:hint="eastAsia" w:ascii="宋体" w:hAnsi="宋体" w:eastAsia="仿宋_GB2312" w:cs="宋体"/>
                <w:b/>
                <w:bCs/>
                <w:color w:val="000000"/>
                <w:kern w:val="0"/>
                <w:sz w:val="22"/>
                <w:szCs w:val="22"/>
                <w:highlight w:val="none"/>
                <w:lang w:val="en-US" w:eastAsia="zh-CN"/>
              </w:rPr>
            </w:pPr>
            <w:r>
              <w:rPr>
                <w:rFonts w:hint="eastAsia" w:ascii="仿宋_GB2312" w:hAnsi="宋体" w:eastAsia="仿宋_GB2312" w:cs="宋体"/>
                <w:b/>
                <w:color w:val="000000"/>
                <w:kern w:val="0"/>
                <w:sz w:val="20"/>
                <w:szCs w:val="20"/>
                <w:highlight w:val="none"/>
              </w:rPr>
              <w:t>55.8</w:t>
            </w:r>
            <w:r>
              <w:rPr>
                <w:rFonts w:hint="eastAsia" w:ascii="仿宋_GB2312" w:hAnsi="宋体" w:eastAsia="仿宋_GB2312" w:cs="宋体"/>
                <w:b/>
                <w:color w:val="000000"/>
                <w:kern w:val="0"/>
                <w:sz w:val="20"/>
                <w:szCs w:val="20"/>
                <w:highlight w:val="none"/>
                <w:lang w:val="en-US" w:eastAsia="zh-CN"/>
              </w:rPr>
              <w:t>6</w:t>
            </w:r>
          </w:p>
        </w:tc>
        <w:tc>
          <w:tcPr>
            <w:tcW w:w="1904"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20" w:type="dxa"/>
            <w:tcBorders>
              <w:top w:val="nil"/>
              <w:left w:val="single" w:color="auto" w:sz="4" w:space="0"/>
              <w:bottom w:val="single" w:color="auto" w:sz="4" w:space="0"/>
              <w:right w:val="single" w:color="auto" w:sz="4" w:space="0"/>
            </w:tcBorders>
            <w:vAlign w:val="top"/>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rPr>
              <w:t>201</w:t>
            </w:r>
          </w:p>
        </w:tc>
        <w:tc>
          <w:tcPr>
            <w:tcW w:w="48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04</w:t>
            </w:r>
          </w:p>
        </w:tc>
        <w:tc>
          <w:tcPr>
            <w:tcW w:w="47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50</w:t>
            </w:r>
          </w:p>
        </w:tc>
        <w:tc>
          <w:tcPr>
            <w:tcW w:w="2370"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事业运行</w:t>
            </w:r>
          </w:p>
        </w:tc>
        <w:tc>
          <w:tcPr>
            <w:tcW w:w="1855" w:type="dxa"/>
            <w:tcBorders>
              <w:top w:val="nil"/>
              <w:left w:val="nil"/>
              <w:bottom w:val="single" w:color="auto" w:sz="4" w:space="0"/>
              <w:right w:val="single" w:color="auto" w:sz="4" w:space="0"/>
            </w:tcBorders>
            <w:vAlign w:val="top"/>
          </w:tcPr>
          <w:p>
            <w:pPr>
              <w:widowControl/>
              <w:jc w:val="center"/>
              <w:rPr>
                <w:rFonts w:hint="eastAsia" w:ascii="宋体" w:hAnsi="宋体" w:eastAsia="仿宋_GB2312" w:cs="宋体"/>
                <w:b/>
                <w:bCs/>
                <w:color w:val="000000"/>
                <w:kern w:val="0"/>
                <w:sz w:val="22"/>
                <w:szCs w:val="22"/>
                <w:highlight w:val="none"/>
                <w:lang w:val="en-US" w:eastAsia="zh-CN"/>
              </w:rPr>
            </w:pPr>
            <w:r>
              <w:rPr>
                <w:rFonts w:hint="eastAsia" w:ascii="仿宋_GB2312" w:hAnsi="宋体" w:eastAsia="仿宋_GB2312" w:cs="宋体"/>
                <w:b/>
                <w:color w:val="000000"/>
                <w:kern w:val="0"/>
                <w:sz w:val="20"/>
                <w:szCs w:val="20"/>
                <w:highlight w:val="none"/>
              </w:rPr>
              <w:t>55.8</w:t>
            </w:r>
            <w:r>
              <w:rPr>
                <w:rFonts w:hint="eastAsia" w:ascii="仿宋_GB2312" w:hAnsi="宋体" w:eastAsia="仿宋_GB2312" w:cs="宋体"/>
                <w:b/>
                <w:color w:val="000000"/>
                <w:kern w:val="0"/>
                <w:sz w:val="20"/>
                <w:szCs w:val="20"/>
                <w:highlight w:val="none"/>
                <w:lang w:val="en-US" w:eastAsia="zh-CN"/>
              </w:rPr>
              <w:t>6</w:t>
            </w:r>
          </w:p>
        </w:tc>
        <w:tc>
          <w:tcPr>
            <w:tcW w:w="1856" w:type="dxa"/>
            <w:tcBorders>
              <w:top w:val="nil"/>
              <w:left w:val="nil"/>
              <w:bottom w:val="single" w:color="auto" w:sz="4" w:space="0"/>
              <w:right w:val="single" w:color="auto" w:sz="4" w:space="0"/>
            </w:tcBorders>
            <w:vAlign w:val="top"/>
          </w:tcPr>
          <w:p>
            <w:pPr>
              <w:widowControl/>
              <w:jc w:val="center"/>
              <w:rPr>
                <w:rFonts w:hint="eastAsia" w:ascii="宋体" w:hAnsi="宋体" w:eastAsia="仿宋_GB2312" w:cs="宋体"/>
                <w:b/>
                <w:bCs/>
                <w:color w:val="000000"/>
                <w:kern w:val="0"/>
                <w:sz w:val="22"/>
                <w:szCs w:val="22"/>
                <w:highlight w:val="none"/>
                <w:lang w:val="en-US" w:eastAsia="zh-CN"/>
              </w:rPr>
            </w:pPr>
            <w:r>
              <w:rPr>
                <w:rFonts w:hint="eastAsia" w:ascii="仿宋_GB2312" w:hAnsi="宋体" w:eastAsia="仿宋_GB2312" w:cs="宋体"/>
                <w:b/>
                <w:color w:val="000000"/>
                <w:kern w:val="0"/>
                <w:sz w:val="20"/>
                <w:szCs w:val="20"/>
                <w:highlight w:val="none"/>
              </w:rPr>
              <w:t>55.8</w:t>
            </w:r>
            <w:r>
              <w:rPr>
                <w:rFonts w:hint="eastAsia" w:ascii="仿宋_GB2312" w:hAnsi="宋体" w:eastAsia="仿宋_GB2312" w:cs="宋体"/>
                <w:b/>
                <w:color w:val="000000"/>
                <w:kern w:val="0"/>
                <w:sz w:val="20"/>
                <w:szCs w:val="20"/>
                <w:highlight w:val="none"/>
                <w:lang w:val="en-US" w:eastAsia="zh-CN"/>
              </w:rPr>
              <w:t>6</w:t>
            </w:r>
          </w:p>
        </w:tc>
        <w:tc>
          <w:tcPr>
            <w:tcW w:w="1904"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20" w:type="dxa"/>
            <w:tcBorders>
              <w:top w:val="nil"/>
              <w:left w:val="single" w:color="auto" w:sz="4" w:space="0"/>
              <w:bottom w:val="single" w:color="auto" w:sz="4" w:space="0"/>
              <w:right w:val="single" w:color="auto" w:sz="4" w:space="0"/>
            </w:tcBorders>
            <w:vAlign w:val="top"/>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rPr>
              <w:t>208</w:t>
            </w:r>
          </w:p>
        </w:tc>
        <w:tc>
          <w:tcPr>
            <w:tcW w:w="48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47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2370"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社会保障和就业支出</w:t>
            </w:r>
          </w:p>
        </w:tc>
        <w:tc>
          <w:tcPr>
            <w:tcW w:w="1855"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7.29</w:t>
            </w:r>
          </w:p>
        </w:tc>
        <w:tc>
          <w:tcPr>
            <w:tcW w:w="1856"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7.29</w:t>
            </w:r>
          </w:p>
        </w:tc>
        <w:tc>
          <w:tcPr>
            <w:tcW w:w="1904"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20" w:type="dxa"/>
            <w:tcBorders>
              <w:top w:val="nil"/>
              <w:left w:val="single" w:color="auto" w:sz="4" w:space="0"/>
              <w:bottom w:val="single" w:color="auto" w:sz="4" w:space="0"/>
              <w:right w:val="single" w:color="auto" w:sz="4" w:space="0"/>
            </w:tcBorders>
            <w:vAlign w:val="top"/>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rPr>
              <w:t>208</w:t>
            </w:r>
          </w:p>
        </w:tc>
        <w:tc>
          <w:tcPr>
            <w:tcW w:w="48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05</w:t>
            </w:r>
          </w:p>
        </w:tc>
        <w:tc>
          <w:tcPr>
            <w:tcW w:w="47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2370"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行政事业单位养老支出</w:t>
            </w:r>
          </w:p>
        </w:tc>
        <w:tc>
          <w:tcPr>
            <w:tcW w:w="1855"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7.29</w:t>
            </w:r>
          </w:p>
        </w:tc>
        <w:tc>
          <w:tcPr>
            <w:tcW w:w="1856"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7.29</w:t>
            </w:r>
          </w:p>
        </w:tc>
        <w:tc>
          <w:tcPr>
            <w:tcW w:w="1904"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20" w:type="dxa"/>
            <w:tcBorders>
              <w:top w:val="nil"/>
              <w:left w:val="single" w:color="auto" w:sz="4" w:space="0"/>
              <w:bottom w:val="single" w:color="auto" w:sz="4" w:space="0"/>
              <w:right w:val="single" w:color="auto" w:sz="4" w:space="0"/>
            </w:tcBorders>
            <w:vAlign w:val="top"/>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rPr>
              <w:t>208</w:t>
            </w:r>
          </w:p>
        </w:tc>
        <w:tc>
          <w:tcPr>
            <w:tcW w:w="48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05</w:t>
            </w:r>
          </w:p>
        </w:tc>
        <w:tc>
          <w:tcPr>
            <w:tcW w:w="47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02</w:t>
            </w:r>
          </w:p>
        </w:tc>
        <w:tc>
          <w:tcPr>
            <w:tcW w:w="2370"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事业单位离退休</w:t>
            </w:r>
          </w:p>
        </w:tc>
        <w:tc>
          <w:tcPr>
            <w:tcW w:w="1855"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0.40</w:t>
            </w:r>
          </w:p>
        </w:tc>
        <w:tc>
          <w:tcPr>
            <w:tcW w:w="1856"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0.40</w:t>
            </w:r>
          </w:p>
        </w:tc>
        <w:tc>
          <w:tcPr>
            <w:tcW w:w="1904"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20" w:type="dxa"/>
            <w:tcBorders>
              <w:top w:val="nil"/>
              <w:left w:val="single" w:color="auto" w:sz="4" w:space="0"/>
              <w:bottom w:val="single" w:color="auto" w:sz="4" w:space="0"/>
              <w:right w:val="single" w:color="auto" w:sz="4" w:space="0"/>
            </w:tcBorders>
            <w:vAlign w:val="top"/>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rPr>
              <w:t>208</w:t>
            </w:r>
          </w:p>
        </w:tc>
        <w:tc>
          <w:tcPr>
            <w:tcW w:w="48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05</w:t>
            </w:r>
          </w:p>
        </w:tc>
        <w:tc>
          <w:tcPr>
            <w:tcW w:w="47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05</w:t>
            </w:r>
          </w:p>
        </w:tc>
        <w:tc>
          <w:tcPr>
            <w:tcW w:w="2370"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机关事业单位基本养老保险缴费支出</w:t>
            </w:r>
          </w:p>
        </w:tc>
        <w:tc>
          <w:tcPr>
            <w:tcW w:w="1855"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6.89</w:t>
            </w:r>
          </w:p>
        </w:tc>
        <w:tc>
          <w:tcPr>
            <w:tcW w:w="1856"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6.89</w:t>
            </w:r>
          </w:p>
        </w:tc>
        <w:tc>
          <w:tcPr>
            <w:tcW w:w="1904"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20" w:type="dxa"/>
            <w:tcBorders>
              <w:top w:val="nil"/>
              <w:left w:val="single" w:color="auto" w:sz="4" w:space="0"/>
              <w:bottom w:val="single" w:color="auto" w:sz="4" w:space="0"/>
              <w:right w:val="single" w:color="auto" w:sz="4" w:space="0"/>
            </w:tcBorders>
            <w:vAlign w:val="top"/>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rPr>
              <w:t>210</w:t>
            </w:r>
          </w:p>
        </w:tc>
        <w:tc>
          <w:tcPr>
            <w:tcW w:w="48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47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2370"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卫生健康支出</w:t>
            </w:r>
          </w:p>
        </w:tc>
        <w:tc>
          <w:tcPr>
            <w:tcW w:w="1855"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5.44</w:t>
            </w:r>
          </w:p>
        </w:tc>
        <w:tc>
          <w:tcPr>
            <w:tcW w:w="1856"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5.44</w:t>
            </w:r>
          </w:p>
        </w:tc>
        <w:tc>
          <w:tcPr>
            <w:tcW w:w="1904"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20" w:type="dxa"/>
            <w:tcBorders>
              <w:top w:val="nil"/>
              <w:left w:val="single" w:color="auto" w:sz="4" w:space="0"/>
              <w:bottom w:val="single" w:color="auto" w:sz="4" w:space="0"/>
              <w:right w:val="single" w:color="auto" w:sz="4" w:space="0"/>
            </w:tcBorders>
            <w:vAlign w:val="top"/>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rPr>
              <w:t>210</w:t>
            </w:r>
          </w:p>
        </w:tc>
        <w:tc>
          <w:tcPr>
            <w:tcW w:w="48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11</w:t>
            </w:r>
          </w:p>
        </w:tc>
        <w:tc>
          <w:tcPr>
            <w:tcW w:w="47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2370"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行政事业单位医疗</w:t>
            </w:r>
          </w:p>
        </w:tc>
        <w:tc>
          <w:tcPr>
            <w:tcW w:w="1855"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5.44</w:t>
            </w:r>
          </w:p>
        </w:tc>
        <w:tc>
          <w:tcPr>
            <w:tcW w:w="1856"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5.44</w:t>
            </w:r>
          </w:p>
        </w:tc>
        <w:tc>
          <w:tcPr>
            <w:tcW w:w="1904"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20" w:type="dxa"/>
            <w:tcBorders>
              <w:top w:val="nil"/>
              <w:left w:val="single" w:color="auto" w:sz="4" w:space="0"/>
              <w:bottom w:val="single" w:color="auto" w:sz="4" w:space="0"/>
              <w:right w:val="single" w:color="auto" w:sz="4" w:space="0"/>
            </w:tcBorders>
            <w:vAlign w:val="top"/>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rPr>
              <w:t>210</w:t>
            </w:r>
          </w:p>
        </w:tc>
        <w:tc>
          <w:tcPr>
            <w:tcW w:w="48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11</w:t>
            </w:r>
          </w:p>
        </w:tc>
        <w:tc>
          <w:tcPr>
            <w:tcW w:w="47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02</w:t>
            </w:r>
          </w:p>
        </w:tc>
        <w:tc>
          <w:tcPr>
            <w:tcW w:w="2370"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事业单位医疗</w:t>
            </w:r>
          </w:p>
        </w:tc>
        <w:tc>
          <w:tcPr>
            <w:tcW w:w="1855"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4.09</w:t>
            </w:r>
          </w:p>
        </w:tc>
        <w:tc>
          <w:tcPr>
            <w:tcW w:w="1856"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4.09</w:t>
            </w:r>
          </w:p>
        </w:tc>
        <w:tc>
          <w:tcPr>
            <w:tcW w:w="1904"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20" w:type="dxa"/>
            <w:tcBorders>
              <w:top w:val="nil"/>
              <w:left w:val="single" w:color="auto" w:sz="4" w:space="0"/>
              <w:bottom w:val="single" w:color="auto" w:sz="4" w:space="0"/>
              <w:right w:val="single" w:color="auto" w:sz="4" w:space="0"/>
            </w:tcBorders>
            <w:vAlign w:val="top"/>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rPr>
              <w:t>210</w:t>
            </w:r>
          </w:p>
        </w:tc>
        <w:tc>
          <w:tcPr>
            <w:tcW w:w="48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11</w:t>
            </w:r>
          </w:p>
        </w:tc>
        <w:tc>
          <w:tcPr>
            <w:tcW w:w="47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03</w:t>
            </w:r>
          </w:p>
        </w:tc>
        <w:tc>
          <w:tcPr>
            <w:tcW w:w="2370"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公务员医疗补助</w:t>
            </w:r>
          </w:p>
        </w:tc>
        <w:tc>
          <w:tcPr>
            <w:tcW w:w="1855"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1.29</w:t>
            </w:r>
          </w:p>
        </w:tc>
        <w:tc>
          <w:tcPr>
            <w:tcW w:w="1856"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1.29</w:t>
            </w:r>
          </w:p>
        </w:tc>
        <w:tc>
          <w:tcPr>
            <w:tcW w:w="1904"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20" w:type="dxa"/>
            <w:tcBorders>
              <w:top w:val="nil"/>
              <w:left w:val="single" w:color="auto" w:sz="4" w:space="0"/>
              <w:bottom w:val="single" w:color="auto" w:sz="4" w:space="0"/>
              <w:right w:val="single" w:color="auto" w:sz="4" w:space="0"/>
            </w:tcBorders>
            <w:vAlign w:val="top"/>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rPr>
              <w:t>210</w:t>
            </w:r>
          </w:p>
        </w:tc>
        <w:tc>
          <w:tcPr>
            <w:tcW w:w="48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11</w:t>
            </w:r>
          </w:p>
        </w:tc>
        <w:tc>
          <w:tcPr>
            <w:tcW w:w="47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99</w:t>
            </w:r>
          </w:p>
        </w:tc>
        <w:tc>
          <w:tcPr>
            <w:tcW w:w="2370"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其他行政事业单位医疗支出</w:t>
            </w:r>
          </w:p>
        </w:tc>
        <w:tc>
          <w:tcPr>
            <w:tcW w:w="1855"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0.05</w:t>
            </w:r>
          </w:p>
        </w:tc>
        <w:tc>
          <w:tcPr>
            <w:tcW w:w="1856"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0.05</w:t>
            </w:r>
          </w:p>
        </w:tc>
        <w:tc>
          <w:tcPr>
            <w:tcW w:w="1904"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20" w:type="dxa"/>
            <w:tcBorders>
              <w:top w:val="nil"/>
              <w:left w:val="single" w:color="auto" w:sz="4" w:space="0"/>
              <w:bottom w:val="single" w:color="auto" w:sz="4" w:space="0"/>
              <w:right w:val="single" w:color="auto" w:sz="4" w:space="0"/>
            </w:tcBorders>
            <w:vAlign w:val="top"/>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rPr>
              <w:t>221</w:t>
            </w:r>
          </w:p>
        </w:tc>
        <w:tc>
          <w:tcPr>
            <w:tcW w:w="48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47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2370"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住房保障支出</w:t>
            </w:r>
          </w:p>
        </w:tc>
        <w:tc>
          <w:tcPr>
            <w:tcW w:w="1855"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6.25</w:t>
            </w:r>
          </w:p>
        </w:tc>
        <w:tc>
          <w:tcPr>
            <w:tcW w:w="1856"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6.25</w:t>
            </w:r>
          </w:p>
        </w:tc>
        <w:tc>
          <w:tcPr>
            <w:tcW w:w="1904"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20" w:type="dxa"/>
            <w:tcBorders>
              <w:top w:val="nil"/>
              <w:left w:val="single" w:color="auto" w:sz="4" w:space="0"/>
              <w:bottom w:val="single" w:color="auto" w:sz="4" w:space="0"/>
              <w:right w:val="single" w:color="auto" w:sz="4" w:space="0"/>
            </w:tcBorders>
            <w:vAlign w:val="top"/>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rPr>
              <w:t>221</w:t>
            </w:r>
          </w:p>
        </w:tc>
        <w:tc>
          <w:tcPr>
            <w:tcW w:w="48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02</w:t>
            </w:r>
          </w:p>
        </w:tc>
        <w:tc>
          <w:tcPr>
            <w:tcW w:w="47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2370"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住房改革支出</w:t>
            </w:r>
          </w:p>
        </w:tc>
        <w:tc>
          <w:tcPr>
            <w:tcW w:w="1855"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6.25</w:t>
            </w:r>
          </w:p>
        </w:tc>
        <w:tc>
          <w:tcPr>
            <w:tcW w:w="1856"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6.25</w:t>
            </w:r>
          </w:p>
        </w:tc>
        <w:tc>
          <w:tcPr>
            <w:tcW w:w="1904"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20" w:type="dxa"/>
            <w:tcBorders>
              <w:top w:val="nil"/>
              <w:left w:val="single" w:color="auto" w:sz="4" w:space="0"/>
              <w:bottom w:val="single" w:color="auto" w:sz="4" w:space="0"/>
              <w:right w:val="single" w:color="auto" w:sz="4" w:space="0"/>
            </w:tcBorders>
            <w:vAlign w:val="top"/>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rPr>
              <w:t>221</w:t>
            </w:r>
          </w:p>
        </w:tc>
        <w:tc>
          <w:tcPr>
            <w:tcW w:w="48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02</w:t>
            </w:r>
          </w:p>
        </w:tc>
        <w:tc>
          <w:tcPr>
            <w:tcW w:w="47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01</w:t>
            </w:r>
          </w:p>
        </w:tc>
        <w:tc>
          <w:tcPr>
            <w:tcW w:w="2370"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住房公积金</w:t>
            </w:r>
          </w:p>
        </w:tc>
        <w:tc>
          <w:tcPr>
            <w:tcW w:w="1855"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6.25</w:t>
            </w:r>
          </w:p>
        </w:tc>
        <w:tc>
          <w:tcPr>
            <w:tcW w:w="1856" w:type="dxa"/>
            <w:tcBorders>
              <w:top w:val="nil"/>
              <w:left w:val="nil"/>
              <w:bottom w:val="single" w:color="auto" w:sz="4" w:space="0"/>
              <w:right w:val="single" w:color="auto" w:sz="4" w:space="0"/>
            </w:tcBorders>
            <w:vAlign w:val="top"/>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6.25</w:t>
            </w:r>
          </w:p>
        </w:tc>
        <w:tc>
          <w:tcPr>
            <w:tcW w:w="1904"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2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48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47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237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2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48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47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237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18" w:hRule="atLeast"/>
        </w:trPr>
        <w:tc>
          <w:tcPr>
            <w:tcW w:w="52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48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47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237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2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48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47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237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2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48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47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237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2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48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47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237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2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23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20" w:type="dxa"/>
            <w:tcBorders>
              <w:top w:val="nil"/>
              <w:left w:val="single" w:color="auto" w:sz="4" w:space="0"/>
              <w:bottom w:val="single" w:color="auto" w:sz="4" w:space="0"/>
              <w:right w:val="single" w:color="auto" w:sz="4" w:space="0"/>
            </w:tcBorders>
            <w:vAlign w:val="center"/>
          </w:tcPr>
          <w:p>
            <w:pPr>
              <w:jc w:val="center"/>
              <w:rPr>
                <w:highlight w:val="none"/>
              </w:rPr>
            </w:pPr>
          </w:p>
        </w:tc>
        <w:tc>
          <w:tcPr>
            <w:tcW w:w="480" w:type="dxa"/>
            <w:tcBorders>
              <w:top w:val="nil"/>
              <w:left w:val="nil"/>
              <w:bottom w:val="single" w:color="auto" w:sz="4" w:space="0"/>
              <w:right w:val="single" w:color="auto" w:sz="4" w:space="0"/>
            </w:tcBorders>
            <w:vAlign w:val="center"/>
          </w:tcPr>
          <w:p>
            <w:pPr>
              <w:jc w:val="center"/>
              <w:rPr>
                <w:highlight w:val="none"/>
              </w:rPr>
            </w:pPr>
          </w:p>
        </w:tc>
        <w:tc>
          <w:tcPr>
            <w:tcW w:w="470" w:type="dxa"/>
            <w:tcBorders>
              <w:top w:val="nil"/>
              <w:left w:val="nil"/>
              <w:bottom w:val="single" w:color="auto" w:sz="4" w:space="0"/>
              <w:right w:val="single" w:color="auto" w:sz="4" w:space="0"/>
            </w:tcBorders>
            <w:vAlign w:val="center"/>
          </w:tcPr>
          <w:p>
            <w:pPr>
              <w:jc w:val="center"/>
              <w:rPr>
                <w:highlight w:val="none"/>
              </w:rPr>
            </w:pPr>
          </w:p>
        </w:tc>
        <w:tc>
          <w:tcPr>
            <w:tcW w:w="2370" w:type="dxa"/>
            <w:tcBorders>
              <w:top w:val="nil"/>
              <w:left w:val="nil"/>
              <w:bottom w:val="single" w:color="auto" w:sz="4" w:space="0"/>
              <w:right w:val="single" w:color="auto" w:sz="4" w:space="0"/>
            </w:tcBorders>
            <w:vAlign w:val="center"/>
          </w:tcPr>
          <w:p>
            <w:pPr>
              <w:jc w:val="center"/>
              <w:rPr>
                <w:highlight w:val="none"/>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2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48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47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23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highlight w:val="none"/>
              </w:rPr>
            </w:pPr>
            <w:r>
              <w:rPr>
                <w:rFonts w:hint="eastAsia" w:ascii="宋体" w:hAnsi="宋体" w:cs="宋体"/>
                <w:b/>
                <w:bCs/>
                <w:color w:val="000000"/>
                <w:kern w:val="0"/>
                <w:sz w:val="22"/>
                <w:szCs w:val="22"/>
                <w:highlight w:val="none"/>
              </w:rPr>
              <w:t>合  计</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cs="宋体"/>
                <w:b/>
                <w:bCs/>
                <w:color w:val="000000"/>
                <w:kern w:val="0"/>
                <w:sz w:val="22"/>
                <w:szCs w:val="22"/>
                <w:highlight w:val="none"/>
                <w:lang w:val="en-US"/>
              </w:rPr>
            </w:pPr>
            <w:r>
              <w:rPr>
                <w:rFonts w:hint="eastAsia" w:ascii="宋体" w:hAnsi="宋体" w:cs="宋体"/>
                <w:b/>
                <w:bCs/>
                <w:color w:val="000000"/>
                <w:kern w:val="0"/>
                <w:sz w:val="22"/>
                <w:szCs w:val="22"/>
                <w:highlight w:val="none"/>
                <w:lang w:val="en-US" w:eastAsia="zh-CN"/>
              </w:rPr>
              <w:t>74.84</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cs="宋体"/>
                <w:b/>
                <w:bCs/>
                <w:color w:val="000000"/>
                <w:kern w:val="0"/>
                <w:sz w:val="22"/>
                <w:szCs w:val="22"/>
                <w:highlight w:val="none"/>
                <w:lang w:val="en-US"/>
              </w:rPr>
            </w:pPr>
            <w:r>
              <w:rPr>
                <w:rFonts w:hint="eastAsia" w:ascii="宋体" w:hAnsi="宋体" w:cs="宋体"/>
                <w:b/>
                <w:bCs/>
                <w:color w:val="000000"/>
                <w:kern w:val="0"/>
                <w:sz w:val="22"/>
                <w:szCs w:val="22"/>
                <w:highlight w:val="none"/>
                <w:lang w:val="en-US" w:eastAsia="zh-CN"/>
              </w:rPr>
              <w:t>74.84</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表4</w:t>
      </w:r>
    </w:p>
    <w:p>
      <w:pPr>
        <w:widowControl/>
        <w:spacing w:before="120" w:beforeLines="50" w:line="280" w:lineRule="exact"/>
        <w:jc w:val="center"/>
        <w:outlineLvl w:val="1"/>
        <w:rPr>
          <w:rFonts w:hint="eastAsia" w:ascii="仿宋_GB2312" w:hAnsi="宋体" w:eastAsia="仿宋_GB2312"/>
          <w:b/>
          <w:kern w:val="0"/>
          <w:sz w:val="32"/>
          <w:szCs w:val="32"/>
          <w:highlight w:val="none"/>
        </w:rPr>
      </w:pPr>
      <w:r>
        <w:rPr>
          <w:rFonts w:hint="eastAsia" w:ascii="仿宋_GB2312" w:hAnsi="宋体" w:eastAsia="仿宋_GB2312"/>
          <w:b/>
          <w:kern w:val="0"/>
          <w:sz w:val="32"/>
          <w:szCs w:val="32"/>
          <w:highlight w:val="none"/>
        </w:rPr>
        <w:t>财政拨款收支预算总体情况表</w:t>
      </w:r>
    </w:p>
    <w:p>
      <w:pPr>
        <w:widowControl/>
        <w:spacing w:line="440" w:lineRule="exact"/>
        <w:outlineLvl w:val="1"/>
        <w:rPr>
          <w:rFonts w:ascii="仿宋_GB2312" w:hAnsi="宋体" w:eastAsia="仿宋_GB2312"/>
          <w:b/>
          <w:kern w:val="0"/>
          <w:sz w:val="32"/>
          <w:szCs w:val="32"/>
          <w:highlight w:val="none"/>
        </w:rPr>
      </w:pPr>
      <w:r>
        <w:rPr>
          <w:rFonts w:hint="eastAsia" w:ascii="仿宋_GB2312" w:hAnsi="宋体" w:eastAsia="仿宋_GB2312"/>
          <w:kern w:val="0"/>
          <w:sz w:val="24"/>
          <w:highlight w:val="none"/>
        </w:rPr>
        <w:t xml:space="preserve">编制部门（单位）： 昌吉州政府投资项目评审中心           </w:t>
      </w:r>
      <w:r>
        <w:rPr>
          <w:rFonts w:hint="eastAsia" w:ascii="仿宋_GB2312" w:hAnsi="宋体" w:eastAsia="仿宋_GB2312"/>
          <w:kern w:val="0"/>
          <w:sz w:val="24"/>
          <w:highlight w:val="none"/>
          <w:lang w:val="en-US" w:eastAsia="zh-CN"/>
        </w:rPr>
        <w:t xml:space="preserve">    </w:t>
      </w:r>
      <w:r>
        <w:rPr>
          <w:rFonts w:hint="eastAsia" w:ascii="仿宋_GB2312" w:hAnsi="宋体" w:eastAsia="仿宋_GB2312"/>
          <w:kern w:val="0"/>
          <w:sz w:val="24"/>
          <w:highlight w:val="none"/>
        </w:rPr>
        <w:t>单位：万元</w:t>
      </w:r>
    </w:p>
    <w:tbl>
      <w:tblPr>
        <w:tblStyle w:val="6"/>
        <w:tblW w:w="9449" w:type="dxa"/>
        <w:tblInd w:w="-240" w:type="dxa"/>
        <w:tblLayout w:type="fixed"/>
        <w:tblCellMar>
          <w:top w:w="0" w:type="dxa"/>
          <w:left w:w="108" w:type="dxa"/>
          <w:bottom w:w="0" w:type="dxa"/>
          <w:right w:w="108" w:type="dxa"/>
        </w:tblCellMar>
      </w:tblPr>
      <w:tblGrid>
        <w:gridCol w:w="1936"/>
        <w:gridCol w:w="914"/>
        <w:gridCol w:w="2580"/>
        <w:gridCol w:w="900"/>
        <w:gridCol w:w="851"/>
        <w:gridCol w:w="1134"/>
        <w:gridCol w:w="1134"/>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财政拨款收入</w:t>
            </w:r>
          </w:p>
        </w:tc>
        <w:tc>
          <w:tcPr>
            <w:tcW w:w="6599"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财政拨款支出</w:t>
            </w:r>
          </w:p>
        </w:tc>
      </w:tr>
      <w:tr>
        <w:tblPrEx>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项    目</w:t>
            </w:r>
          </w:p>
        </w:tc>
        <w:tc>
          <w:tcPr>
            <w:tcW w:w="91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合  计</w:t>
            </w:r>
          </w:p>
        </w:tc>
        <w:tc>
          <w:tcPr>
            <w:tcW w:w="258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功  能  分  类</w:t>
            </w:r>
          </w:p>
        </w:tc>
        <w:tc>
          <w:tcPr>
            <w:tcW w:w="90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合 计</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一般公共预算</w:t>
            </w:r>
          </w:p>
        </w:tc>
        <w:tc>
          <w:tcPr>
            <w:tcW w:w="113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政府性基金预算</w:t>
            </w:r>
          </w:p>
        </w:tc>
        <w:tc>
          <w:tcPr>
            <w:tcW w:w="113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国有资本经营预算</w:t>
            </w: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财政拨款（补助）</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74.84</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55.8</w:t>
            </w:r>
            <w:r>
              <w:rPr>
                <w:rFonts w:hint="eastAsia" w:ascii="宋体" w:hAnsi="宋体" w:cs="宋体"/>
                <w:kern w:val="0"/>
                <w:sz w:val="18"/>
                <w:szCs w:val="18"/>
                <w:highlight w:val="none"/>
                <w:lang w:val="en-US" w:eastAsia="zh-CN"/>
              </w:rPr>
              <w:t>6</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highlight w:val="none"/>
                <w:lang w:eastAsia="zh-CN"/>
              </w:rPr>
            </w:pPr>
            <w:r>
              <w:rPr>
                <w:rFonts w:hint="eastAsia" w:ascii="宋体" w:hAnsi="宋体" w:cs="宋体"/>
                <w:kern w:val="0"/>
                <w:sz w:val="18"/>
                <w:szCs w:val="18"/>
                <w:highlight w:val="none"/>
              </w:rPr>
              <w:t>55.8</w:t>
            </w:r>
            <w:r>
              <w:rPr>
                <w:rFonts w:hint="eastAsia" w:ascii="宋体" w:hAnsi="宋体" w:cs="宋体"/>
                <w:kern w:val="0"/>
                <w:sz w:val="18"/>
                <w:szCs w:val="18"/>
                <w:highlight w:val="none"/>
                <w:lang w:val="en-US" w:eastAsia="zh-CN"/>
              </w:rPr>
              <w:t>6</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xml:space="preserve">  一般公共预算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xml:space="preserve">  政府性基金预算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国有资本经营预算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7.29</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7.29</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5.44</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5.44</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highlight w:val="none"/>
              </w:rPr>
            </w:pPr>
            <w:r>
              <w:rPr>
                <w:rFonts w:hint="eastAsia" w:ascii="仿宋_GB2312" w:hAnsi="宋体" w:eastAsia="仿宋_GB2312" w:cs="宋体"/>
                <w:kern w:val="0"/>
                <w:sz w:val="18"/>
                <w:szCs w:val="18"/>
                <w:highlight w:val="none"/>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215 资源勘探信息等支出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6.25</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6.25</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highlight w:val="none"/>
              </w:rPr>
            </w:pPr>
            <w:r>
              <w:rPr>
                <w:rFonts w:hint="eastAsia" w:ascii="仿宋_GB2312" w:hAnsi="宋体" w:eastAsia="仿宋_GB2312" w:cs="宋体"/>
                <w:kern w:val="0"/>
                <w:sz w:val="18"/>
                <w:szCs w:val="18"/>
                <w:highlight w:val="none"/>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收  入  总  计</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lang w:val="en-US" w:eastAsia="zh-CN"/>
              </w:rPr>
              <w:t>74.84</w:t>
            </w: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lang w:val="en-US" w:eastAsia="zh-CN"/>
              </w:rPr>
              <w:t>74.84</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74.84</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bl>
    <w:p>
      <w:pPr>
        <w:widowControl/>
        <w:spacing w:line="320" w:lineRule="exac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r>
        <w:rPr>
          <w:rFonts w:ascii="仿宋_GB2312" w:hAnsi="宋体" w:eastAsia="仿宋_GB2312"/>
          <w:b/>
          <w:kern w:val="0"/>
          <w:sz w:val="28"/>
          <w:szCs w:val="32"/>
          <w:highlight w:val="none"/>
        </w:rPr>
        <w:t xml:space="preserve"> </w:t>
      </w: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表5</w:t>
      </w:r>
    </w:p>
    <w:tbl>
      <w:tblPr>
        <w:tblStyle w:val="6"/>
        <w:tblW w:w="9214" w:type="dxa"/>
        <w:tblInd w:w="-34" w:type="dxa"/>
        <w:tblLayout w:type="fixed"/>
        <w:tblCellMar>
          <w:top w:w="0" w:type="dxa"/>
          <w:left w:w="108" w:type="dxa"/>
          <w:bottom w:w="0" w:type="dxa"/>
          <w:right w:w="108" w:type="dxa"/>
        </w:tblCellMar>
      </w:tblPr>
      <w:tblGrid>
        <w:gridCol w:w="568"/>
        <w:gridCol w:w="492"/>
        <w:gridCol w:w="524"/>
        <w:gridCol w:w="2403"/>
        <w:gridCol w:w="1684"/>
        <w:gridCol w:w="1842"/>
        <w:gridCol w:w="1701"/>
      </w:tblGrid>
      <w:tr>
        <w:tblPrEx>
          <w:tblCellMar>
            <w:top w:w="0" w:type="dxa"/>
            <w:left w:w="108" w:type="dxa"/>
            <w:bottom w:w="0" w:type="dxa"/>
            <w:right w:w="108" w:type="dxa"/>
          </w:tblCellMar>
        </w:tblPrEx>
        <w:trPr>
          <w:trHeight w:val="450" w:hRule="atLeast"/>
        </w:trPr>
        <w:tc>
          <w:tcPr>
            <w:tcW w:w="9214" w:type="dxa"/>
            <w:gridSpan w:val="7"/>
            <w:tcBorders>
              <w:top w:val="nil"/>
              <w:left w:val="nil"/>
              <w:bottom w:val="nil"/>
              <w:right w:val="nil"/>
            </w:tcBorders>
            <w:vAlign w:val="center"/>
          </w:tcPr>
          <w:p>
            <w:pPr>
              <w:widowControl/>
              <w:jc w:val="center"/>
              <w:rPr>
                <w:rFonts w:hint="eastAsia" w:ascii="方正小标宋_GBK" w:hAnsi="方正小标宋_GBK" w:eastAsia="方正小标宋_GBK" w:cs="方正小标宋_GBK"/>
                <w:color w:val="000000"/>
                <w:kern w:val="0"/>
                <w:sz w:val="32"/>
                <w:szCs w:val="32"/>
                <w:highlight w:val="none"/>
              </w:rPr>
            </w:pPr>
            <w:r>
              <w:rPr>
                <w:rFonts w:hint="eastAsia" w:ascii="方正小标宋_GBK" w:hAnsi="方正小标宋_GBK" w:eastAsia="方正小标宋_GBK" w:cs="方正小标宋_GBK"/>
                <w:color w:val="000000"/>
                <w:kern w:val="0"/>
                <w:sz w:val="32"/>
                <w:szCs w:val="32"/>
                <w:highlight w:val="none"/>
              </w:rPr>
              <w:t>一般公共预算支出情况表</w:t>
            </w:r>
          </w:p>
          <w:p>
            <w:pPr>
              <w:widowControl/>
              <w:spacing w:line="440" w:lineRule="exact"/>
              <w:outlineLvl w:val="1"/>
              <w:rPr>
                <w:rFonts w:hint="eastAsia" w:ascii="方正小标宋_GBK" w:hAnsi="方正小标宋_GBK" w:eastAsia="方正小标宋_GBK" w:cs="方正小标宋_GBK"/>
                <w:color w:val="000000"/>
                <w:kern w:val="0"/>
                <w:sz w:val="32"/>
                <w:szCs w:val="32"/>
                <w:highlight w:val="none"/>
              </w:rPr>
            </w:pPr>
            <w:r>
              <w:rPr>
                <w:rFonts w:hint="eastAsia" w:ascii="仿宋_GB2312" w:hAnsi="宋体" w:eastAsia="仿宋_GB2312"/>
                <w:kern w:val="0"/>
                <w:sz w:val="24"/>
                <w:highlight w:val="none"/>
              </w:rPr>
              <w:t xml:space="preserve">编制部门（单位）： 昌吉州政府投资项目评审中心           </w:t>
            </w:r>
            <w:r>
              <w:rPr>
                <w:rFonts w:hint="eastAsia" w:ascii="仿宋_GB2312" w:hAnsi="宋体" w:eastAsia="仿宋_GB2312"/>
                <w:kern w:val="0"/>
                <w:sz w:val="24"/>
                <w:highlight w:val="none"/>
                <w:lang w:val="en-US" w:eastAsia="zh-CN"/>
              </w:rPr>
              <w:t xml:space="preserve">    </w:t>
            </w:r>
            <w:r>
              <w:rPr>
                <w:rFonts w:hint="eastAsia" w:ascii="仿宋_GB2312" w:hAnsi="宋体" w:eastAsia="仿宋_GB2312"/>
                <w:kern w:val="0"/>
                <w:sz w:val="24"/>
                <w:highlight w:val="none"/>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项   目</w:t>
            </w:r>
          </w:p>
        </w:tc>
        <w:tc>
          <w:tcPr>
            <w:tcW w:w="5227" w:type="dxa"/>
            <w:gridSpan w:val="3"/>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一般公共预算支出</w:t>
            </w:r>
          </w:p>
        </w:tc>
      </w:tr>
      <w:tr>
        <w:tblPrEx>
          <w:tblCellMar>
            <w:top w:w="0" w:type="dxa"/>
            <w:left w:w="108" w:type="dxa"/>
            <w:bottom w:w="0" w:type="dxa"/>
            <w:right w:w="108" w:type="dxa"/>
          </w:tblCellMar>
        </w:tblPrEx>
        <w:trPr>
          <w:trHeight w:val="465" w:hRule="atLeast"/>
        </w:trPr>
        <w:tc>
          <w:tcPr>
            <w:tcW w:w="1584"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功能分类科目编码</w:t>
            </w:r>
          </w:p>
        </w:tc>
        <w:tc>
          <w:tcPr>
            <w:tcW w:w="2403"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合  计</w:t>
            </w:r>
          </w:p>
        </w:tc>
        <w:tc>
          <w:tcPr>
            <w:tcW w:w="184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款</w:t>
            </w:r>
          </w:p>
        </w:tc>
        <w:tc>
          <w:tcPr>
            <w:tcW w:w="524"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项</w:t>
            </w:r>
          </w:p>
        </w:tc>
        <w:tc>
          <w:tcPr>
            <w:tcW w:w="2403"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84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rPr>
              <w:t>201</w:t>
            </w:r>
          </w:p>
        </w:tc>
        <w:tc>
          <w:tcPr>
            <w:tcW w:w="49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highlight w:val="none"/>
                <w:lang w:val="en-US" w:eastAsia="zh-CN"/>
              </w:rPr>
            </w:pPr>
          </w:p>
        </w:tc>
        <w:tc>
          <w:tcPr>
            <w:tcW w:w="524"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highlight w:val="none"/>
                <w:lang w:val="en-US" w:eastAsia="zh-CN"/>
              </w:rPr>
            </w:pPr>
          </w:p>
        </w:tc>
        <w:tc>
          <w:tcPr>
            <w:tcW w:w="2403"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一般公共服务支出</w:t>
            </w:r>
          </w:p>
        </w:tc>
        <w:tc>
          <w:tcPr>
            <w:tcW w:w="1684"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rPr>
              <w:t>55.8</w:t>
            </w:r>
            <w:r>
              <w:rPr>
                <w:rFonts w:hint="eastAsia" w:ascii="仿宋_GB2312" w:hAnsi="宋体" w:eastAsia="仿宋_GB2312" w:cs="宋体"/>
                <w:b/>
                <w:color w:val="000000"/>
                <w:kern w:val="0"/>
                <w:sz w:val="20"/>
                <w:szCs w:val="20"/>
                <w:highlight w:val="none"/>
                <w:lang w:val="en-US" w:eastAsia="zh-CN"/>
              </w:rPr>
              <w:t>6</w:t>
            </w:r>
          </w:p>
        </w:tc>
        <w:tc>
          <w:tcPr>
            <w:tcW w:w="1842"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rPr>
              <w:t>55.8</w:t>
            </w:r>
            <w:r>
              <w:rPr>
                <w:rFonts w:hint="eastAsia" w:ascii="仿宋_GB2312" w:hAnsi="宋体" w:eastAsia="仿宋_GB2312" w:cs="宋体"/>
                <w:b/>
                <w:color w:val="000000"/>
                <w:kern w:val="0"/>
                <w:sz w:val="20"/>
                <w:szCs w:val="20"/>
                <w:highlight w:val="none"/>
                <w:lang w:val="en-US" w:eastAsia="zh-CN"/>
              </w:rPr>
              <w:t>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201</w:t>
            </w:r>
          </w:p>
        </w:tc>
        <w:tc>
          <w:tcPr>
            <w:tcW w:w="49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04</w:t>
            </w:r>
          </w:p>
        </w:tc>
        <w:tc>
          <w:tcPr>
            <w:tcW w:w="524"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highlight w:val="none"/>
              </w:rPr>
            </w:pPr>
          </w:p>
        </w:tc>
        <w:tc>
          <w:tcPr>
            <w:tcW w:w="2403"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发展与改革事务</w:t>
            </w:r>
          </w:p>
        </w:tc>
        <w:tc>
          <w:tcPr>
            <w:tcW w:w="1684"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rPr>
              <w:t>55.8</w:t>
            </w:r>
            <w:r>
              <w:rPr>
                <w:rFonts w:hint="eastAsia" w:ascii="仿宋_GB2312" w:hAnsi="宋体" w:eastAsia="仿宋_GB2312" w:cs="宋体"/>
                <w:b/>
                <w:color w:val="000000"/>
                <w:kern w:val="0"/>
                <w:sz w:val="20"/>
                <w:szCs w:val="20"/>
                <w:highlight w:val="none"/>
                <w:lang w:val="en-US" w:eastAsia="zh-CN"/>
              </w:rPr>
              <w:t>6</w:t>
            </w:r>
          </w:p>
        </w:tc>
        <w:tc>
          <w:tcPr>
            <w:tcW w:w="1842"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rPr>
              <w:t>55.8</w:t>
            </w:r>
            <w:r>
              <w:rPr>
                <w:rFonts w:hint="eastAsia" w:ascii="仿宋_GB2312" w:hAnsi="宋体" w:eastAsia="仿宋_GB2312" w:cs="宋体"/>
                <w:b/>
                <w:color w:val="000000"/>
                <w:kern w:val="0"/>
                <w:sz w:val="20"/>
                <w:szCs w:val="20"/>
                <w:highlight w:val="none"/>
                <w:lang w:val="en-US" w:eastAsia="zh-CN"/>
              </w:rPr>
              <w:t>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531" w:hRule="atLeast"/>
        </w:trPr>
        <w:tc>
          <w:tcPr>
            <w:tcW w:w="568" w:type="dxa"/>
            <w:tcBorders>
              <w:top w:val="nil"/>
              <w:left w:val="single" w:color="auto" w:sz="4" w:space="0"/>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201</w:t>
            </w:r>
          </w:p>
        </w:tc>
        <w:tc>
          <w:tcPr>
            <w:tcW w:w="49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04</w:t>
            </w:r>
          </w:p>
        </w:tc>
        <w:tc>
          <w:tcPr>
            <w:tcW w:w="524"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50</w:t>
            </w:r>
          </w:p>
        </w:tc>
        <w:tc>
          <w:tcPr>
            <w:tcW w:w="2403"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事业运行</w:t>
            </w:r>
          </w:p>
        </w:tc>
        <w:tc>
          <w:tcPr>
            <w:tcW w:w="1684"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rPr>
              <w:t>55.8</w:t>
            </w:r>
            <w:r>
              <w:rPr>
                <w:rFonts w:hint="eastAsia" w:ascii="仿宋_GB2312" w:hAnsi="宋体" w:eastAsia="仿宋_GB2312" w:cs="宋体"/>
                <w:b/>
                <w:color w:val="000000"/>
                <w:kern w:val="0"/>
                <w:sz w:val="20"/>
                <w:szCs w:val="20"/>
                <w:highlight w:val="none"/>
                <w:lang w:val="en-US" w:eastAsia="zh-CN"/>
              </w:rPr>
              <w:t>6</w:t>
            </w:r>
          </w:p>
        </w:tc>
        <w:tc>
          <w:tcPr>
            <w:tcW w:w="1842"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rPr>
              <w:t>55.8</w:t>
            </w:r>
            <w:r>
              <w:rPr>
                <w:rFonts w:hint="eastAsia" w:ascii="仿宋_GB2312" w:hAnsi="宋体" w:eastAsia="仿宋_GB2312" w:cs="宋体"/>
                <w:b/>
                <w:color w:val="000000"/>
                <w:kern w:val="0"/>
                <w:sz w:val="20"/>
                <w:szCs w:val="20"/>
                <w:highlight w:val="none"/>
                <w:lang w:val="en-US" w:eastAsia="zh-CN"/>
              </w:rPr>
              <w:t>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208</w:t>
            </w:r>
          </w:p>
        </w:tc>
        <w:tc>
          <w:tcPr>
            <w:tcW w:w="49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highlight w:val="none"/>
                <w:lang w:val="en-US" w:eastAsia="zh-CN"/>
              </w:rPr>
            </w:pPr>
          </w:p>
        </w:tc>
        <w:tc>
          <w:tcPr>
            <w:tcW w:w="524"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highlight w:val="none"/>
                <w:lang w:val="en-US" w:eastAsia="zh-CN"/>
              </w:rPr>
            </w:pPr>
          </w:p>
        </w:tc>
        <w:tc>
          <w:tcPr>
            <w:tcW w:w="2403"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社会保障和就业支出</w:t>
            </w:r>
          </w:p>
        </w:tc>
        <w:tc>
          <w:tcPr>
            <w:tcW w:w="1684"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7.29</w:t>
            </w:r>
          </w:p>
        </w:tc>
        <w:tc>
          <w:tcPr>
            <w:tcW w:w="1842"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7.29</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rPr>
              <w:t>208</w:t>
            </w:r>
          </w:p>
        </w:tc>
        <w:tc>
          <w:tcPr>
            <w:tcW w:w="49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05</w:t>
            </w:r>
          </w:p>
        </w:tc>
        <w:tc>
          <w:tcPr>
            <w:tcW w:w="524"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highlight w:val="none"/>
                <w:lang w:val="en-US" w:eastAsia="zh-CN"/>
              </w:rPr>
            </w:pPr>
          </w:p>
        </w:tc>
        <w:tc>
          <w:tcPr>
            <w:tcW w:w="2403"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行政事业单位养老支出</w:t>
            </w:r>
          </w:p>
        </w:tc>
        <w:tc>
          <w:tcPr>
            <w:tcW w:w="1684"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7.29</w:t>
            </w:r>
          </w:p>
        </w:tc>
        <w:tc>
          <w:tcPr>
            <w:tcW w:w="1842"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7.29</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rPr>
              <w:t>208</w:t>
            </w:r>
          </w:p>
        </w:tc>
        <w:tc>
          <w:tcPr>
            <w:tcW w:w="49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05</w:t>
            </w:r>
          </w:p>
        </w:tc>
        <w:tc>
          <w:tcPr>
            <w:tcW w:w="524"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02</w:t>
            </w:r>
          </w:p>
        </w:tc>
        <w:tc>
          <w:tcPr>
            <w:tcW w:w="2403"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事业单位离退休</w:t>
            </w:r>
          </w:p>
        </w:tc>
        <w:tc>
          <w:tcPr>
            <w:tcW w:w="1684"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0.40</w:t>
            </w:r>
          </w:p>
        </w:tc>
        <w:tc>
          <w:tcPr>
            <w:tcW w:w="1842"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0.40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208</w:t>
            </w:r>
          </w:p>
        </w:tc>
        <w:tc>
          <w:tcPr>
            <w:tcW w:w="49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05</w:t>
            </w:r>
          </w:p>
        </w:tc>
        <w:tc>
          <w:tcPr>
            <w:tcW w:w="524"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05</w:t>
            </w:r>
          </w:p>
        </w:tc>
        <w:tc>
          <w:tcPr>
            <w:tcW w:w="2403"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机关事业单位基本养老保险缴费支出</w:t>
            </w:r>
          </w:p>
        </w:tc>
        <w:tc>
          <w:tcPr>
            <w:tcW w:w="1684"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6.89</w:t>
            </w:r>
          </w:p>
        </w:tc>
        <w:tc>
          <w:tcPr>
            <w:tcW w:w="1842"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6.89</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210</w:t>
            </w:r>
          </w:p>
        </w:tc>
        <w:tc>
          <w:tcPr>
            <w:tcW w:w="49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highlight w:val="none"/>
              </w:rPr>
            </w:pPr>
          </w:p>
        </w:tc>
        <w:tc>
          <w:tcPr>
            <w:tcW w:w="524"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highlight w:val="none"/>
              </w:rPr>
            </w:pPr>
          </w:p>
        </w:tc>
        <w:tc>
          <w:tcPr>
            <w:tcW w:w="2403"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卫生健康支出</w:t>
            </w:r>
          </w:p>
        </w:tc>
        <w:tc>
          <w:tcPr>
            <w:tcW w:w="1684"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5.44</w:t>
            </w:r>
          </w:p>
        </w:tc>
        <w:tc>
          <w:tcPr>
            <w:tcW w:w="1842"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5.44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210</w:t>
            </w:r>
          </w:p>
        </w:tc>
        <w:tc>
          <w:tcPr>
            <w:tcW w:w="49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11</w:t>
            </w:r>
          </w:p>
        </w:tc>
        <w:tc>
          <w:tcPr>
            <w:tcW w:w="524"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highlight w:val="none"/>
              </w:rPr>
            </w:pPr>
          </w:p>
        </w:tc>
        <w:tc>
          <w:tcPr>
            <w:tcW w:w="2403"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行政事业单位医疗</w:t>
            </w:r>
          </w:p>
        </w:tc>
        <w:tc>
          <w:tcPr>
            <w:tcW w:w="1684"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5.44</w:t>
            </w:r>
          </w:p>
        </w:tc>
        <w:tc>
          <w:tcPr>
            <w:tcW w:w="1842"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5.44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210</w:t>
            </w:r>
          </w:p>
        </w:tc>
        <w:tc>
          <w:tcPr>
            <w:tcW w:w="49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11</w:t>
            </w:r>
          </w:p>
        </w:tc>
        <w:tc>
          <w:tcPr>
            <w:tcW w:w="524"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02</w:t>
            </w:r>
          </w:p>
        </w:tc>
        <w:tc>
          <w:tcPr>
            <w:tcW w:w="2403"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事业单位医疗</w:t>
            </w:r>
          </w:p>
        </w:tc>
        <w:tc>
          <w:tcPr>
            <w:tcW w:w="1684"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4.09</w:t>
            </w:r>
          </w:p>
        </w:tc>
        <w:tc>
          <w:tcPr>
            <w:tcW w:w="1842"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4.09</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210</w:t>
            </w:r>
          </w:p>
        </w:tc>
        <w:tc>
          <w:tcPr>
            <w:tcW w:w="49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lang w:val="en-US" w:eastAsia="zh-CN"/>
              </w:rPr>
              <w:t>11</w:t>
            </w:r>
          </w:p>
        </w:tc>
        <w:tc>
          <w:tcPr>
            <w:tcW w:w="524"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03</w:t>
            </w:r>
          </w:p>
        </w:tc>
        <w:tc>
          <w:tcPr>
            <w:tcW w:w="2403"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公务员医疗补助</w:t>
            </w:r>
          </w:p>
        </w:tc>
        <w:tc>
          <w:tcPr>
            <w:tcW w:w="1684"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1.29</w:t>
            </w:r>
          </w:p>
        </w:tc>
        <w:tc>
          <w:tcPr>
            <w:tcW w:w="1842"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1.29</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210</w:t>
            </w:r>
          </w:p>
        </w:tc>
        <w:tc>
          <w:tcPr>
            <w:tcW w:w="49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lang w:val="en-US" w:eastAsia="zh-CN"/>
              </w:rPr>
              <w:t>11</w:t>
            </w:r>
          </w:p>
        </w:tc>
        <w:tc>
          <w:tcPr>
            <w:tcW w:w="524"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99</w:t>
            </w:r>
          </w:p>
        </w:tc>
        <w:tc>
          <w:tcPr>
            <w:tcW w:w="2403"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其他行政事业单位医疗支出</w:t>
            </w:r>
          </w:p>
        </w:tc>
        <w:tc>
          <w:tcPr>
            <w:tcW w:w="1684"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0.05</w:t>
            </w:r>
          </w:p>
        </w:tc>
        <w:tc>
          <w:tcPr>
            <w:tcW w:w="1842"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0.05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221</w:t>
            </w:r>
          </w:p>
        </w:tc>
        <w:tc>
          <w:tcPr>
            <w:tcW w:w="49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highlight w:val="none"/>
              </w:rPr>
            </w:pPr>
          </w:p>
        </w:tc>
        <w:tc>
          <w:tcPr>
            <w:tcW w:w="524"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highlight w:val="none"/>
              </w:rPr>
            </w:pPr>
          </w:p>
        </w:tc>
        <w:tc>
          <w:tcPr>
            <w:tcW w:w="2403"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住房保障支出</w:t>
            </w:r>
          </w:p>
        </w:tc>
        <w:tc>
          <w:tcPr>
            <w:tcW w:w="1684"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6.25</w:t>
            </w:r>
          </w:p>
        </w:tc>
        <w:tc>
          <w:tcPr>
            <w:tcW w:w="1842"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6.25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221</w:t>
            </w:r>
          </w:p>
        </w:tc>
        <w:tc>
          <w:tcPr>
            <w:tcW w:w="49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02</w:t>
            </w:r>
          </w:p>
        </w:tc>
        <w:tc>
          <w:tcPr>
            <w:tcW w:w="524"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highlight w:val="none"/>
              </w:rPr>
            </w:pPr>
          </w:p>
        </w:tc>
        <w:tc>
          <w:tcPr>
            <w:tcW w:w="2403"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住房改革支出</w:t>
            </w:r>
          </w:p>
        </w:tc>
        <w:tc>
          <w:tcPr>
            <w:tcW w:w="1684"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6.25</w:t>
            </w:r>
          </w:p>
        </w:tc>
        <w:tc>
          <w:tcPr>
            <w:tcW w:w="1842"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6.25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221</w:t>
            </w:r>
          </w:p>
        </w:tc>
        <w:tc>
          <w:tcPr>
            <w:tcW w:w="49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02</w:t>
            </w:r>
          </w:p>
        </w:tc>
        <w:tc>
          <w:tcPr>
            <w:tcW w:w="524"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01</w:t>
            </w:r>
          </w:p>
        </w:tc>
        <w:tc>
          <w:tcPr>
            <w:tcW w:w="2403"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住房公积金</w:t>
            </w:r>
          </w:p>
        </w:tc>
        <w:tc>
          <w:tcPr>
            <w:tcW w:w="1684"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6.25</w:t>
            </w:r>
          </w:p>
        </w:tc>
        <w:tc>
          <w:tcPr>
            <w:tcW w:w="1842" w:type="dxa"/>
            <w:tcBorders>
              <w:top w:val="nil"/>
              <w:left w:val="nil"/>
              <w:bottom w:val="single" w:color="auto" w:sz="4" w:space="0"/>
              <w:right w:val="single" w:color="auto" w:sz="4" w:space="0"/>
            </w:tcBorders>
            <w:vAlign w:val="top"/>
          </w:tcPr>
          <w:p>
            <w:pPr>
              <w:widowControl/>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6.25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52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240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52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240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52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240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52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240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52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240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52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240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b/>
                <w:bCs/>
                <w:color w:val="000000"/>
                <w:kern w:val="0"/>
                <w:sz w:val="20"/>
                <w:szCs w:val="20"/>
                <w:highlight w:val="none"/>
              </w:rPr>
              <w:t>合  计</w:t>
            </w:r>
          </w:p>
        </w:tc>
        <w:tc>
          <w:tcPr>
            <w:tcW w:w="1684"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74.84</w:t>
            </w:r>
          </w:p>
        </w:tc>
        <w:tc>
          <w:tcPr>
            <w:tcW w:w="1842"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74.84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表6</w:t>
      </w:r>
    </w:p>
    <w:tbl>
      <w:tblPr>
        <w:tblStyle w:val="6"/>
        <w:tblW w:w="9328" w:type="dxa"/>
        <w:tblInd w:w="-148" w:type="dxa"/>
        <w:tblLayout w:type="fixed"/>
        <w:tblCellMar>
          <w:top w:w="0" w:type="dxa"/>
          <w:left w:w="108" w:type="dxa"/>
          <w:bottom w:w="0" w:type="dxa"/>
          <w:right w:w="108" w:type="dxa"/>
        </w:tblCellMar>
      </w:tblPr>
      <w:tblGrid>
        <w:gridCol w:w="757"/>
        <w:gridCol w:w="577"/>
        <w:gridCol w:w="2891"/>
        <w:gridCol w:w="1701"/>
        <w:gridCol w:w="1701"/>
        <w:gridCol w:w="1701"/>
      </w:tblGrid>
      <w:tr>
        <w:tblPrEx>
          <w:tblCellMar>
            <w:top w:w="0" w:type="dxa"/>
            <w:left w:w="108" w:type="dxa"/>
            <w:bottom w:w="0" w:type="dxa"/>
            <w:right w:w="108" w:type="dxa"/>
          </w:tblCellMar>
        </w:tblPrEx>
        <w:trPr>
          <w:trHeight w:val="375" w:hRule="atLeast"/>
        </w:trPr>
        <w:tc>
          <w:tcPr>
            <w:tcW w:w="9328" w:type="dxa"/>
            <w:gridSpan w:val="6"/>
            <w:tcBorders>
              <w:top w:val="nil"/>
              <w:left w:val="nil"/>
              <w:bottom w:val="nil"/>
              <w:right w:val="nil"/>
            </w:tcBorders>
            <w:vAlign w:val="center"/>
          </w:tcPr>
          <w:p>
            <w:pPr>
              <w:widowControl/>
              <w:jc w:val="center"/>
              <w:rPr>
                <w:rFonts w:hint="eastAsia" w:ascii="方正小标宋_GBK" w:hAnsi="方正小标宋_GBK" w:eastAsia="方正小标宋_GBK" w:cs="方正小标宋_GBK"/>
                <w:color w:val="000000"/>
                <w:kern w:val="0"/>
                <w:sz w:val="32"/>
                <w:szCs w:val="32"/>
                <w:highlight w:val="none"/>
              </w:rPr>
            </w:pPr>
            <w:r>
              <w:rPr>
                <w:rFonts w:hint="eastAsia" w:ascii="方正小标宋_GBK" w:hAnsi="方正小标宋_GBK" w:eastAsia="方正小标宋_GBK" w:cs="方正小标宋_GBK"/>
                <w:color w:val="000000"/>
                <w:kern w:val="0"/>
                <w:sz w:val="32"/>
                <w:szCs w:val="32"/>
                <w:highlight w:val="none"/>
              </w:rPr>
              <w:t>一般公共预算基本支出情况表</w:t>
            </w:r>
          </w:p>
          <w:p>
            <w:pPr>
              <w:widowControl/>
              <w:spacing w:line="440" w:lineRule="exact"/>
              <w:outlineLvl w:val="1"/>
              <w:rPr>
                <w:rFonts w:hint="eastAsia" w:ascii="方正小标宋_GBK" w:hAnsi="方正小标宋_GBK" w:eastAsia="方正小标宋_GBK" w:cs="方正小标宋_GBK"/>
                <w:color w:val="000000"/>
                <w:kern w:val="0"/>
                <w:sz w:val="32"/>
                <w:szCs w:val="32"/>
                <w:highlight w:val="none"/>
              </w:rPr>
            </w:pPr>
            <w:r>
              <w:rPr>
                <w:rFonts w:hint="eastAsia" w:ascii="仿宋_GB2312" w:hAnsi="宋体" w:eastAsia="仿宋_GB2312"/>
                <w:kern w:val="0"/>
                <w:sz w:val="24"/>
                <w:highlight w:val="none"/>
              </w:rPr>
              <w:t xml:space="preserve">编制部门（单位）： 昌吉州政府投资项目评审中心           </w:t>
            </w:r>
            <w:r>
              <w:rPr>
                <w:rFonts w:hint="eastAsia" w:ascii="仿宋_GB2312" w:hAnsi="宋体" w:eastAsia="仿宋_GB2312"/>
                <w:kern w:val="0"/>
                <w:sz w:val="24"/>
                <w:highlight w:val="none"/>
                <w:lang w:val="en-US" w:eastAsia="zh-CN"/>
              </w:rPr>
              <w:t xml:space="preserve">    </w:t>
            </w:r>
            <w:r>
              <w:rPr>
                <w:rFonts w:hint="eastAsia" w:ascii="仿宋_GB2312" w:hAnsi="宋体" w:eastAsia="仿宋_GB2312"/>
                <w:kern w:val="0"/>
                <w:sz w:val="24"/>
                <w:highlight w:val="none"/>
              </w:rPr>
              <w:t>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项目</w:t>
            </w:r>
          </w:p>
        </w:tc>
        <w:tc>
          <w:tcPr>
            <w:tcW w:w="5103" w:type="dxa"/>
            <w:gridSpan w:val="3"/>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一般公共预算基本支出</w:t>
            </w:r>
          </w:p>
        </w:tc>
      </w:tr>
      <w:tr>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经济分类科目名称</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kern w:val="0"/>
                <w:sz w:val="20"/>
                <w:szCs w:val="20"/>
                <w:highlight w:val="none"/>
                <w:lang w:val="en-US" w:eastAsia="zh-CN"/>
              </w:rPr>
            </w:pPr>
          </w:p>
        </w:tc>
        <w:tc>
          <w:tcPr>
            <w:tcW w:w="289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工资福利支出</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62.32</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62.32</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01</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基本工资</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20.09</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20.09</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02</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津贴补贴</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4.88</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4.88</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03</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奖金</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1.64</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1.64</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07</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绩效工资</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16.96</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16.96</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08</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机关事业单位基本养老保险缴费</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6.89</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6.89</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10</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城镇职工基本医疗保险缴费</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4.09</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4.09</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11</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公务员医疗补助缴费</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1.29</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1.29</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12</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其他社会保障缴费</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0.23</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0.23</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13</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住房公积金</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6.25</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6.25</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kern w:val="0"/>
                <w:sz w:val="20"/>
                <w:szCs w:val="20"/>
                <w:highlight w:val="none"/>
                <w:lang w:val="en-US" w:eastAsia="zh-CN"/>
              </w:rPr>
            </w:pPr>
          </w:p>
        </w:tc>
        <w:tc>
          <w:tcPr>
            <w:tcW w:w="289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商品和服务支出</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8.22</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8.22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01</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办公费</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2</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02</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印刷费</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0.03</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0.03</w:t>
            </w:r>
          </w:p>
        </w:tc>
      </w:tr>
      <w:tr>
        <w:tblPrEx>
          <w:tblCellMar>
            <w:top w:w="0" w:type="dxa"/>
            <w:left w:w="108" w:type="dxa"/>
            <w:bottom w:w="0" w:type="dxa"/>
            <w:right w:w="108" w:type="dxa"/>
          </w:tblCellMar>
        </w:tblPrEx>
        <w:trPr>
          <w:trHeight w:val="365" w:hRule="atLeast"/>
        </w:trPr>
        <w:tc>
          <w:tcPr>
            <w:tcW w:w="7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06</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电费</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0.6</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0.6</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07</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邮电费</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0.15</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0.15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11</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差旅费</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0.4</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0.4</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13</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维修(护)费</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0.33</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0.33</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16</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培训费</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0.14</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0.14</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28</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工会经费</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0.81</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0.81</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29</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福利费</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0.73</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0.73</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31</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公务用车运行维护费</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2</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99</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其他商品和服务支出</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1.03</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1.03</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303</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kern w:val="0"/>
                <w:sz w:val="20"/>
                <w:szCs w:val="20"/>
                <w:highlight w:val="none"/>
                <w:lang w:val="en-US" w:eastAsia="zh-CN"/>
              </w:rPr>
            </w:pPr>
          </w:p>
        </w:tc>
        <w:tc>
          <w:tcPr>
            <w:tcW w:w="289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对个人和家庭的补助</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4.3</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4.30</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303</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01</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离休费</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0.4</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0.4</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p>
        </w:tc>
      </w:tr>
      <w:tr>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303</w:t>
            </w:r>
          </w:p>
        </w:tc>
        <w:tc>
          <w:tcPr>
            <w:tcW w:w="577"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07</w:t>
            </w:r>
          </w:p>
        </w:tc>
        <w:tc>
          <w:tcPr>
            <w:tcW w:w="289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医疗费补助</w:t>
            </w:r>
          </w:p>
        </w:tc>
        <w:tc>
          <w:tcPr>
            <w:tcW w:w="17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3.59</w:t>
            </w:r>
          </w:p>
        </w:tc>
        <w:tc>
          <w:tcPr>
            <w:tcW w:w="17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3.59</w:t>
            </w:r>
          </w:p>
        </w:tc>
        <w:tc>
          <w:tcPr>
            <w:tcW w:w="1701"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p>
        </w:tc>
      </w:tr>
      <w:tr>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303</w:t>
            </w:r>
          </w:p>
        </w:tc>
        <w:tc>
          <w:tcPr>
            <w:tcW w:w="577"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09</w:t>
            </w:r>
          </w:p>
        </w:tc>
        <w:tc>
          <w:tcPr>
            <w:tcW w:w="289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奖励金</w:t>
            </w:r>
          </w:p>
        </w:tc>
        <w:tc>
          <w:tcPr>
            <w:tcW w:w="17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0.31</w:t>
            </w:r>
          </w:p>
        </w:tc>
        <w:tc>
          <w:tcPr>
            <w:tcW w:w="17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0.31</w:t>
            </w:r>
          </w:p>
        </w:tc>
        <w:tc>
          <w:tcPr>
            <w:tcW w:w="1701"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p>
        </w:tc>
      </w:tr>
      <w:tr>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p>
        </w:tc>
        <w:tc>
          <w:tcPr>
            <w:tcW w:w="57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p>
        </w:tc>
        <w:tc>
          <w:tcPr>
            <w:tcW w:w="289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合  计</w:t>
            </w:r>
          </w:p>
        </w:tc>
        <w:tc>
          <w:tcPr>
            <w:tcW w:w="17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74.84</w:t>
            </w:r>
          </w:p>
        </w:tc>
        <w:tc>
          <w:tcPr>
            <w:tcW w:w="17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66.63</w:t>
            </w:r>
          </w:p>
        </w:tc>
        <w:tc>
          <w:tcPr>
            <w:tcW w:w="17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8.22</w:t>
            </w: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表7</w:t>
      </w:r>
    </w:p>
    <w:tbl>
      <w:tblPr>
        <w:tblStyle w:val="6"/>
        <w:tblW w:w="9540" w:type="dxa"/>
        <w:tblInd w:w="-360" w:type="dxa"/>
        <w:tblLayout w:type="fixed"/>
        <w:tblCellMar>
          <w:top w:w="0" w:type="dxa"/>
          <w:left w:w="108" w:type="dxa"/>
          <w:bottom w:w="0" w:type="dxa"/>
          <w:right w:w="108" w:type="dxa"/>
        </w:tblCellMar>
      </w:tblPr>
      <w:tblGrid>
        <w:gridCol w:w="8"/>
        <w:gridCol w:w="389"/>
        <w:gridCol w:w="397"/>
        <w:gridCol w:w="397"/>
        <w:gridCol w:w="851"/>
        <w:gridCol w:w="1456"/>
        <w:gridCol w:w="750"/>
        <w:gridCol w:w="569"/>
        <w:gridCol w:w="536"/>
        <w:gridCol w:w="652"/>
        <w:gridCol w:w="652"/>
        <w:gridCol w:w="578"/>
        <w:gridCol w:w="419"/>
        <w:gridCol w:w="578"/>
        <w:gridCol w:w="420"/>
        <w:gridCol w:w="420"/>
        <w:gridCol w:w="389"/>
        <w:gridCol w:w="79"/>
      </w:tblGrid>
      <w:tr>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6"/>
            <w:tcBorders>
              <w:top w:val="nil"/>
              <w:left w:val="nil"/>
              <w:bottom w:val="nil"/>
              <w:right w:val="nil"/>
            </w:tcBorders>
            <w:vAlign w:val="center"/>
          </w:tcPr>
          <w:p>
            <w:pPr>
              <w:widowControl/>
              <w:jc w:val="center"/>
              <w:rPr>
                <w:rFonts w:hint="eastAsia" w:ascii="方正小标宋_GBK" w:hAnsi="方正小标宋_GBK" w:eastAsia="方正小标宋_GBK" w:cs="方正小标宋_GBK"/>
                <w:color w:val="000000"/>
                <w:kern w:val="0"/>
                <w:sz w:val="32"/>
                <w:szCs w:val="32"/>
                <w:highlight w:val="none"/>
              </w:rPr>
            </w:pPr>
            <w:r>
              <w:rPr>
                <w:rFonts w:hint="eastAsia" w:ascii="方正小标宋_GBK" w:hAnsi="方正小标宋_GBK" w:eastAsia="方正小标宋_GBK" w:cs="方正小标宋_GBK"/>
                <w:color w:val="000000"/>
                <w:kern w:val="0"/>
                <w:sz w:val="32"/>
                <w:szCs w:val="32"/>
                <w:highlight w:val="none"/>
              </w:rPr>
              <w:t>一般公共预算项目支出情况表</w:t>
            </w:r>
          </w:p>
          <w:p>
            <w:pPr>
              <w:widowControl/>
              <w:spacing w:line="440" w:lineRule="exact"/>
              <w:outlineLvl w:val="1"/>
              <w:rPr>
                <w:rFonts w:hint="eastAsia" w:ascii="方正小标宋_GBK" w:hAnsi="方正小标宋_GBK" w:eastAsia="方正小标宋_GBK" w:cs="方正小标宋_GBK"/>
                <w:color w:val="000000"/>
                <w:kern w:val="0"/>
                <w:sz w:val="32"/>
                <w:szCs w:val="32"/>
                <w:highlight w:val="none"/>
              </w:rPr>
            </w:pPr>
            <w:r>
              <w:rPr>
                <w:rFonts w:hint="eastAsia" w:ascii="仿宋_GB2312" w:hAnsi="宋体" w:eastAsia="仿宋_GB2312"/>
                <w:kern w:val="0"/>
                <w:sz w:val="24"/>
                <w:highlight w:val="none"/>
              </w:rPr>
              <w:t xml:space="preserve">编制部门（单位）： 昌吉州政府投资项目评审中心           </w:t>
            </w:r>
            <w:r>
              <w:rPr>
                <w:rFonts w:hint="eastAsia" w:ascii="仿宋_GB2312" w:hAnsi="宋体" w:eastAsia="仿宋_GB2312"/>
                <w:kern w:val="0"/>
                <w:sz w:val="24"/>
                <w:highlight w:val="none"/>
                <w:lang w:val="en-US" w:eastAsia="zh-CN"/>
              </w:rPr>
              <w:t xml:space="preserve">    </w:t>
            </w:r>
            <w:r>
              <w:rPr>
                <w:rFonts w:hint="eastAsia" w:ascii="仿宋_GB2312" w:hAnsi="宋体" w:eastAsia="仿宋_GB2312"/>
                <w:kern w:val="0"/>
                <w:sz w:val="24"/>
                <w:highlight w:val="none"/>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科 目 编 码</w:t>
            </w:r>
          </w:p>
        </w:tc>
        <w:tc>
          <w:tcPr>
            <w:tcW w:w="851"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科目</w:t>
            </w:r>
          </w:p>
        </w:tc>
        <w:tc>
          <w:tcPr>
            <w:tcW w:w="1456" w:type="dxa"/>
            <w:vMerge w:val="restart"/>
            <w:vAlign w:val="center"/>
          </w:tcPr>
          <w:p>
            <w:pPr>
              <w:jc w:val="center"/>
              <w:rPr>
                <w:rFonts w:ascii="Calibri" w:hAnsi="Calibri"/>
                <w:sz w:val="24"/>
                <w:highlight w:val="none"/>
              </w:rPr>
            </w:pPr>
            <w:r>
              <w:rPr>
                <w:rFonts w:hint="eastAsia" w:ascii="仿宋_GB2312" w:hAnsi="宋体" w:eastAsia="仿宋_GB2312"/>
                <w:b/>
                <w:kern w:val="0"/>
                <w:sz w:val="24"/>
                <w:highlight w:val="none"/>
              </w:rPr>
              <w:t>项目名称</w:t>
            </w:r>
          </w:p>
        </w:tc>
        <w:tc>
          <w:tcPr>
            <w:tcW w:w="750"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项目支出合计</w:t>
            </w:r>
          </w:p>
        </w:tc>
        <w:tc>
          <w:tcPr>
            <w:tcW w:w="569"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工资福利支出</w:t>
            </w:r>
          </w:p>
        </w:tc>
        <w:tc>
          <w:tcPr>
            <w:tcW w:w="536"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债务利息及费用支出</w:t>
            </w:r>
          </w:p>
        </w:tc>
        <w:tc>
          <w:tcPr>
            <w:tcW w:w="578"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资本性支出</w:t>
            </w:r>
          </w:p>
        </w:tc>
        <w:tc>
          <w:tcPr>
            <w:tcW w:w="578"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对企业补助</w:t>
            </w:r>
          </w:p>
        </w:tc>
        <w:tc>
          <w:tcPr>
            <w:tcW w:w="420"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highlight w:val="none"/>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569"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highlight w:val="none"/>
              </w:rPr>
            </w:pPr>
          </w:p>
        </w:tc>
        <w:tc>
          <w:tcPr>
            <w:tcW w:w="397" w:type="dxa"/>
          </w:tcPr>
          <w:p>
            <w:pPr>
              <w:widowControl/>
              <w:jc w:val="center"/>
              <w:outlineLvl w:val="1"/>
              <w:rPr>
                <w:rFonts w:ascii="仿宋_GB2312" w:hAnsi="宋体" w:eastAsia="仿宋_GB2312"/>
                <w:kern w:val="0"/>
                <w:sz w:val="32"/>
                <w:szCs w:val="32"/>
                <w:highlight w:val="none"/>
              </w:rPr>
            </w:pPr>
          </w:p>
        </w:tc>
        <w:tc>
          <w:tcPr>
            <w:tcW w:w="397" w:type="dxa"/>
          </w:tcPr>
          <w:p>
            <w:pPr>
              <w:widowControl/>
              <w:jc w:val="center"/>
              <w:outlineLvl w:val="1"/>
              <w:rPr>
                <w:rFonts w:ascii="仿宋_GB2312" w:hAnsi="宋体" w:eastAsia="仿宋_GB2312"/>
                <w:kern w:val="0"/>
                <w:sz w:val="32"/>
                <w:szCs w:val="32"/>
                <w:highlight w:val="none"/>
              </w:rPr>
            </w:pPr>
          </w:p>
        </w:tc>
        <w:tc>
          <w:tcPr>
            <w:tcW w:w="851" w:type="dxa"/>
          </w:tcPr>
          <w:p>
            <w:pPr>
              <w:widowControl/>
              <w:jc w:val="center"/>
              <w:outlineLvl w:val="1"/>
              <w:rPr>
                <w:rFonts w:ascii="仿宋_GB2312" w:hAnsi="宋体" w:eastAsia="仿宋_GB2312"/>
                <w:kern w:val="0"/>
                <w:sz w:val="32"/>
                <w:szCs w:val="32"/>
                <w:highlight w:val="none"/>
              </w:rPr>
            </w:pPr>
          </w:p>
        </w:tc>
        <w:tc>
          <w:tcPr>
            <w:tcW w:w="1456" w:type="dxa"/>
          </w:tcPr>
          <w:p>
            <w:pPr>
              <w:widowControl/>
              <w:jc w:val="center"/>
              <w:outlineLvl w:val="1"/>
              <w:rPr>
                <w:rFonts w:ascii="仿宋_GB2312" w:hAnsi="宋体" w:eastAsia="仿宋_GB2312"/>
                <w:kern w:val="0"/>
                <w:sz w:val="32"/>
                <w:szCs w:val="32"/>
                <w:highlight w:val="none"/>
              </w:rPr>
            </w:pPr>
          </w:p>
        </w:tc>
        <w:tc>
          <w:tcPr>
            <w:tcW w:w="750" w:type="dxa"/>
          </w:tcPr>
          <w:p>
            <w:pPr>
              <w:widowControl/>
              <w:jc w:val="right"/>
              <w:outlineLvl w:val="1"/>
              <w:rPr>
                <w:rFonts w:ascii="仿宋_GB2312" w:hAnsi="宋体" w:eastAsia="仿宋_GB2312"/>
                <w:kern w:val="0"/>
                <w:sz w:val="32"/>
                <w:szCs w:val="32"/>
                <w:highlight w:val="none"/>
              </w:rPr>
            </w:pPr>
          </w:p>
        </w:tc>
        <w:tc>
          <w:tcPr>
            <w:tcW w:w="569" w:type="dxa"/>
          </w:tcPr>
          <w:p>
            <w:pPr>
              <w:widowControl/>
              <w:jc w:val="right"/>
              <w:outlineLvl w:val="1"/>
              <w:rPr>
                <w:rFonts w:ascii="仿宋_GB2312" w:hAnsi="宋体" w:eastAsia="仿宋_GB2312"/>
                <w:kern w:val="0"/>
                <w:sz w:val="32"/>
                <w:szCs w:val="32"/>
                <w:highlight w:val="none"/>
              </w:rPr>
            </w:pPr>
          </w:p>
        </w:tc>
        <w:tc>
          <w:tcPr>
            <w:tcW w:w="536"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highlight w:val="none"/>
              </w:rPr>
            </w:pPr>
          </w:p>
        </w:tc>
        <w:tc>
          <w:tcPr>
            <w:tcW w:w="397" w:type="dxa"/>
          </w:tcPr>
          <w:p>
            <w:pPr>
              <w:widowControl/>
              <w:jc w:val="center"/>
              <w:outlineLvl w:val="1"/>
              <w:rPr>
                <w:rFonts w:ascii="仿宋_GB2312" w:hAnsi="宋体" w:eastAsia="仿宋_GB2312"/>
                <w:kern w:val="0"/>
                <w:sz w:val="32"/>
                <w:szCs w:val="32"/>
                <w:highlight w:val="none"/>
              </w:rPr>
            </w:pPr>
          </w:p>
        </w:tc>
        <w:tc>
          <w:tcPr>
            <w:tcW w:w="397" w:type="dxa"/>
          </w:tcPr>
          <w:p>
            <w:pPr>
              <w:widowControl/>
              <w:jc w:val="center"/>
              <w:outlineLvl w:val="1"/>
              <w:rPr>
                <w:rFonts w:ascii="仿宋_GB2312" w:hAnsi="宋体" w:eastAsia="仿宋_GB2312"/>
                <w:kern w:val="0"/>
                <w:sz w:val="32"/>
                <w:szCs w:val="32"/>
                <w:highlight w:val="none"/>
              </w:rPr>
            </w:pPr>
          </w:p>
        </w:tc>
        <w:tc>
          <w:tcPr>
            <w:tcW w:w="851" w:type="dxa"/>
          </w:tcPr>
          <w:p>
            <w:pPr>
              <w:widowControl/>
              <w:jc w:val="center"/>
              <w:outlineLvl w:val="1"/>
              <w:rPr>
                <w:rFonts w:ascii="仿宋_GB2312" w:hAnsi="宋体" w:eastAsia="仿宋_GB2312"/>
                <w:kern w:val="0"/>
                <w:sz w:val="32"/>
                <w:szCs w:val="32"/>
                <w:highlight w:val="none"/>
              </w:rPr>
            </w:pPr>
          </w:p>
        </w:tc>
        <w:tc>
          <w:tcPr>
            <w:tcW w:w="1456" w:type="dxa"/>
          </w:tcPr>
          <w:p>
            <w:pPr>
              <w:widowControl/>
              <w:jc w:val="center"/>
              <w:outlineLvl w:val="1"/>
              <w:rPr>
                <w:rFonts w:ascii="仿宋_GB2312" w:hAnsi="宋体" w:eastAsia="仿宋_GB2312"/>
                <w:kern w:val="0"/>
                <w:sz w:val="32"/>
                <w:szCs w:val="32"/>
                <w:highlight w:val="none"/>
              </w:rPr>
            </w:pPr>
          </w:p>
        </w:tc>
        <w:tc>
          <w:tcPr>
            <w:tcW w:w="750" w:type="dxa"/>
          </w:tcPr>
          <w:p>
            <w:pPr>
              <w:widowControl/>
              <w:jc w:val="right"/>
              <w:outlineLvl w:val="1"/>
              <w:rPr>
                <w:rFonts w:ascii="仿宋_GB2312" w:hAnsi="宋体" w:eastAsia="仿宋_GB2312"/>
                <w:kern w:val="0"/>
                <w:sz w:val="32"/>
                <w:szCs w:val="32"/>
                <w:highlight w:val="none"/>
              </w:rPr>
            </w:pPr>
          </w:p>
        </w:tc>
        <w:tc>
          <w:tcPr>
            <w:tcW w:w="569" w:type="dxa"/>
          </w:tcPr>
          <w:p>
            <w:pPr>
              <w:widowControl/>
              <w:jc w:val="right"/>
              <w:outlineLvl w:val="1"/>
              <w:rPr>
                <w:rFonts w:ascii="仿宋_GB2312" w:hAnsi="宋体" w:eastAsia="仿宋_GB2312"/>
                <w:kern w:val="0"/>
                <w:sz w:val="32"/>
                <w:szCs w:val="32"/>
                <w:highlight w:val="none"/>
              </w:rPr>
            </w:pPr>
          </w:p>
        </w:tc>
        <w:tc>
          <w:tcPr>
            <w:tcW w:w="536"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highlight w:val="none"/>
              </w:rPr>
            </w:pPr>
          </w:p>
        </w:tc>
        <w:tc>
          <w:tcPr>
            <w:tcW w:w="397" w:type="dxa"/>
          </w:tcPr>
          <w:p>
            <w:pPr>
              <w:widowControl/>
              <w:jc w:val="center"/>
              <w:outlineLvl w:val="1"/>
              <w:rPr>
                <w:rFonts w:ascii="仿宋_GB2312" w:hAnsi="宋体" w:eastAsia="仿宋_GB2312"/>
                <w:kern w:val="0"/>
                <w:sz w:val="32"/>
                <w:szCs w:val="32"/>
                <w:highlight w:val="none"/>
              </w:rPr>
            </w:pPr>
          </w:p>
        </w:tc>
        <w:tc>
          <w:tcPr>
            <w:tcW w:w="397" w:type="dxa"/>
          </w:tcPr>
          <w:p>
            <w:pPr>
              <w:widowControl/>
              <w:jc w:val="center"/>
              <w:outlineLvl w:val="1"/>
              <w:rPr>
                <w:rFonts w:ascii="仿宋_GB2312" w:hAnsi="宋体" w:eastAsia="仿宋_GB2312"/>
                <w:kern w:val="0"/>
                <w:sz w:val="32"/>
                <w:szCs w:val="32"/>
                <w:highlight w:val="none"/>
              </w:rPr>
            </w:pPr>
          </w:p>
        </w:tc>
        <w:tc>
          <w:tcPr>
            <w:tcW w:w="851" w:type="dxa"/>
          </w:tcPr>
          <w:p>
            <w:pPr>
              <w:widowControl/>
              <w:jc w:val="center"/>
              <w:outlineLvl w:val="1"/>
              <w:rPr>
                <w:rFonts w:ascii="仿宋_GB2312" w:hAnsi="宋体" w:eastAsia="仿宋_GB2312"/>
                <w:kern w:val="0"/>
                <w:sz w:val="32"/>
                <w:szCs w:val="32"/>
                <w:highlight w:val="none"/>
              </w:rPr>
            </w:pPr>
          </w:p>
        </w:tc>
        <w:tc>
          <w:tcPr>
            <w:tcW w:w="1456" w:type="dxa"/>
          </w:tcPr>
          <w:p>
            <w:pPr>
              <w:widowControl/>
              <w:jc w:val="center"/>
              <w:outlineLvl w:val="1"/>
              <w:rPr>
                <w:rFonts w:ascii="仿宋_GB2312" w:hAnsi="宋体" w:eastAsia="仿宋_GB2312"/>
                <w:kern w:val="0"/>
                <w:sz w:val="32"/>
                <w:szCs w:val="32"/>
                <w:highlight w:val="none"/>
              </w:rPr>
            </w:pPr>
          </w:p>
        </w:tc>
        <w:tc>
          <w:tcPr>
            <w:tcW w:w="750" w:type="dxa"/>
          </w:tcPr>
          <w:p>
            <w:pPr>
              <w:widowControl/>
              <w:jc w:val="right"/>
              <w:outlineLvl w:val="1"/>
              <w:rPr>
                <w:rFonts w:ascii="仿宋_GB2312" w:hAnsi="宋体" w:eastAsia="仿宋_GB2312"/>
                <w:kern w:val="0"/>
                <w:sz w:val="32"/>
                <w:szCs w:val="32"/>
                <w:highlight w:val="none"/>
              </w:rPr>
            </w:pPr>
          </w:p>
        </w:tc>
        <w:tc>
          <w:tcPr>
            <w:tcW w:w="569" w:type="dxa"/>
          </w:tcPr>
          <w:p>
            <w:pPr>
              <w:widowControl/>
              <w:jc w:val="right"/>
              <w:outlineLvl w:val="1"/>
              <w:rPr>
                <w:rFonts w:ascii="仿宋_GB2312" w:hAnsi="宋体" w:eastAsia="仿宋_GB2312"/>
                <w:kern w:val="0"/>
                <w:sz w:val="32"/>
                <w:szCs w:val="32"/>
                <w:highlight w:val="none"/>
              </w:rPr>
            </w:pPr>
          </w:p>
        </w:tc>
        <w:tc>
          <w:tcPr>
            <w:tcW w:w="536"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highlight w:val="none"/>
              </w:rPr>
            </w:pPr>
          </w:p>
        </w:tc>
        <w:tc>
          <w:tcPr>
            <w:tcW w:w="397" w:type="dxa"/>
          </w:tcPr>
          <w:p>
            <w:pPr>
              <w:widowControl/>
              <w:jc w:val="center"/>
              <w:outlineLvl w:val="1"/>
              <w:rPr>
                <w:rFonts w:ascii="仿宋_GB2312" w:hAnsi="宋体" w:eastAsia="仿宋_GB2312"/>
                <w:kern w:val="0"/>
                <w:sz w:val="32"/>
                <w:szCs w:val="32"/>
                <w:highlight w:val="none"/>
              </w:rPr>
            </w:pPr>
          </w:p>
        </w:tc>
        <w:tc>
          <w:tcPr>
            <w:tcW w:w="397" w:type="dxa"/>
          </w:tcPr>
          <w:p>
            <w:pPr>
              <w:widowControl/>
              <w:jc w:val="center"/>
              <w:outlineLvl w:val="1"/>
              <w:rPr>
                <w:rFonts w:ascii="仿宋_GB2312" w:hAnsi="宋体" w:eastAsia="仿宋_GB2312"/>
                <w:kern w:val="0"/>
                <w:sz w:val="32"/>
                <w:szCs w:val="32"/>
                <w:highlight w:val="none"/>
              </w:rPr>
            </w:pPr>
          </w:p>
        </w:tc>
        <w:tc>
          <w:tcPr>
            <w:tcW w:w="851" w:type="dxa"/>
          </w:tcPr>
          <w:p>
            <w:pPr>
              <w:widowControl/>
              <w:jc w:val="center"/>
              <w:outlineLvl w:val="1"/>
              <w:rPr>
                <w:rFonts w:ascii="仿宋_GB2312" w:hAnsi="宋体" w:eastAsia="仿宋_GB2312"/>
                <w:kern w:val="0"/>
                <w:sz w:val="32"/>
                <w:szCs w:val="32"/>
                <w:highlight w:val="none"/>
              </w:rPr>
            </w:pPr>
          </w:p>
        </w:tc>
        <w:tc>
          <w:tcPr>
            <w:tcW w:w="1456" w:type="dxa"/>
          </w:tcPr>
          <w:p>
            <w:pPr>
              <w:widowControl/>
              <w:jc w:val="center"/>
              <w:outlineLvl w:val="1"/>
              <w:rPr>
                <w:rFonts w:ascii="仿宋_GB2312" w:hAnsi="宋体" w:eastAsia="仿宋_GB2312"/>
                <w:kern w:val="0"/>
                <w:sz w:val="32"/>
                <w:szCs w:val="32"/>
                <w:highlight w:val="none"/>
              </w:rPr>
            </w:pPr>
          </w:p>
        </w:tc>
        <w:tc>
          <w:tcPr>
            <w:tcW w:w="750" w:type="dxa"/>
          </w:tcPr>
          <w:p>
            <w:pPr>
              <w:widowControl/>
              <w:jc w:val="right"/>
              <w:outlineLvl w:val="1"/>
              <w:rPr>
                <w:rFonts w:ascii="仿宋_GB2312" w:hAnsi="宋体" w:eastAsia="仿宋_GB2312"/>
                <w:kern w:val="0"/>
                <w:sz w:val="32"/>
                <w:szCs w:val="32"/>
                <w:highlight w:val="none"/>
              </w:rPr>
            </w:pPr>
          </w:p>
        </w:tc>
        <w:tc>
          <w:tcPr>
            <w:tcW w:w="569" w:type="dxa"/>
          </w:tcPr>
          <w:p>
            <w:pPr>
              <w:widowControl/>
              <w:jc w:val="right"/>
              <w:outlineLvl w:val="1"/>
              <w:rPr>
                <w:rFonts w:ascii="仿宋_GB2312" w:hAnsi="宋体" w:eastAsia="仿宋_GB2312"/>
                <w:kern w:val="0"/>
                <w:sz w:val="32"/>
                <w:szCs w:val="32"/>
                <w:highlight w:val="none"/>
              </w:rPr>
            </w:pPr>
          </w:p>
        </w:tc>
        <w:tc>
          <w:tcPr>
            <w:tcW w:w="536"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highlight w:val="none"/>
              </w:rPr>
            </w:pPr>
          </w:p>
        </w:tc>
        <w:tc>
          <w:tcPr>
            <w:tcW w:w="397" w:type="dxa"/>
          </w:tcPr>
          <w:p>
            <w:pPr>
              <w:widowControl/>
              <w:jc w:val="center"/>
              <w:outlineLvl w:val="1"/>
              <w:rPr>
                <w:rFonts w:ascii="仿宋_GB2312" w:hAnsi="宋体" w:eastAsia="仿宋_GB2312"/>
                <w:kern w:val="0"/>
                <w:sz w:val="32"/>
                <w:szCs w:val="32"/>
                <w:highlight w:val="none"/>
              </w:rPr>
            </w:pPr>
          </w:p>
        </w:tc>
        <w:tc>
          <w:tcPr>
            <w:tcW w:w="397" w:type="dxa"/>
          </w:tcPr>
          <w:p>
            <w:pPr>
              <w:widowControl/>
              <w:jc w:val="center"/>
              <w:outlineLvl w:val="1"/>
              <w:rPr>
                <w:rFonts w:ascii="仿宋_GB2312" w:hAnsi="宋体" w:eastAsia="仿宋_GB2312"/>
                <w:kern w:val="0"/>
                <w:sz w:val="32"/>
                <w:szCs w:val="32"/>
                <w:highlight w:val="none"/>
              </w:rPr>
            </w:pPr>
          </w:p>
        </w:tc>
        <w:tc>
          <w:tcPr>
            <w:tcW w:w="851" w:type="dxa"/>
          </w:tcPr>
          <w:p>
            <w:pPr>
              <w:widowControl/>
              <w:jc w:val="center"/>
              <w:outlineLvl w:val="1"/>
              <w:rPr>
                <w:rFonts w:ascii="仿宋_GB2312" w:hAnsi="宋体" w:eastAsia="仿宋_GB2312"/>
                <w:kern w:val="0"/>
                <w:sz w:val="32"/>
                <w:szCs w:val="32"/>
                <w:highlight w:val="none"/>
              </w:rPr>
            </w:pPr>
          </w:p>
        </w:tc>
        <w:tc>
          <w:tcPr>
            <w:tcW w:w="1456" w:type="dxa"/>
          </w:tcPr>
          <w:p>
            <w:pPr>
              <w:widowControl/>
              <w:jc w:val="center"/>
              <w:outlineLvl w:val="1"/>
              <w:rPr>
                <w:rFonts w:ascii="仿宋_GB2312" w:hAnsi="宋体" w:eastAsia="仿宋_GB2312"/>
                <w:kern w:val="0"/>
                <w:sz w:val="32"/>
                <w:szCs w:val="32"/>
                <w:highlight w:val="none"/>
              </w:rPr>
            </w:pPr>
          </w:p>
        </w:tc>
        <w:tc>
          <w:tcPr>
            <w:tcW w:w="750" w:type="dxa"/>
          </w:tcPr>
          <w:p>
            <w:pPr>
              <w:widowControl/>
              <w:jc w:val="right"/>
              <w:outlineLvl w:val="1"/>
              <w:rPr>
                <w:rFonts w:ascii="仿宋_GB2312" w:hAnsi="宋体" w:eastAsia="仿宋_GB2312"/>
                <w:kern w:val="0"/>
                <w:sz w:val="32"/>
                <w:szCs w:val="32"/>
                <w:highlight w:val="none"/>
              </w:rPr>
            </w:pPr>
          </w:p>
        </w:tc>
        <w:tc>
          <w:tcPr>
            <w:tcW w:w="569" w:type="dxa"/>
          </w:tcPr>
          <w:p>
            <w:pPr>
              <w:widowControl/>
              <w:jc w:val="right"/>
              <w:outlineLvl w:val="1"/>
              <w:rPr>
                <w:rFonts w:ascii="仿宋_GB2312" w:hAnsi="宋体" w:eastAsia="仿宋_GB2312"/>
                <w:kern w:val="0"/>
                <w:sz w:val="32"/>
                <w:szCs w:val="32"/>
                <w:highlight w:val="none"/>
              </w:rPr>
            </w:pPr>
          </w:p>
        </w:tc>
        <w:tc>
          <w:tcPr>
            <w:tcW w:w="536"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highlight w:val="none"/>
              </w:rPr>
            </w:pPr>
          </w:p>
        </w:tc>
        <w:tc>
          <w:tcPr>
            <w:tcW w:w="397" w:type="dxa"/>
          </w:tcPr>
          <w:p>
            <w:pPr>
              <w:widowControl/>
              <w:jc w:val="center"/>
              <w:outlineLvl w:val="1"/>
              <w:rPr>
                <w:rFonts w:ascii="仿宋_GB2312" w:hAnsi="宋体" w:eastAsia="仿宋_GB2312"/>
                <w:kern w:val="0"/>
                <w:sz w:val="32"/>
                <w:szCs w:val="32"/>
                <w:highlight w:val="none"/>
              </w:rPr>
            </w:pPr>
          </w:p>
        </w:tc>
        <w:tc>
          <w:tcPr>
            <w:tcW w:w="397" w:type="dxa"/>
          </w:tcPr>
          <w:p>
            <w:pPr>
              <w:widowControl/>
              <w:jc w:val="center"/>
              <w:outlineLvl w:val="1"/>
              <w:rPr>
                <w:rFonts w:ascii="仿宋_GB2312" w:hAnsi="宋体" w:eastAsia="仿宋_GB2312"/>
                <w:kern w:val="0"/>
                <w:sz w:val="32"/>
                <w:szCs w:val="32"/>
                <w:highlight w:val="none"/>
              </w:rPr>
            </w:pPr>
          </w:p>
        </w:tc>
        <w:tc>
          <w:tcPr>
            <w:tcW w:w="851" w:type="dxa"/>
          </w:tcPr>
          <w:p>
            <w:pPr>
              <w:widowControl/>
              <w:jc w:val="center"/>
              <w:outlineLvl w:val="1"/>
              <w:rPr>
                <w:rFonts w:ascii="仿宋_GB2312" w:hAnsi="宋体" w:eastAsia="仿宋_GB2312"/>
                <w:kern w:val="0"/>
                <w:sz w:val="32"/>
                <w:szCs w:val="32"/>
                <w:highlight w:val="none"/>
              </w:rPr>
            </w:pPr>
          </w:p>
        </w:tc>
        <w:tc>
          <w:tcPr>
            <w:tcW w:w="1456" w:type="dxa"/>
          </w:tcPr>
          <w:p>
            <w:pPr>
              <w:widowControl/>
              <w:jc w:val="center"/>
              <w:outlineLvl w:val="1"/>
              <w:rPr>
                <w:rFonts w:ascii="仿宋_GB2312" w:hAnsi="宋体" w:eastAsia="仿宋_GB2312"/>
                <w:kern w:val="0"/>
                <w:sz w:val="32"/>
                <w:szCs w:val="32"/>
                <w:highlight w:val="none"/>
              </w:rPr>
            </w:pPr>
          </w:p>
        </w:tc>
        <w:tc>
          <w:tcPr>
            <w:tcW w:w="750" w:type="dxa"/>
          </w:tcPr>
          <w:p>
            <w:pPr>
              <w:widowControl/>
              <w:jc w:val="right"/>
              <w:outlineLvl w:val="1"/>
              <w:rPr>
                <w:rFonts w:ascii="仿宋_GB2312" w:hAnsi="宋体" w:eastAsia="仿宋_GB2312"/>
                <w:kern w:val="0"/>
                <w:sz w:val="32"/>
                <w:szCs w:val="32"/>
                <w:highlight w:val="none"/>
              </w:rPr>
            </w:pPr>
          </w:p>
        </w:tc>
        <w:tc>
          <w:tcPr>
            <w:tcW w:w="569" w:type="dxa"/>
          </w:tcPr>
          <w:p>
            <w:pPr>
              <w:widowControl/>
              <w:jc w:val="right"/>
              <w:outlineLvl w:val="1"/>
              <w:rPr>
                <w:rFonts w:ascii="仿宋_GB2312" w:hAnsi="宋体" w:eastAsia="仿宋_GB2312"/>
                <w:kern w:val="0"/>
                <w:sz w:val="32"/>
                <w:szCs w:val="32"/>
                <w:highlight w:val="none"/>
              </w:rPr>
            </w:pPr>
          </w:p>
        </w:tc>
        <w:tc>
          <w:tcPr>
            <w:tcW w:w="536"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highlight w:val="none"/>
              </w:rPr>
            </w:pPr>
          </w:p>
        </w:tc>
        <w:tc>
          <w:tcPr>
            <w:tcW w:w="397" w:type="dxa"/>
          </w:tcPr>
          <w:p>
            <w:pPr>
              <w:widowControl/>
              <w:jc w:val="center"/>
              <w:outlineLvl w:val="1"/>
              <w:rPr>
                <w:rFonts w:ascii="仿宋_GB2312" w:hAnsi="宋体" w:eastAsia="仿宋_GB2312"/>
                <w:kern w:val="0"/>
                <w:sz w:val="32"/>
                <w:szCs w:val="32"/>
                <w:highlight w:val="none"/>
              </w:rPr>
            </w:pPr>
          </w:p>
        </w:tc>
        <w:tc>
          <w:tcPr>
            <w:tcW w:w="397" w:type="dxa"/>
          </w:tcPr>
          <w:p>
            <w:pPr>
              <w:widowControl/>
              <w:jc w:val="center"/>
              <w:outlineLvl w:val="1"/>
              <w:rPr>
                <w:rFonts w:ascii="仿宋_GB2312" w:hAnsi="宋体" w:eastAsia="仿宋_GB2312"/>
                <w:kern w:val="0"/>
                <w:sz w:val="32"/>
                <w:szCs w:val="32"/>
                <w:highlight w:val="none"/>
              </w:rPr>
            </w:pPr>
          </w:p>
        </w:tc>
        <w:tc>
          <w:tcPr>
            <w:tcW w:w="851" w:type="dxa"/>
          </w:tcPr>
          <w:p>
            <w:pPr>
              <w:widowControl/>
              <w:jc w:val="center"/>
              <w:outlineLvl w:val="1"/>
              <w:rPr>
                <w:rFonts w:ascii="仿宋_GB2312" w:hAnsi="宋体" w:eastAsia="仿宋_GB2312"/>
                <w:kern w:val="0"/>
                <w:sz w:val="32"/>
                <w:szCs w:val="32"/>
                <w:highlight w:val="none"/>
              </w:rPr>
            </w:pPr>
          </w:p>
        </w:tc>
        <w:tc>
          <w:tcPr>
            <w:tcW w:w="1456" w:type="dxa"/>
          </w:tcPr>
          <w:p>
            <w:pPr>
              <w:widowControl/>
              <w:jc w:val="center"/>
              <w:outlineLvl w:val="1"/>
              <w:rPr>
                <w:rFonts w:ascii="仿宋_GB2312" w:hAnsi="宋体" w:eastAsia="仿宋_GB2312"/>
                <w:kern w:val="0"/>
                <w:sz w:val="32"/>
                <w:szCs w:val="32"/>
                <w:highlight w:val="none"/>
              </w:rPr>
            </w:pPr>
          </w:p>
        </w:tc>
        <w:tc>
          <w:tcPr>
            <w:tcW w:w="750" w:type="dxa"/>
          </w:tcPr>
          <w:p>
            <w:pPr>
              <w:widowControl/>
              <w:jc w:val="right"/>
              <w:outlineLvl w:val="1"/>
              <w:rPr>
                <w:rFonts w:ascii="仿宋_GB2312" w:hAnsi="宋体" w:eastAsia="仿宋_GB2312"/>
                <w:kern w:val="0"/>
                <w:sz w:val="32"/>
                <w:szCs w:val="32"/>
                <w:highlight w:val="none"/>
              </w:rPr>
            </w:pPr>
          </w:p>
        </w:tc>
        <w:tc>
          <w:tcPr>
            <w:tcW w:w="569" w:type="dxa"/>
          </w:tcPr>
          <w:p>
            <w:pPr>
              <w:widowControl/>
              <w:jc w:val="right"/>
              <w:outlineLvl w:val="1"/>
              <w:rPr>
                <w:rFonts w:ascii="仿宋_GB2312" w:hAnsi="宋体" w:eastAsia="仿宋_GB2312"/>
                <w:kern w:val="0"/>
                <w:sz w:val="32"/>
                <w:szCs w:val="32"/>
                <w:highlight w:val="none"/>
              </w:rPr>
            </w:pPr>
          </w:p>
        </w:tc>
        <w:tc>
          <w:tcPr>
            <w:tcW w:w="536"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highlight w:val="none"/>
              </w:rPr>
            </w:pPr>
          </w:p>
        </w:tc>
        <w:tc>
          <w:tcPr>
            <w:tcW w:w="397" w:type="dxa"/>
          </w:tcPr>
          <w:p>
            <w:pPr>
              <w:widowControl/>
              <w:jc w:val="center"/>
              <w:outlineLvl w:val="1"/>
              <w:rPr>
                <w:rFonts w:ascii="仿宋_GB2312" w:hAnsi="宋体" w:eastAsia="仿宋_GB2312"/>
                <w:kern w:val="0"/>
                <w:sz w:val="32"/>
                <w:szCs w:val="32"/>
                <w:highlight w:val="none"/>
              </w:rPr>
            </w:pPr>
          </w:p>
        </w:tc>
        <w:tc>
          <w:tcPr>
            <w:tcW w:w="397" w:type="dxa"/>
          </w:tcPr>
          <w:p>
            <w:pPr>
              <w:widowControl/>
              <w:jc w:val="center"/>
              <w:outlineLvl w:val="1"/>
              <w:rPr>
                <w:rFonts w:ascii="仿宋_GB2312" w:hAnsi="宋体" w:eastAsia="仿宋_GB2312"/>
                <w:kern w:val="0"/>
                <w:sz w:val="32"/>
                <w:szCs w:val="32"/>
                <w:highlight w:val="none"/>
              </w:rPr>
            </w:pPr>
          </w:p>
        </w:tc>
        <w:tc>
          <w:tcPr>
            <w:tcW w:w="851" w:type="dxa"/>
          </w:tcPr>
          <w:p>
            <w:pPr>
              <w:widowControl/>
              <w:jc w:val="center"/>
              <w:outlineLvl w:val="1"/>
              <w:rPr>
                <w:rFonts w:ascii="仿宋_GB2312" w:hAnsi="宋体" w:eastAsia="仿宋_GB2312"/>
                <w:kern w:val="0"/>
                <w:sz w:val="32"/>
                <w:szCs w:val="32"/>
                <w:highlight w:val="none"/>
              </w:rPr>
            </w:pPr>
          </w:p>
        </w:tc>
        <w:tc>
          <w:tcPr>
            <w:tcW w:w="1456" w:type="dxa"/>
          </w:tcPr>
          <w:p>
            <w:pPr>
              <w:widowControl/>
              <w:jc w:val="center"/>
              <w:outlineLvl w:val="1"/>
              <w:rPr>
                <w:rFonts w:ascii="仿宋_GB2312" w:hAnsi="宋体" w:eastAsia="仿宋_GB2312"/>
                <w:kern w:val="0"/>
                <w:sz w:val="32"/>
                <w:szCs w:val="32"/>
                <w:highlight w:val="none"/>
              </w:rPr>
            </w:pPr>
          </w:p>
        </w:tc>
        <w:tc>
          <w:tcPr>
            <w:tcW w:w="750" w:type="dxa"/>
          </w:tcPr>
          <w:p>
            <w:pPr>
              <w:widowControl/>
              <w:jc w:val="right"/>
              <w:outlineLvl w:val="1"/>
              <w:rPr>
                <w:rFonts w:ascii="仿宋_GB2312" w:hAnsi="宋体" w:eastAsia="仿宋_GB2312"/>
                <w:kern w:val="0"/>
                <w:sz w:val="32"/>
                <w:szCs w:val="32"/>
                <w:highlight w:val="none"/>
              </w:rPr>
            </w:pPr>
          </w:p>
        </w:tc>
        <w:tc>
          <w:tcPr>
            <w:tcW w:w="569" w:type="dxa"/>
          </w:tcPr>
          <w:p>
            <w:pPr>
              <w:widowControl/>
              <w:jc w:val="right"/>
              <w:outlineLvl w:val="1"/>
              <w:rPr>
                <w:rFonts w:ascii="仿宋_GB2312" w:hAnsi="宋体" w:eastAsia="仿宋_GB2312"/>
                <w:kern w:val="0"/>
                <w:sz w:val="32"/>
                <w:szCs w:val="32"/>
                <w:highlight w:val="none"/>
              </w:rPr>
            </w:pPr>
          </w:p>
        </w:tc>
        <w:tc>
          <w:tcPr>
            <w:tcW w:w="536"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highlight w:val="none"/>
              </w:rPr>
            </w:pPr>
          </w:p>
        </w:tc>
        <w:tc>
          <w:tcPr>
            <w:tcW w:w="397" w:type="dxa"/>
          </w:tcPr>
          <w:p>
            <w:pPr>
              <w:widowControl/>
              <w:jc w:val="center"/>
              <w:outlineLvl w:val="1"/>
              <w:rPr>
                <w:rFonts w:ascii="仿宋_GB2312" w:hAnsi="宋体" w:eastAsia="仿宋_GB2312"/>
                <w:kern w:val="0"/>
                <w:sz w:val="32"/>
                <w:szCs w:val="32"/>
                <w:highlight w:val="none"/>
              </w:rPr>
            </w:pPr>
          </w:p>
        </w:tc>
        <w:tc>
          <w:tcPr>
            <w:tcW w:w="397" w:type="dxa"/>
          </w:tcPr>
          <w:p>
            <w:pPr>
              <w:widowControl/>
              <w:jc w:val="center"/>
              <w:outlineLvl w:val="1"/>
              <w:rPr>
                <w:rFonts w:ascii="仿宋_GB2312" w:hAnsi="宋体" w:eastAsia="仿宋_GB2312"/>
                <w:kern w:val="0"/>
                <w:sz w:val="32"/>
                <w:szCs w:val="32"/>
                <w:highlight w:val="none"/>
              </w:rPr>
            </w:pPr>
          </w:p>
        </w:tc>
        <w:tc>
          <w:tcPr>
            <w:tcW w:w="851" w:type="dxa"/>
          </w:tcPr>
          <w:p>
            <w:pPr>
              <w:widowControl/>
              <w:jc w:val="center"/>
              <w:outlineLvl w:val="1"/>
              <w:rPr>
                <w:rFonts w:ascii="仿宋_GB2312" w:hAnsi="宋体" w:eastAsia="仿宋_GB2312"/>
                <w:kern w:val="0"/>
                <w:sz w:val="32"/>
                <w:szCs w:val="32"/>
                <w:highlight w:val="none"/>
              </w:rPr>
            </w:pPr>
          </w:p>
        </w:tc>
        <w:tc>
          <w:tcPr>
            <w:tcW w:w="1456" w:type="dxa"/>
          </w:tcPr>
          <w:p>
            <w:pPr>
              <w:widowControl/>
              <w:jc w:val="center"/>
              <w:outlineLvl w:val="1"/>
              <w:rPr>
                <w:rFonts w:ascii="仿宋_GB2312" w:hAnsi="宋体" w:eastAsia="仿宋_GB2312"/>
                <w:kern w:val="0"/>
                <w:sz w:val="32"/>
                <w:szCs w:val="32"/>
                <w:highlight w:val="none"/>
              </w:rPr>
            </w:pPr>
          </w:p>
        </w:tc>
        <w:tc>
          <w:tcPr>
            <w:tcW w:w="750" w:type="dxa"/>
          </w:tcPr>
          <w:p>
            <w:pPr>
              <w:widowControl/>
              <w:jc w:val="right"/>
              <w:outlineLvl w:val="1"/>
              <w:rPr>
                <w:rFonts w:ascii="仿宋_GB2312" w:hAnsi="宋体" w:eastAsia="仿宋_GB2312"/>
                <w:kern w:val="0"/>
                <w:sz w:val="32"/>
                <w:szCs w:val="32"/>
                <w:highlight w:val="none"/>
              </w:rPr>
            </w:pPr>
          </w:p>
        </w:tc>
        <w:tc>
          <w:tcPr>
            <w:tcW w:w="569" w:type="dxa"/>
          </w:tcPr>
          <w:p>
            <w:pPr>
              <w:widowControl/>
              <w:jc w:val="right"/>
              <w:outlineLvl w:val="1"/>
              <w:rPr>
                <w:rFonts w:ascii="仿宋_GB2312" w:hAnsi="宋体" w:eastAsia="仿宋_GB2312"/>
                <w:kern w:val="0"/>
                <w:sz w:val="32"/>
                <w:szCs w:val="32"/>
                <w:highlight w:val="none"/>
              </w:rPr>
            </w:pPr>
          </w:p>
        </w:tc>
        <w:tc>
          <w:tcPr>
            <w:tcW w:w="536"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highlight w:val="none"/>
              </w:rPr>
            </w:pPr>
          </w:p>
        </w:tc>
        <w:tc>
          <w:tcPr>
            <w:tcW w:w="397" w:type="dxa"/>
          </w:tcPr>
          <w:p>
            <w:pPr>
              <w:widowControl/>
              <w:jc w:val="center"/>
              <w:outlineLvl w:val="1"/>
              <w:rPr>
                <w:rFonts w:ascii="仿宋_GB2312" w:hAnsi="宋体" w:eastAsia="仿宋_GB2312"/>
                <w:kern w:val="0"/>
                <w:sz w:val="32"/>
                <w:szCs w:val="32"/>
                <w:highlight w:val="none"/>
              </w:rPr>
            </w:pPr>
          </w:p>
        </w:tc>
        <w:tc>
          <w:tcPr>
            <w:tcW w:w="397" w:type="dxa"/>
          </w:tcPr>
          <w:p>
            <w:pPr>
              <w:widowControl/>
              <w:jc w:val="center"/>
              <w:outlineLvl w:val="1"/>
              <w:rPr>
                <w:rFonts w:ascii="仿宋_GB2312" w:hAnsi="宋体" w:eastAsia="仿宋_GB2312"/>
                <w:kern w:val="0"/>
                <w:sz w:val="32"/>
                <w:szCs w:val="32"/>
                <w:highlight w:val="none"/>
              </w:rPr>
            </w:pPr>
          </w:p>
        </w:tc>
        <w:tc>
          <w:tcPr>
            <w:tcW w:w="851" w:type="dxa"/>
          </w:tcPr>
          <w:p>
            <w:pPr>
              <w:widowControl/>
              <w:jc w:val="center"/>
              <w:outlineLvl w:val="1"/>
              <w:rPr>
                <w:rFonts w:ascii="仿宋_GB2312" w:hAnsi="宋体" w:eastAsia="仿宋_GB2312"/>
                <w:kern w:val="0"/>
                <w:sz w:val="32"/>
                <w:szCs w:val="32"/>
                <w:highlight w:val="none"/>
              </w:rPr>
            </w:pPr>
          </w:p>
        </w:tc>
        <w:tc>
          <w:tcPr>
            <w:tcW w:w="1456" w:type="dxa"/>
          </w:tcPr>
          <w:p>
            <w:pPr>
              <w:widowControl/>
              <w:jc w:val="center"/>
              <w:outlineLvl w:val="1"/>
              <w:rPr>
                <w:rFonts w:ascii="仿宋_GB2312" w:hAnsi="宋体" w:eastAsia="仿宋_GB2312"/>
                <w:kern w:val="0"/>
                <w:sz w:val="32"/>
                <w:szCs w:val="32"/>
                <w:highlight w:val="none"/>
              </w:rPr>
            </w:pPr>
          </w:p>
        </w:tc>
        <w:tc>
          <w:tcPr>
            <w:tcW w:w="750" w:type="dxa"/>
          </w:tcPr>
          <w:p>
            <w:pPr>
              <w:widowControl/>
              <w:jc w:val="right"/>
              <w:outlineLvl w:val="1"/>
              <w:rPr>
                <w:rFonts w:ascii="仿宋_GB2312" w:hAnsi="宋体" w:eastAsia="仿宋_GB2312"/>
                <w:kern w:val="0"/>
                <w:sz w:val="32"/>
                <w:szCs w:val="32"/>
                <w:highlight w:val="none"/>
              </w:rPr>
            </w:pPr>
          </w:p>
        </w:tc>
        <w:tc>
          <w:tcPr>
            <w:tcW w:w="569" w:type="dxa"/>
          </w:tcPr>
          <w:p>
            <w:pPr>
              <w:widowControl/>
              <w:jc w:val="right"/>
              <w:outlineLvl w:val="1"/>
              <w:rPr>
                <w:rFonts w:ascii="仿宋_GB2312" w:hAnsi="宋体" w:eastAsia="仿宋_GB2312"/>
                <w:kern w:val="0"/>
                <w:sz w:val="32"/>
                <w:szCs w:val="32"/>
                <w:highlight w:val="none"/>
              </w:rPr>
            </w:pPr>
          </w:p>
        </w:tc>
        <w:tc>
          <w:tcPr>
            <w:tcW w:w="536"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highlight w:val="none"/>
              </w:rPr>
            </w:pPr>
          </w:p>
        </w:tc>
        <w:tc>
          <w:tcPr>
            <w:tcW w:w="397" w:type="dxa"/>
          </w:tcPr>
          <w:p>
            <w:pPr>
              <w:widowControl/>
              <w:jc w:val="center"/>
              <w:outlineLvl w:val="1"/>
              <w:rPr>
                <w:rFonts w:ascii="仿宋_GB2312" w:hAnsi="宋体" w:eastAsia="仿宋_GB2312"/>
                <w:kern w:val="0"/>
                <w:sz w:val="32"/>
                <w:szCs w:val="32"/>
                <w:highlight w:val="none"/>
              </w:rPr>
            </w:pPr>
          </w:p>
        </w:tc>
        <w:tc>
          <w:tcPr>
            <w:tcW w:w="397" w:type="dxa"/>
          </w:tcPr>
          <w:p>
            <w:pPr>
              <w:widowControl/>
              <w:jc w:val="center"/>
              <w:outlineLvl w:val="1"/>
              <w:rPr>
                <w:rFonts w:ascii="仿宋_GB2312" w:hAnsi="宋体" w:eastAsia="仿宋_GB2312"/>
                <w:kern w:val="0"/>
                <w:sz w:val="32"/>
                <w:szCs w:val="32"/>
                <w:highlight w:val="none"/>
              </w:rPr>
            </w:pPr>
          </w:p>
        </w:tc>
        <w:tc>
          <w:tcPr>
            <w:tcW w:w="851" w:type="dxa"/>
          </w:tcPr>
          <w:p>
            <w:pPr>
              <w:widowControl/>
              <w:jc w:val="center"/>
              <w:outlineLvl w:val="1"/>
              <w:rPr>
                <w:rFonts w:ascii="仿宋_GB2312" w:hAnsi="宋体" w:eastAsia="仿宋_GB2312"/>
                <w:kern w:val="0"/>
                <w:sz w:val="32"/>
                <w:szCs w:val="32"/>
                <w:highlight w:val="none"/>
              </w:rPr>
            </w:pPr>
          </w:p>
        </w:tc>
        <w:tc>
          <w:tcPr>
            <w:tcW w:w="1456" w:type="dxa"/>
          </w:tcPr>
          <w:p>
            <w:pPr>
              <w:widowControl/>
              <w:jc w:val="center"/>
              <w:outlineLvl w:val="1"/>
              <w:rPr>
                <w:rFonts w:ascii="仿宋_GB2312" w:hAnsi="宋体" w:eastAsia="仿宋_GB2312"/>
                <w:kern w:val="0"/>
                <w:sz w:val="32"/>
                <w:szCs w:val="32"/>
                <w:highlight w:val="none"/>
              </w:rPr>
            </w:pPr>
          </w:p>
        </w:tc>
        <w:tc>
          <w:tcPr>
            <w:tcW w:w="750" w:type="dxa"/>
          </w:tcPr>
          <w:p>
            <w:pPr>
              <w:widowControl/>
              <w:jc w:val="right"/>
              <w:outlineLvl w:val="1"/>
              <w:rPr>
                <w:rFonts w:ascii="仿宋_GB2312" w:hAnsi="宋体" w:eastAsia="仿宋_GB2312"/>
                <w:kern w:val="0"/>
                <w:sz w:val="32"/>
                <w:szCs w:val="32"/>
                <w:highlight w:val="none"/>
              </w:rPr>
            </w:pPr>
          </w:p>
        </w:tc>
        <w:tc>
          <w:tcPr>
            <w:tcW w:w="569" w:type="dxa"/>
          </w:tcPr>
          <w:p>
            <w:pPr>
              <w:widowControl/>
              <w:jc w:val="right"/>
              <w:outlineLvl w:val="1"/>
              <w:rPr>
                <w:rFonts w:ascii="仿宋_GB2312" w:hAnsi="宋体" w:eastAsia="仿宋_GB2312"/>
                <w:kern w:val="0"/>
                <w:sz w:val="32"/>
                <w:szCs w:val="32"/>
                <w:highlight w:val="none"/>
              </w:rPr>
            </w:pPr>
          </w:p>
        </w:tc>
        <w:tc>
          <w:tcPr>
            <w:tcW w:w="536"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highlight w:val="none"/>
              </w:rPr>
            </w:pPr>
          </w:p>
        </w:tc>
        <w:tc>
          <w:tcPr>
            <w:tcW w:w="397" w:type="dxa"/>
          </w:tcPr>
          <w:p>
            <w:pPr>
              <w:widowControl/>
              <w:jc w:val="center"/>
              <w:outlineLvl w:val="1"/>
              <w:rPr>
                <w:rFonts w:ascii="仿宋_GB2312" w:hAnsi="宋体" w:eastAsia="仿宋_GB2312"/>
                <w:kern w:val="0"/>
                <w:sz w:val="32"/>
                <w:szCs w:val="32"/>
                <w:highlight w:val="none"/>
              </w:rPr>
            </w:pPr>
          </w:p>
        </w:tc>
        <w:tc>
          <w:tcPr>
            <w:tcW w:w="397" w:type="dxa"/>
          </w:tcPr>
          <w:p>
            <w:pPr>
              <w:widowControl/>
              <w:jc w:val="center"/>
              <w:outlineLvl w:val="1"/>
              <w:rPr>
                <w:rFonts w:ascii="仿宋_GB2312" w:hAnsi="宋体" w:eastAsia="仿宋_GB2312"/>
                <w:kern w:val="0"/>
                <w:sz w:val="32"/>
                <w:szCs w:val="32"/>
                <w:highlight w:val="none"/>
              </w:rPr>
            </w:pPr>
          </w:p>
        </w:tc>
        <w:tc>
          <w:tcPr>
            <w:tcW w:w="851" w:type="dxa"/>
          </w:tcPr>
          <w:p>
            <w:pPr>
              <w:widowControl/>
              <w:jc w:val="center"/>
              <w:outlineLvl w:val="1"/>
              <w:rPr>
                <w:rFonts w:ascii="仿宋_GB2312" w:hAnsi="宋体" w:eastAsia="仿宋_GB2312"/>
                <w:kern w:val="0"/>
                <w:sz w:val="32"/>
                <w:szCs w:val="32"/>
                <w:highlight w:val="none"/>
              </w:rPr>
            </w:pPr>
          </w:p>
        </w:tc>
        <w:tc>
          <w:tcPr>
            <w:tcW w:w="1456" w:type="dxa"/>
          </w:tcPr>
          <w:p>
            <w:pPr>
              <w:widowControl/>
              <w:jc w:val="center"/>
              <w:outlineLvl w:val="1"/>
              <w:rPr>
                <w:rFonts w:ascii="仿宋_GB2312" w:hAnsi="宋体" w:eastAsia="仿宋_GB2312"/>
                <w:kern w:val="0"/>
                <w:sz w:val="32"/>
                <w:szCs w:val="32"/>
                <w:highlight w:val="none"/>
              </w:rPr>
            </w:pPr>
          </w:p>
        </w:tc>
        <w:tc>
          <w:tcPr>
            <w:tcW w:w="750" w:type="dxa"/>
          </w:tcPr>
          <w:p>
            <w:pPr>
              <w:widowControl/>
              <w:jc w:val="right"/>
              <w:outlineLvl w:val="1"/>
              <w:rPr>
                <w:rFonts w:ascii="仿宋_GB2312" w:hAnsi="宋体" w:eastAsia="仿宋_GB2312"/>
                <w:kern w:val="0"/>
                <w:sz w:val="32"/>
                <w:szCs w:val="32"/>
                <w:highlight w:val="none"/>
              </w:rPr>
            </w:pPr>
          </w:p>
        </w:tc>
        <w:tc>
          <w:tcPr>
            <w:tcW w:w="569" w:type="dxa"/>
          </w:tcPr>
          <w:p>
            <w:pPr>
              <w:widowControl/>
              <w:jc w:val="right"/>
              <w:outlineLvl w:val="1"/>
              <w:rPr>
                <w:rFonts w:ascii="仿宋_GB2312" w:hAnsi="宋体" w:eastAsia="仿宋_GB2312"/>
                <w:kern w:val="0"/>
                <w:sz w:val="32"/>
                <w:szCs w:val="32"/>
                <w:highlight w:val="none"/>
              </w:rPr>
            </w:pPr>
          </w:p>
        </w:tc>
        <w:tc>
          <w:tcPr>
            <w:tcW w:w="536"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highlight w:val="none"/>
              </w:rPr>
            </w:pPr>
          </w:p>
        </w:tc>
        <w:tc>
          <w:tcPr>
            <w:tcW w:w="397" w:type="dxa"/>
          </w:tcPr>
          <w:p>
            <w:pPr>
              <w:widowControl/>
              <w:jc w:val="center"/>
              <w:outlineLvl w:val="1"/>
              <w:rPr>
                <w:rFonts w:ascii="仿宋_GB2312" w:hAnsi="宋体" w:eastAsia="仿宋_GB2312"/>
                <w:kern w:val="0"/>
                <w:sz w:val="32"/>
                <w:szCs w:val="32"/>
                <w:highlight w:val="none"/>
              </w:rPr>
            </w:pPr>
          </w:p>
        </w:tc>
        <w:tc>
          <w:tcPr>
            <w:tcW w:w="397" w:type="dxa"/>
          </w:tcPr>
          <w:p>
            <w:pPr>
              <w:widowControl/>
              <w:jc w:val="center"/>
              <w:outlineLvl w:val="1"/>
              <w:rPr>
                <w:rFonts w:ascii="仿宋_GB2312" w:hAnsi="宋体" w:eastAsia="仿宋_GB2312"/>
                <w:kern w:val="0"/>
                <w:sz w:val="32"/>
                <w:szCs w:val="32"/>
                <w:highlight w:val="none"/>
              </w:rPr>
            </w:pPr>
          </w:p>
        </w:tc>
        <w:tc>
          <w:tcPr>
            <w:tcW w:w="851" w:type="dxa"/>
          </w:tcPr>
          <w:p>
            <w:pPr>
              <w:widowControl/>
              <w:jc w:val="center"/>
              <w:outlineLvl w:val="1"/>
              <w:rPr>
                <w:rFonts w:ascii="仿宋_GB2312" w:hAnsi="宋体" w:eastAsia="仿宋_GB2312"/>
                <w:kern w:val="0"/>
                <w:sz w:val="32"/>
                <w:szCs w:val="32"/>
                <w:highlight w:val="none"/>
              </w:rPr>
            </w:pPr>
          </w:p>
        </w:tc>
        <w:tc>
          <w:tcPr>
            <w:tcW w:w="1456" w:type="dxa"/>
          </w:tcPr>
          <w:p>
            <w:pPr>
              <w:widowControl/>
              <w:jc w:val="center"/>
              <w:outlineLvl w:val="1"/>
              <w:rPr>
                <w:rFonts w:ascii="仿宋_GB2312" w:hAnsi="宋体" w:eastAsia="仿宋_GB2312"/>
                <w:kern w:val="0"/>
                <w:sz w:val="32"/>
                <w:szCs w:val="32"/>
                <w:highlight w:val="none"/>
              </w:rPr>
            </w:pPr>
          </w:p>
        </w:tc>
        <w:tc>
          <w:tcPr>
            <w:tcW w:w="750" w:type="dxa"/>
          </w:tcPr>
          <w:p>
            <w:pPr>
              <w:widowControl/>
              <w:jc w:val="right"/>
              <w:outlineLvl w:val="1"/>
              <w:rPr>
                <w:rFonts w:ascii="仿宋_GB2312" w:hAnsi="宋体" w:eastAsia="仿宋_GB2312"/>
                <w:kern w:val="0"/>
                <w:sz w:val="32"/>
                <w:szCs w:val="32"/>
                <w:highlight w:val="none"/>
              </w:rPr>
            </w:pPr>
          </w:p>
        </w:tc>
        <w:tc>
          <w:tcPr>
            <w:tcW w:w="569" w:type="dxa"/>
          </w:tcPr>
          <w:p>
            <w:pPr>
              <w:widowControl/>
              <w:jc w:val="right"/>
              <w:outlineLvl w:val="1"/>
              <w:rPr>
                <w:rFonts w:ascii="仿宋_GB2312" w:hAnsi="宋体" w:eastAsia="仿宋_GB2312"/>
                <w:kern w:val="0"/>
                <w:sz w:val="32"/>
                <w:szCs w:val="32"/>
                <w:highlight w:val="none"/>
              </w:rPr>
            </w:pPr>
          </w:p>
        </w:tc>
        <w:tc>
          <w:tcPr>
            <w:tcW w:w="536"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highlight w:val="none"/>
              </w:rPr>
            </w:pPr>
          </w:p>
        </w:tc>
        <w:tc>
          <w:tcPr>
            <w:tcW w:w="397" w:type="dxa"/>
          </w:tcPr>
          <w:p>
            <w:pPr>
              <w:widowControl/>
              <w:jc w:val="center"/>
              <w:outlineLvl w:val="1"/>
              <w:rPr>
                <w:rFonts w:ascii="仿宋_GB2312" w:hAnsi="宋体" w:eastAsia="仿宋_GB2312"/>
                <w:kern w:val="0"/>
                <w:sz w:val="32"/>
                <w:szCs w:val="32"/>
                <w:highlight w:val="none"/>
              </w:rPr>
            </w:pPr>
          </w:p>
        </w:tc>
        <w:tc>
          <w:tcPr>
            <w:tcW w:w="397" w:type="dxa"/>
          </w:tcPr>
          <w:p>
            <w:pPr>
              <w:widowControl/>
              <w:jc w:val="center"/>
              <w:outlineLvl w:val="1"/>
              <w:rPr>
                <w:rFonts w:ascii="仿宋_GB2312" w:hAnsi="宋体" w:eastAsia="仿宋_GB2312"/>
                <w:kern w:val="0"/>
                <w:sz w:val="32"/>
                <w:szCs w:val="32"/>
                <w:highlight w:val="none"/>
              </w:rPr>
            </w:pPr>
          </w:p>
        </w:tc>
        <w:tc>
          <w:tcPr>
            <w:tcW w:w="851" w:type="dxa"/>
          </w:tcPr>
          <w:p>
            <w:pPr>
              <w:widowControl/>
              <w:jc w:val="center"/>
              <w:outlineLvl w:val="1"/>
              <w:rPr>
                <w:rFonts w:ascii="仿宋_GB2312" w:hAnsi="宋体" w:eastAsia="仿宋_GB2312"/>
                <w:kern w:val="0"/>
                <w:sz w:val="32"/>
                <w:szCs w:val="32"/>
                <w:highlight w:val="none"/>
              </w:rPr>
            </w:pPr>
          </w:p>
        </w:tc>
        <w:tc>
          <w:tcPr>
            <w:tcW w:w="1456" w:type="dxa"/>
          </w:tcPr>
          <w:p>
            <w:pPr>
              <w:widowControl/>
              <w:jc w:val="center"/>
              <w:outlineLvl w:val="1"/>
              <w:rPr>
                <w:rFonts w:ascii="仿宋_GB2312" w:hAnsi="宋体" w:eastAsia="仿宋_GB2312"/>
                <w:kern w:val="0"/>
                <w:sz w:val="32"/>
                <w:szCs w:val="32"/>
                <w:highlight w:val="none"/>
              </w:rPr>
            </w:pPr>
          </w:p>
        </w:tc>
        <w:tc>
          <w:tcPr>
            <w:tcW w:w="750" w:type="dxa"/>
          </w:tcPr>
          <w:p>
            <w:pPr>
              <w:widowControl/>
              <w:jc w:val="right"/>
              <w:outlineLvl w:val="1"/>
              <w:rPr>
                <w:rFonts w:ascii="仿宋_GB2312" w:hAnsi="宋体" w:eastAsia="仿宋_GB2312"/>
                <w:kern w:val="0"/>
                <w:sz w:val="32"/>
                <w:szCs w:val="32"/>
                <w:highlight w:val="none"/>
              </w:rPr>
            </w:pPr>
          </w:p>
        </w:tc>
        <w:tc>
          <w:tcPr>
            <w:tcW w:w="569" w:type="dxa"/>
          </w:tcPr>
          <w:p>
            <w:pPr>
              <w:widowControl/>
              <w:jc w:val="right"/>
              <w:outlineLvl w:val="1"/>
              <w:rPr>
                <w:rFonts w:ascii="仿宋_GB2312" w:hAnsi="宋体" w:eastAsia="仿宋_GB2312"/>
                <w:kern w:val="0"/>
                <w:sz w:val="32"/>
                <w:szCs w:val="32"/>
                <w:highlight w:val="none"/>
              </w:rPr>
            </w:pPr>
          </w:p>
        </w:tc>
        <w:tc>
          <w:tcPr>
            <w:tcW w:w="536"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highlight w:val="none"/>
              </w:rPr>
            </w:pPr>
          </w:p>
        </w:tc>
        <w:tc>
          <w:tcPr>
            <w:tcW w:w="397" w:type="dxa"/>
          </w:tcPr>
          <w:p>
            <w:pPr>
              <w:widowControl/>
              <w:jc w:val="center"/>
              <w:outlineLvl w:val="1"/>
              <w:rPr>
                <w:rFonts w:ascii="仿宋_GB2312" w:hAnsi="宋体" w:eastAsia="仿宋_GB2312"/>
                <w:kern w:val="0"/>
                <w:sz w:val="32"/>
                <w:szCs w:val="32"/>
                <w:highlight w:val="none"/>
              </w:rPr>
            </w:pPr>
          </w:p>
        </w:tc>
        <w:tc>
          <w:tcPr>
            <w:tcW w:w="397" w:type="dxa"/>
          </w:tcPr>
          <w:p>
            <w:pPr>
              <w:widowControl/>
              <w:jc w:val="center"/>
              <w:outlineLvl w:val="1"/>
              <w:rPr>
                <w:rFonts w:ascii="仿宋_GB2312" w:hAnsi="宋体" w:eastAsia="仿宋_GB2312"/>
                <w:kern w:val="0"/>
                <w:sz w:val="32"/>
                <w:szCs w:val="32"/>
                <w:highlight w:val="none"/>
              </w:rPr>
            </w:pPr>
          </w:p>
        </w:tc>
        <w:tc>
          <w:tcPr>
            <w:tcW w:w="851" w:type="dxa"/>
          </w:tcPr>
          <w:p>
            <w:pPr>
              <w:widowControl/>
              <w:jc w:val="center"/>
              <w:outlineLvl w:val="1"/>
              <w:rPr>
                <w:rFonts w:ascii="仿宋_GB2312" w:hAnsi="宋体" w:eastAsia="仿宋_GB2312"/>
                <w:kern w:val="0"/>
                <w:sz w:val="32"/>
                <w:szCs w:val="32"/>
                <w:highlight w:val="none"/>
              </w:rPr>
            </w:pPr>
          </w:p>
        </w:tc>
        <w:tc>
          <w:tcPr>
            <w:tcW w:w="1456" w:type="dxa"/>
            <w:vAlign w:val="center"/>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b/>
                <w:bCs/>
                <w:kern w:val="0"/>
                <w:szCs w:val="21"/>
                <w:highlight w:val="none"/>
              </w:rPr>
              <w:t>合 计</w:t>
            </w:r>
          </w:p>
        </w:tc>
        <w:tc>
          <w:tcPr>
            <w:tcW w:w="750" w:type="dxa"/>
            <w:vAlign w:val="center"/>
          </w:tcPr>
          <w:p>
            <w:pPr>
              <w:widowControl/>
              <w:jc w:val="right"/>
              <w:outlineLvl w:val="1"/>
              <w:rPr>
                <w:rFonts w:ascii="仿宋_GB2312" w:hAnsi="宋体" w:eastAsia="仿宋_GB2312"/>
                <w:kern w:val="0"/>
                <w:szCs w:val="21"/>
                <w:highlight w:val="none"/>
              </w:rPr>
            </w:pPr>
          </w:p>
        </w:tc>
        <w:tc>
          <w:tcPr>
            <w:tcW w:w="569" w:type="dxa"/>
          </w:tcPr>
          <w:p>
            <w:pPr>
              <w:widowControl/>
              <w:jc w:val="right"/>
              <w:outlineLvl w:val="1"/>
              <w:rPr>
                <w:rFonts w:ascii="仿宋_GB2312" w:hAnsi="宋体" w:eastAsia="仿宋_GB2312"/>
                <w:kern w:val="0"/>
                <w:sz w:val="32"/>
                <w:szCs w:val="32"/>
                <w:highlight w:val="none"/>
              </w:rPr>
            </w:pPr>
          </w:p>
        </w:tc>
        <w:tc>
          <w:tcPr>
            <w:tcW w:w="536"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备注：我单位无项目支出预算，此表为空表</w:t>
      </w: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表8</w:t>
      </w:r>
    </w:p>
    <w:p>
      <w:pPr>
        <w:widowControl/>
        <w:jc w:val="center"/>
        <w:outlineLvl w:val="1"/>
        <w:rPr>
          <w:rFonts w:ascii="方正小标宋_GBK" w:hAnsi="方正小标宋_GBK" w:eastAsia="方正小标宋_GBK" w:cs="方正小标宋_GBK"/>
          <w:bCs/>
          <w:kern w:val="0"/>
          <w:sz w:val="32"/>
          <w:szCs w:val="32"/>
          <w:highlight w:val="none"/>
        </w:rPr>
      </w:pPr>
      <w:r>
        <w:rPr>
          <w:rFonts w:hint="eastAsia" w:ascii="方正小标宋_GBK" w:hAnsi="方正小标宋_GBK" w:eastAsia="方正小标宋_GBK" w:cs="方正小标宋_GBK"/>
          <w:bCs/>
          <w:kern w:val="0"/>
          <w:sz w:val="32"/>
          <w:szCs w:val="32"/>
          <w:highlight w:val="none"/>
        </w:rPr>
        <w:t>一般公共预算“三公”经费支出情况表</w:t>
      </w:r>
    </w:p>
    <w:p>
      <w:pPr>
        <w:widowControl/>
        <w:spacing w:line="440" w:lineRule="exact"/>
        <w:outlineLvl w:val="1"/>
        <w:rPr>
          <w:rFonts w:ascii="仿宋_GB2312" w:hAnsi="宋体" w:eastAsia="仿宋_GB2312"/>
          <w:b/>
          <w:kern w:val="0"/>
          <w:sz w:val="32"/>
          <w:szCs w:val="32"/>
          <w:highlight w:val="none"/>
        </w:rPr>
      </w:pPr>
      <w:r>
        <w:rPr>
          <w:rFonts w:hint="eastAsia" w:ascii="仿宋_GB2312" w:hAnsi="宋体" w:eastAsia="仿宋_GB2312"/>
          <w:kern w:val="0"/>
          <w:sz w:val="24"/>
          <w:highlight w:val="none"/>
        </w:rPr>
        <w:t xml:space="preserve">编制部门（单位）： 昌吉州政府投资项目评审中心           </w:t>
      </w:r>
      <w:r>
        <w:rPr>
          <w:rFonts w:hint="eastAsia" w:ascii="仿宋_GB2312" w:hAnsi="宋体" w:eastAsia="仿宋_GB2312"/>
          <w:kern w:val="0"/>
          <w:sz w:val="24"/>
          <w:highlight w:val="none"/>
          <w:lang w:val="en-US" w:eastAsia="zh-CN"/>
        </w:rPr>
        <w:t xml:space="preserve">    </w:t>
      </w:r>
      <w:r>
        <w:rPr>
          <w:rFonts w:hint="eastAsia" w:ascii="仿宋_GB2312" w:hAnsi="宋体" w:eastAsia="仿宋_GB2312"/>
          <w:kern w:val="0"/>
          <w:sz w:val="24"/>
          <w:highlight w:val="none"/>
        </w:rPr>
        <w:t>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highlight w:val="none"/>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lang w:val="en-US" w:eastAsia="zh-CN"/>
              </w:rPr>
              <w:t>2</w:t>
            </w: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lang w:val="en-US" w:eastAsia="zh-CN"/>
              </w:rPr>
              <w:t>0</w:t>
            </w: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lang w:val="en-US" w:eastAsia="zh-CN"/>
              </w:rPr>
              <w:t>2</w:t>
            </w: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lang w:val="en-US" w:eastAsia="zh-CN"/>
              </w:rPr>
              <w:t>0</w:t>
            </w: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lang w:val="en-US" w:eastAsia="zh-CN"/>
              </w:rPr>
              <w:t>2</w:t>
            </w: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lang w:val="en-US" w:eastAsia="zh-CN"/>
              </w:rPr>
              <w:t>0</w:t>
            </w: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r>
    </w:tbl>
    <w:p>
      <w:pPr>
        <w:widowControl/>
        <w:outlineLvl w:val="1"/>
        <w:rPr>
          <w:rFonts w:ascii="仿宋_GB2312" w:hAnsi="宋体" w:eastAsia="仿宋_GB2312"/>
          <w:kern w:val="0"/>
          <w:sz w:val="32"/>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pStyle w:val="2"/>
        <w:rPr>
          <w:highlight w:val="none"/>
        </w:rPr>
      </w:pP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表9</w:t>
      </w:r>
    </w:p>
    <w:p>
      <w:pPr>
        <w:widowControl/>
        <w:spacing w:line="360" w:lineRule="exact"/>
        <w:jc w:val="center"/>
        <w:outlineLvl w:val="1"/>
        <w:rPr>
          <w:rFonts w:hint="eastAsia" w:ascii="方正小标宋_GBK" w:hAnsi="方正小标宋_GBK" w:eastAsia="方正小标宋_GBK" w:cs="方正小标宋_GBK"/>
          <w:bCs/>
          <w:kern w:val="0"/>
          <w:sz w:val="32"/>
          <w:szCs w:val="32"/>
          <w:highlight w:val="none"/>
        </w:rPr>
      </w:pPr>
      <w:r>
        <w:rPr>
          <w:rFonts w:hint="eastAsia" w:ascii="方正小标宋_GBK" w:hAnsi="方正小标宋_GBK" w:eastAsia="方正小标宋_GBK" w:cs="方正小标宋_GBK"/>
          <w:bCs/>
          <w:kern w:val="0"/>
          <w:sz w:val="32"/>
          <w:szCs w:val="32"/>
          <w:highlight w:val="none"/>
        </w:rPr>
        <w:t>政府性基金预算支出情况表</w:t>
      </w:r>
    </w:p>
    <w:p>
      <w:pPr>
        <w:widowControl/>
        <w:spacing w:line="440" w:lineRule="exact"/>
        <w:outlineLvl w:val="1"/>
        <w:rPr>
          <w:rFonts w:ascii="仿宋_GB2312" w:hAnsi="宋体" w:eastAsia="仿宋_GB2312"/>
          <w:b/>
          <w:kern w:val="0"/>
          <w:sz w:val="32"/>
          <w:szCs w:val="32"/>
          <w:highlight w:val="none"/>
        </w:rPr>
      </w:pPr>
      <w:r>
        <w:rPr>
          <w:rFonts w:hint="eastAsia" w:ascii="仿宋_GB2312" w:hAnsi="宋体" w:eastAsia="仿宋_GB2312"/>
          <w:kern w:val="0"/>
          <w:sz w:val="24"/>
          <w:highlight w:val="none"/>
        </w:rPr>
        <w:t xml:space="preserve">编制部门（单位）： 昌吉州政府投资项目评审中心           </w:t>
      </w:r>
      <w:r>
        <w:rPr>
          <w:rFonts w:hint="eastAsia" w:ascii="仿宋_GB2312" w:hAnsi="宋体" w:eastAsia="仿宋_GB2312"/>
          <w:kern w:val="0"/>
          <w:sz w:val="24"/>
          <w:highlight w:val="none"/>
          <w:lang w:val="en-US" w:eastAsia="zh-CN"/>
        </w:rPr>
        <w:t xml:space="preserve">    </w:t>
      </w:r>
      <w:r>
        <w:rPr>
          <w:rFonts w:hint="eastAsia" w:ascii="仿宋_GB2312" w:hAnsi="宋体" w:eastAsia="仿宋_GB2312"/>
          <w:kern w:val="0"/>
          <w:sz w:val="24"/>
          <w:highlight w:val="none"/>
        </w:rPr>
        <w:t>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b/>
                <w:bCs/>
                <w:color w:val="000000"/>
                <w:kern w:val="0"/>
                <w:sz w:val="18"/>
                <w:szCs w:val="18"/>
                <w:highlight w:val="none"/>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r>
              <w:rPr>
                <w:rFonts w:hint="eastAsia" w:ascii="仿宋_GB2312" w:hAnsi="宋体" w:eastAsia="仿宋_GB2312" w:cs="宋体"/>
                <w:b/>
                <w:bCs/>
                <w:color w:val="000000"/>
                <w:kern w:val="0"/>
                <w:sz w:val="24"/>
                <w:highlight w:val="none"/>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bl>
    <w:p>
      <w:pPr>
        <w:widowControl/>
        <w:spacing w:line="280" w:lineRule="exac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备注：我单位无政府性基金预算，此表为空表。</w:t>
      </w:r>
    </w:p>
    <w:p>
      <w:pPr>
        <w:widowControl/>
        <w:spacing w:line="280" w:lineRule="exact"/>
        <w:jc w:val="left"/>
        <w:outlineLvl w:val="1"/>
        <w:rPr>
          <w:rFonts w:ascii="仿宋_GB2312" w:hAnsi="宋体" w:eastAsia="仿宋_GB2312"/>
          <w:kern w:val="0"/>
          <w:sz w:val="32"/>
          <w:szCs w:val="32"/>
          <w:highlight w:val="none"/>
        </w:rPr>
        <w:sectPr>
          <w:footerReference r:id="rId4" w:type="default"/>
          <w:pgSz w:w="11906" w:h="16838"/>
          <w:pgMar w:top="2098" w:right="1531" w:bottom="1984" w:left="1531" w:header="851" w:footer="992" w:gutter="0"/>
          <w:pgNumType w:fmt="numberInDash" w:start="56"/>
          <w:cols w:space="720" w:num="1"/>
          <w:docGrid w:linePitch="312" w:charSpace="0"/>
        </w:sectPr>
      </w:pPr>
    </w:p>
    <w:p>
      <w:pPr>
        <w:spacing w:line="560" w:lineRule="exact"/>
        <w:jc w:val="center"/>
        <w:rPr>
          <w:rFonts w:ascii="黑体" w:hAnsi="黑体" w:eastAsia="黑体"/>
          <w:kern w:val="0"/>
          <w:sz w:val="32"/>
          <w:szCs w:val="32"/>
          <w:highlight w:val="none"/>
        </w:rPr>
      </w:pPr>
      <w:r>
        <w:rPr>
          <w:rFonts w:hint="eastAsia" w:ascii="黑体" w:hAnsi="黑体" w:eastAsia="黑体"/>
          <w:kern w:val="0"/>
          <w:sz w:val="32"/>
          <w:szCs w:val="32"/>
          <w:highlight w:val="none"/>
        </w:rPr>
        <w:t>第三部分  2022年部门（单位）预算情况说明</w:t>
      </w:r>
    </w:p>
    <w:p>
      <w:pPr>
        <w:spacing w:line="560" w:lineRule="exact"/>
        <w:ind w:firstLine="640" w:firstLineChars="200"/>
        <w:rPr>
          <w:rFonts w:ascii="黑体" w:hAnsi="黑体" w:eastAsia="黑体"/>
          <w:kern w:val="0"/>
          <w:sz w:val="32"/>
          <w:szCs w:val="32"/>
          <w:highlight w:val="none"/>
        </w:rPr>
      </w:pPr>
    </w:p>
    <w:p>
      <w:pPr>
        <w:spacing w:line="560" w:lineRule="exact"/>
        <w:ind w:firstLine="643" w:firstLineChars="200"/>
        <w:rPr>
          <w:rFonts w:ascii="楷体_GB2312" w:hAnsi="楷体_GB2312" w:eastAsia="楷体_GB2312" w:cs="楷体_GB2312"/>
          <w:b/>
          <w:kern w:val="0"/>
          <w:sz w:val="32"/>
          <w:szCs w:val="32"/>
          <w:highlight w:val="none"/>
        </w:rPr>
      </w:pPr>
      <w:r>
        <w:rPr>
          <w:rFonts w:hint="eastAsia" w:ascii="楷体_GB2312" w:hAnsi="楷体_GB2312" w:eastAsia="楷体_GB2312" w:cs="楷体_GB2312"/>
          <w:b/>
          <w:kern w:val="0"/>
          <w:sz w:val="32"/>
          <w:szCs w:val="32"/>
          <w:highlight w:val="none"/>
        </w:rPr>
        <w:t>一、关于昌吉州政府投资项目评审中心2022年收支预算情况的总体说明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按照全口径预算的原则，昌吉州政府投资项目评审中心2022年所有收入和支出均纳入部门（单位）预算管理。收支总预算</w:t>
      </w:r>
      <w:r>
        <w:rPr>
          <w:rFonts w:hint="eastAsia" w:ascii="仿宋_GB2312" w:hAnsi="宋体" w:eastAsia="仿宋_GB2312" w:cs="宋体"/>
          <w:kern w:val="0"/>
          <w:sz w:val="32"/>
          <w:szCs w:val="32"/>
          <w:highlight w:val="none"/>
          <w:lang w:val="en-US" w:eastAsia="zh-CN"/>
        </w:rPr>
        <w:t>74.84</w:t>
      </w:r>
      <w:r>
        <w:rPr>
          <w:rFonts w:hint="eastAsia" w:ascii="仿宋_GB2312" w:hAnsi="宋体" w:eastAsia="仿宋_GB2312" w:cs="宋体"/>
          <w:kern w:val="0"/>
          <w:sz w:val="32"/>
          <w:szCs w:val="32"/>
          <w:highlight w:val="none"/>
        </w:rPr>
        <w:t>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收入预算包括：一般公共预算。</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支出预算包括：一般公共服务支出、社会保障和就业支出、卫生健康支出、住房保障支出。</w:t>
      </w: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二、关于</w:t>
      </w:r>
      <w:r>
        <w:rPr>
          <w:rFonts w:hint="eastAsia" w:ascii="楷体_GB2312" w:hAnsi="楷体_GB2312" w:eastAsia="楷体_GB2312" w:cs="楷体_GB2312"/>
          <w:b/>
          <w:kern w:val="0"/>
          <w:sz w:val="32"/>
          <w:szCs w:val="32"/>
          <w:highlight w:val="none"/>
        </w:rPr>
        <w:t>昌吉州政府投资项目评审中心</w:t>
      </w:r>
      <w:r>
        <w:rPr>
          <w:rFonts w:hint="eastAsia" w:ascii="楷体_GB2312" w:hAnsi="楷体_GB2312" w:eastAsia="楷体_GB2312" w:cs="楷体_GB2312"/>
          <w:b/>
          <w:bCs/>
          <w:kern w:val="0"/>
          <w:sz w:val="32"/>
          <w:szCs w:val="32"/>
          <w:highlight w:val="none"/>
        </w:rPr>
        <w:t>2022年收入预算情况说明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昌吉州政府投资项目评审中心收入预算</w:t>
      </w:r>
      <w:r>
        <w:rPr>
          <w:rFonts w:hint="eastAsia" w:ascii="仿宋_GB2312" w:hAnsi="宋体" w:eastAsia="仿宋_GB2312" w:cs="宋体"/>
          <w:kern w:val="0"/>
          <w:sz w:val="32"/>
          <w:szCs w:val="32"/>
          <w:highlight w:val="none"/>
          <w:lang w:val="en-US" w:eastAsia="zh-CN"/>
        </w:rPr>
        <w:t>74.84</w:t>
      </w:r>
      <w:r>
        <w:rPr>
          <w:rFonts w:hint="eastAsia" w:ascii="仿宋_GB2312" w:hAnsi="宋体" w:eastAsia="仿宋_GB2312" w:cs="宋体"/>
          <w:kern w:val="0"/>
          <w:sz w:val="32"/>
          <w:szCs w:val="32"/>
          <w:highlight w:val="none"/>
        </w:rPr>
        <w:t>万元，其中：</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一般公共预算</w:t>
      </w:r>
      <w:r>
        <w:rPr>
          <w:rFonts w:hint="eastAsia" w:ascii="仿宋_GB2312" w:hAnsi="宋体" w:eastAsia="仿宋_GB2312" w:cs="宋体"/>
          <w:kern w:val="0"/>
          <w:sz w:val="32"/>
          <w:szCs w:val="32"/>
          <w:highlight w:val="none"/>
          <w:lang w:val="en-US" w:eastAsia="zh-CN"/>
        </w:rPr>
        <w:t>74.84</w:t>
      </w:r>
      <w:r>
        <w:rPr>
          <w:rFonts w:hint="eastAsia" w:ascii="仿宋_GB2312" w:hAnsi="宋体" w:eastAsia="仿宋_GB2312" w:cs="宋体"/>
          <w:kern w:val="0"/>
          <w:sz w:val="32"/>
          <w:szCs w:val="32"/>
          <w:highlight w:val="none"/>
        </w:rPr>
        <w:t>万元，占</w:t>
      </w:r>
      <w:r>
        <w:rPr>
          <w:rFonts w:hint="eastAsia" w:ascii="仿宋_GB2312" w:hAnsi="宋体" w:eastAsia="仿宋_GB2312" w:cs="宋体"/>
          <w:kern w:val="0"/>
          <w:sz w:val="32"/>
          <w:szCs w:val="32"/>
          <w:highlight w:val="none"/>
          <w:lang w:val="en-US" w:eastAsia="zh-CN"/>
        </w:rPr>
        <w:t>100</w:t>
      </w:r>
      <w:r>
        <w:rPr>
          <w:rFonts w:hint="eastAsia" w:ascii="仿宋_GB2312" w:hAnsi="宋体" w:eastAsia="仿宋_GB2312" w:cs="宋体"/>
          <w:kern w:val="0"/>
          <w:sz w:val="32"/>
          <w:szCs w:val="32"/>
          <w:highlight w:val="none"/>
        </w:rPr>
        <w:t>%，比上年预算增加</w:t>
      </w:r>
      <w:r>
        <w:rPr>
          <w:rFonts w:hint="eastAsia" w:ascii="仿宋_GB2312" w:hAnsi="宋体" w:eastAsia="仿宋_GB2312" w:cs="宋体"/>
          <w:kern w:val="0"/>
          <w:sz w:val="32"/>
          <w:szCs w:val="32"/>
          <w:highlight w:val="none"/>
          <w:lang w:val="en-US" w:eastAsia="zh-CN"/>
        </w:rPr>
        <w:t>2.2</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3.03</w:t>
      </w:r>
      <w:r>
        <w:rPr>
          <w:rFonts w:hint="eastAsia" w:ascii="仿宋_GB2312" w:hAnsi="宋体" w:eastAsia="仿宋_GB2312" w:cs="宋体"/>
          <w:kern w:val="0"/>
          <w:sz w:val="32"/>
          <w:szCs w:val="32"/>
          <w:highlight w:val="none"/>
        </w:rPr>
        <w:t xml:space="preserve">%，主要原因是增加人员经费预算支出；    </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政府性基金预算未安排。</w:t>
      </w:r>
    </w:p>
    <w:p>
      <w:pPr>
        <w:spacing w:line="560" w:lineRule="exact"/>
        <w:ind w:firstLine="640" w:firstLineChars="200"/>
        <w:rPr>
          <w:rFonts w:ascii="仿宋_GB2312" w:hAnsi="宋体" w:eastAsia="仿宋_GB2312" w:cs="宋体"/>
          <w:b/>
          <w:kern w:val="0"/>
          <w:sz w:val="32"/>
          <w:szCs w:val="32"/>
          <w:highlight w:val="none"/>
        </w:rPr>
      </w:pPr>
      <w:r>
        <w:rPr>
          <w:rFonts w:hint="eastAsia" w:ascii="仿宋_GB2312" w:hAnsi="宋体" w:eastAsia="仿宋_GB2312" w:cs="宋体"/>
          <w:kern w:val="0"/>
          <w:sz w:val="32"/>
          <w:szCs w:val="32"/>
          <w:highlight w:val="none"/>
        </w:rPr>
        <w:t>国有资本经营预算未安排。</w:t>
      </w: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三、关于</w:t>
      </w:r>
      <w:r>
        <w:rPr>
          <w:rFonts w:hint="eastAsia" w:ascii="楷体_GB2312" w:hAnsi="楷体_GB2312" w:eastAsia="楷体_GB2312" w:cs="楷体_GB2312"/>
          <w:b/>
          <w:kern w:val="0"/>
          <w:sz w:val="32"/>
          <w:szCs w:val="32"/>
          <w:highlight w:val="none"/>
        </w:rPr>
        <w:t>昌吉州政府投资项目评审中心</w:t>
      </w:r>
      <w:r>
        <w:rPr>
          <w:rFonts w:hint="eastAsia" w:ascii="楷体_GB2312" w:hAnsi="楷体_GB2312" w:eastAsia="楷体_GB2312" w:cs="楷体_GB2312"/>
          <w:b/>
          <w:bCs/>
          <w:kern w:val="0"/>
          <w:sz w:val="32"/>
          <w:szCs w:val="32"/>
          <w:highlight w:val="none"/>
        </w:rPr>
        <w:t>2022年支出预算情况说明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昌吉州政府投资项目评审中心2022年支出预算</w:t>
      </w:r>
      <w:r>
        <w:rPr>
          <w:rFonts w:hint="eastAsia" w:ascii="仿宋_GB2312" w:hAnsi="宋体" w:eastAsia="仿宋_GB2312" w:cs="宋体"/>
          <w:kern w:val="0"/>
          <w:sz w:val="32"/>
          <w:szCs w:val="32"/>
          <w:highlight w:val="none"/>
          <w:lang w:val="en-US" w:eastAsia="zh-CN"/>
        </w:rPr>
        <w:t>74.84</w:t>
      </w:r>
      <w:r>
        <w:rPr>
          <w:rFonts w:hint="eastAsia" w:ascii="仿宋_GB2312" w:hAnsi="宋体" w:eastAsia="仿宋_GB2312" w:cs="宋体"/>
          <w:kern w:val="0"/>
          <w:sz w:val="32"/>
          <w:szCs w:val="32"/>
          <w:highlight w:val="none"/>
        </w:rPr>
        <w:t>元，其中：</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基本支出</w:t>
      </w:r>
      <w:r>
        <w:rPr>
          <w:rFonts w:hint="eastAsia" w:ascii="仿宋_GB2312" w:hAnsi="宋体" w:eastAsia="仿宋_GB2312" w:cs="宋体"/>
          <w:kern w:val="0"/>
          <w:sz w:val="32"/>
          <w:szCs w:val="32"/>
          <w:highlight w:val="none"/>
          <w:lang w:val="en-US" w:eastAsia="zh-CN"/>
        </w:rPr>
        <w:t>74.84</w:t>
      </w:r>
      <w:r>
        <w:rPr>
          <w:rFonts w:hint="eastAsia" w:ascii="仿宋_GB2312" w:hAnsi="宋体" w:eastAsia="仿宋_GB2312" w:cs="宋体"/>
          <w:kern w:val="0"/>
          <w:sz w:val="32"/>
          <w:szCs w:val="32"/>
          <w:highlight w:val="none"/>
        </w:rPr>
        <w:t>万元，占</w:t>
      </w:r>
      <w:r>
        <w:rPr>
          <w:rFonts w:hint="eastAsia" w:ascii="仿宋_GB2312" w:hAnsi="宋体" w:eastAsia="仿宋_GB2312" w:cs="宋体"/>
          <w:kern w:val="0"/>
          <w:sz w:val="32"/>
          <w:szCs w:val="32"/>
          <w:highlight w:val="none"/>
          <w:lang w:val="en-US" w:eastAsia="zh-CN"/>
        </w:rPr>
        <w:t>100</w:t>
      </w:r>
      <w:r>
        <w:rPr>
          <w:rFonts w:hint="eastAsia" w:ascii="仿宋_GB2312" w:hAnsi="宋体" w:eastAsia="仿宋_GB2312" w:cs="宋体"/>
          <w:kern w:val="0"/>
          <w:sz w:val="32"/>
          <w:szCs w:val="32"/>
          <w:highlight w:val="none"/>
        </w:rPr>
        <w:t>%，比上年预算增加</w:t>
      </w:r>
      <w:r>
        <w:rPr>
          <w:rFonts w:hint="eastAsia" w:ascii="仿宋_GB2312" w:hAnsi="宋体" w:eastAsia="仿宋_GB2312" w:cs="宋体"/>
          <w:kern w:val="0"/>
          <w:sz w:val="32"/>
          <w:szCs w:val="32"/>
          <w:highlight w:val="none"/>
          <w:lang w:val="en-US" w:eastAsia="zh-CN"/>
        </w:rPr>
        <w:t>2.2</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3.03</w:t>
      </w:r>
      <w:r>
        <w:rPr>
          <w:rFonts w:hint="eastAsia" w:ascii="仿宋_GB2312" w:hAnsi="宋体" w:eastAsia="仿宋_GB2312" w:cs="宋体"/>
          <w:kern w:val="0"/>
          <w:sz w:val="32"/>
          <w:szCs w:val="32"/>
          <w:highlight w:val="none"/>
        </w:rPr>
        <w:t xml:space="preserve">%，主要原因是增加人员经费预算支出；   </w:t>
      </w: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四、关于</w:t>
      </w:r>
      <w:r>
        <w:rPr>
          <w:rFonts w:hint="eastAsia" w:ascii="楷体_GB2312" w:hAnsi="楷体_GB2312" w:eastAsia="楷体_GB2312" w:cs="楷体_GB2312"/>
          <w:b/>
          <w:kern w:val="0"/>
          <w:sz w:val="32"/>
          <w:szCs w:val="32"/>
          <w:highlight w:val="none"/>
        </w:rPr>
        <w:t>昌吉州政府投资项目评审中心</w:t>
      </w:r>
      <w:r>
        <w:rPr>
          <w:rFonts w:hint="eastAsia" w:ascii="楷体_GB2312" w:hAnsi="楷体_GB2312" w:eastAsia="楷体_GB2312" w:cs="楷体_GB2312"/>
          <w:b/>
          <w:bCs/>
          <w:kern w:val="0"/>
          <w:sz w:val="32"/>
          <w:szCs w:val="32"/>
          <w:highlight w:val="none"/>
        </w:rPr>
        <w:t>2022年财政拨款收支预算情况的总体说明</w:t>
      </w:r>
    </w:p>
    <w:p>
      <w:pPr>
        <w:spacing w:line="560" w:lineRule="exact"/>
        <w:ind w:firstLine="640" w:firstLineChars="200"/>
        <w:rPr>
          <w:rFonts w:ascii="仿宋_GB2312" w:hAnsi="宋体" w:eastAsia="仿宋_GB2312" w:cs="宋体"/>
          <w:spacing w:val="-4"/>
          <w:kern w:val="0"/>
          <w:sz w:val="32"/>
          <w:szCs w:val="32"/>
          <w:highlight w:val="none"/>
        </w:rPr>
      </w:pPr>
      <w:r>
        <w:rPr>
          <w:rFonts w:hint="eastAsia" w:ascii="仿宋_GB2312" w:hAnsi="宋体" w:eastAsia="仿宋_GB2312" w:cs="宋体"/>
          <w:kern w:val="0"/>
          <w:sz w:val="32"/>
          <w:szCs w:val="32"/>
          <w:highlight w:val="none"/>
        </w:rPr>
        <w:t>2022年财政拨款收支总预算</w:t>
      </w:r>
      <w:r>
        <w:rPr>
          <w:rFonts w:hint="eastAsia" w:ascii="仿宋_GB2312" w:hAnsi="宋体" w:eastAsia="仿宋_GB2312" w:cs="宋体"/>
          <w:kern w:val="0"/>
          <w:sz w:val="32"/>
          <w:szCs w:val="32"/>
          <w:highlight w:val="none"/>
          <w:lang w:val="en-US" w:eastAsia="zh-CN"/>
        </w:rPr>
        <w:t>74.84</w:t>
      </w:r>
      <w:r>
        <w:rPr>
          <w:rFonts w:hint="eastAsia" w:ascii="仿宋_GB2312" w:hAnsi="宋体" w:eastAsia="仿宋_GB2312" w:cs="宋体"/>
          <w:kern w:val="0"/>
          <w:sz w:val="32"/>
          <w:szCs w:val="32"/>
          <w:highlight w:val="none"/>
        </w:rPr>
        <w:t>万元。</w:t>
      </w:r>
    </w:p>
    <w:p>
      <w:pPr>
        <w:spacing w:line="560" w:lineRule="exact"/>
        <w:ind w:firstLine="616" w:firstLineChars="200"/>
        <w:rPr>
          <w:rFonts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收入全部为一般公共预算拨款，无政府性基金预算拨款和国有资本经营预算。</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收入预算包括：一般公共预算拨款</w:t>
      </w:r>
      <w:r>
        <w:rPr>
          <w:rFonts w:hint="eastAsia" w:ascii="仿宋_GB2312" w:hAnsi="宋体" w:eastAsia="仿宋_GB2312" w:cs="宋体"/>
          <w:kern w:val="0"/>
          <w:sz w:val="32"/>
          <w:szCs w:val="32"/>
          <w:highlight w:val="none"/>
          <w:lang w:val="en-US" w:eastAsia="zh-CN"/>
        </w:rPr>
        <w:t>74.84</w:t>
      </w:r>
      <w:r>
        <w:rPr>
          <w:rFonts w:hint="eastAsia" w:ascii="仿宋_GB2312" w:hAnsi="宋体" w:eastAsia="仿宋_GB2312" w:cs="宋体"/>
          <w:kern w:val="0"/>
          <w:sz w:val="32"/>
          <w:szCs w:val="32"/>
          <w:highlight w:val="none"/>
        </w:rPr>
        <w:t>万元。</w:t>
      </w:r>
    </w:p>
    <w:p>
      <w:pPr>
        <w:spacing w:line="560" w:lineRule="exact"/>
        <w:ind w:firstLine="616" w:firstLineChars="200"/>
        <w:rPr>
          <w:rFonts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一般公共预算支出包括：</w:t>
      </w:r>
      <w:r>
        <w:rPr>
          <w:rFonts w:hint="eastAsia" w:ascii="仿宋_GB2312" w:hAnsi="宋体" w:eastAsia="仿宋_GB2312" w:cs="宋体"/>
          <w:kern w:val="0"/>
          <w:sz w:val="32"/>
          <w:szCs w:val="32"/>
          <w:highlight w:val="none"/>
        </w:rPr>
        <w:t>一般公共服务支出</w:t>
      </w:r>
      <w:r>
        <w:rPr>
          <w:rFonts w:hint="eastAsia" w:ascii="仿宋_GB2312" w:hAnsi="宋体" w:eastAsia="仿宋_GB2312" w:cs="宋体"/>
          <w:kern w:val="0"/>
          <w:sz w:val="32"/>
          <w:szCs w:val="32"/>
          <w:highlight w:val="none"/>
          <w:lang w:val="en-US" w:eastAsia="zh-CN"/>
        </w:rPr>
        <w:t>55.86万元，</w:t>
      </w:r>
      <w:r>
        <w:rPr>
          <w:rFonts w:hint="eastAsia" w:ascii="仿宋_GB2312" w:hAnsi="宋体" w:eastAsia="仿宋_GB2312" w:cs="宋体"/>
          <w:spacing w:val="-6"/>
          <w:kern w:val="0"/>
          <w:sz w:val="32"/>
          <w:szCs w:val="32"/>
          <w:highlight w:val="none"/>
        </w:rPr>
        <w:t>主要用于</w:t>
      </w:r>
      <w:r>
        <w:rPr>
          <w:rFonts w:hint="eastAsia" w:ascii="仿宋_GB2312" w:hAnsi="宋体" w:eastAsia="仿宋_GB2312" w:cs="宋体"/>
          <w:spacing w:val="-6"/>
          <w:kern w:val="0"/>
          <w:sz w:val="32"/>
          <w:szCs w:val="32"/>
          <w:highlight w:val="none"/>
          <w:lang w:val="en-US" w:eastAsia="zh-CN"/>
        </w:rPr>
        <w:t>州评审中心工资福利支出和评审中心日常工作开支；</w:t>
      </w:r>
      <w:r>
        <w:rPr>
          <w:rFonts w:hint="eastAsia" w:ascii="仿宋_GB2312" w:hAnsi="宋体" w:eastAsia="仿宋_GB2312" w:cs="宋体"/>
          <w:kern w:val="0"/>
          <w:sz w:val="32"/>
          <w:szCs w:val="32"/>
          <w:highlight w:val="none"/>
        </w:rPr>
        <w:t>社会保障和就业支出</w:t>
      </w:r>
      <w:r>
        <w:rPr>
          <w:rFonts w:hint="eastAsia" w:ascii="仿宋_GB2312" w:hAnsi="宋体" w:eastAsia="仿宋_GB2312" w:cs="宋体"/>
          <w:kern w:val="0"/>
          <w:sz w:val="32"/>
          <w:szCs w:val="32"/>
          <w:highlight w:val="none"/>
          <w:lang w:val="en-US" w:eastAsia="zh-CN"/>
        </w:rPr>
        <w:t>7.29万元，</w:t>
      </w:r>
      <w:r>
        <w:rPr>
          <w:rFonts w:hint="eastAsia" w:ascii="仿宋_GB2312" w:hAnsi="宋体" w:eastAsia="仿宋_GB2312" w:cs="宋体"/>
          <w:spacing w:val="-6"/>
          <w:kern w:val="0"/>
          <w:sz w:val="32"/>
          <w:szCs w:val="32"/>
          <w:highlight w:val="none"/>
        </w:rPr>
        <w:t>主要用于</w:t>
      </w:r>
      <w:r>
        <w:rPr>
          <w:rFonts w:hint="eastAsia" w:ascii="仿宋_GB2312" w:hAnsi="宋体" w:eastAsia="仿宋_GB2312" w:cs="宋体"/>
          <w:spacing w:val="-6"/>
          <w:kern w:val="0"/>
          <w:sz w:val="32"/>
          <w:szCs w:val="32"/>
          <w:highlight w:val="none"/>
          <w:lang w:val="en-US" w:eastAsia="zh-CN"/>
        </w:rPr>
        <w:t>州评审中心职工基本养老保险缴费支出；</w:t>
      </w:r>
      <w:r>
        <w:rPr>
          <w:rFonts w:hint="eastAsia" w:ascii="仿宋_GB2312" w:hAnsi="宋体" w:eastAsia="仿宋_GB2312" w:cs="宋体"/>
          <w:kern w:val="0"/>
          <w:sz w:val="32"/>
          <w:szCs w:val="32"/>
          <w:highlight w:val="none"/>
        </w:rPr>
        <w:t>医疗卫生健康支出</w:t>
      </w:r>
      <w:r>
        <w:rPr>
          <w:rFonts w:hint="eastAsia" w:ascii="仿宋_GB2312" w:hAnsi="宋体" w:eastAsia="仿宋_GB2312" w:cs="宋体"/>
          <w:kern w:val="0"/>
          <w:sz w:val="32"/>
          <w:szCs w:val="32"/>
          <w:highlight w:val="none"/>
          <w:lang w:val="en-US" w:eastAsia="zh-CN"/>
        </w:rPr>
        <w:t>5.44万元</w:t>
      </w:r>
      <w:r>
        <w:rPr>
          <w:rFonts w:hint="eastAsia" w:ascii="仿宋_GB2312" w:hAnsi="宋体" w:eastAsia="仿宋_GB2312" w:cs="宋体"/>
          <w:spacing w:val="-6"/>
          <w:kern w:val="0"/>
          <w:sz w:val="32"/>
          <w:szCs w:val="32"/>
          <w:highlight w:val="none"/>
        </w:rPr>
        <w:t>，主要用于</w:t>
      </w:r>
      <w:r>
        <w:rPr>
          <w:rFonts w:hint="eastAsia" w:ascii="仿宋_GB2312" w:hAnsi="宋体" w:eastAsia="仿宋_GB2312" w:cs="宋体"/>
          <w:spacing w:val="-6"/>
          <w:kern w:val="0"/>
          <w:sz w:val="32"/>
          <w:szCs w:val="32"/>
          <w:highlight w:val="none"/>
          <w:lang w:val="en-US" w:eastAsia="zh-CN"/>
        </w:rPr>
        <w:t>州评审中心职工行政单位医疗、公务员医疗补助等；住房保障支出6.25万元，主要用于州评审中心职工住房公积金支出</w:t>
      </w:r>
      <w:r>
        <w:rPr>
          <w:rFonts w:hint="eastAsia" w:ascii="仿宋_GB2312" w:hAnsi="宋体" w:eastAsia="仿宋_GB2312" w:cs="宋体"/>
          <w:spacing w:val="-6"/>
          <w:kern w:val="0"/>
          <w:sz w:val="32"/>
          <w:szCs w:val="32"/>
          <w:highlight w:val="none"/>
        </w:rPr>
        <w:t>。</w:t>
      </w:r>
    </w:p>
    <w:p>
      <w:pPr>
        <w:spacing w:line="560" w:lineRule="exact"/>
        <w:ind w:firstLine="643" w:firstLineChars="200"/>
        <w:rPr>
          <w:rFonts w:ascii="楷体_GB2312" w:hAnsi="楷体_GB2312" w:eastAsia="楷体_GB2312" w:cs="楷体_GB2312"/>
          <w:b/>
          <w:bCs/>
          <w:spacing w:val="-6"/>
          <w:kern w:val="0"/>
          <w:sz w:val="32"/>
          <w:szCs w:val="32"/>
          <w:highlight w:val="none"/>
        </w:rPr>
      </w:pPr>
      <w:r>
        <w:rPr>
          <w:rFonts w:hint="eastAsia" w:ascii="楷体_GB2312" w:hAnsi="楷体_GB2312" w:eastAsia="楷体_GB2312" w:cs="楷体_GB2312"/>
          <w:b/>
          <w:bCs/>
          <w:kern w:val="0"/>
          <w:sz w:val="32"/>
          <w:szCs w:val="32"/>
          <w:highlight w:val="none"/>
        </w:rPr>
        <w:t>五、</w:t>
      </w:r>
      <w:r>
        <w:rPr>
          <w:rFonts w:hint="eastAsia" w:ascii="楷体_GB2312" w:hAnsi="楷体_GB2312" w:eastAsia="楷体_GB2312" w:cs="楷体_GB2312"/>
          <w:b/>
          <w:bCs/>
          <w:spacing w:val="-6"/>
          <w:kern w:val="0"/>
          <w:sz w:val="32"/>
          <w:szCs w:val="32"/>
          <w:highlight w:val="none"/>
        </w:rPr>
        <w:t>关于</w:t>
      </w:r>
      <w:r>
        <w:rPr>
          <w:rFonts w:hint="eastAsia" w:ascii="楷体_GB2312" w:hAnsi="楷体_GB2312" w:eastAsia="楷体_GB2312" w:cs="楷体_GB2312"/>
          <w:b/>
          <w:kern w:val="0"/>
          <w:sz w:val="32"/>
          <w:szCs w:val="32"/>
          <w:highlight w:val="none"/>
        </w:rPr>
        <w:t>昌吉州政府投资项目评审中心</w:t>
      </w:r>
      <w:r>
        <w:rPr>
          <w:rFonts w:hint="eastAsia" w:ascii="楷体_GB2312" w:hAnsi="楷体_GB2312" w:eastAsia="楷体_GB2312" w:cs="楷体_GB2312"/>
          <w:b/>
          <w:bCs/>
          <w:spacing w:val="-6"/>
          <w:kern w:val="0"/>
          <w:sz w:val="32"/>
          <w:szCs w:val="32"/>
          <w:highlight w:val="none"/>
        </w:rPr>
        <w:t>2022年一般公共预算当年拨款情况说明</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（一）一般公共预算当年拨款规模变化情况</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昌吉州政府投资项目评审中心2022年一般公共预算拨款合计</w:t>
      </w:r>
      <w:r>
        <w:rPr>
          <w:rFonts w:hint="eastAsia" w:ascii="仿宋_GB2312" w:hAnsi="宋体" w:eastAsia="仿宋_GB2312" w:cs="宋体"/>
          <w:kern w:val="0"/>
          <w:sz w:val="32"/>
          <w:szCs w:val="32"/>
          <w:highlight w:val="none"/>
          <w:lang w:val="en-US" w:eastAsia="zh-CN"/>
        </w:rPr>
        <w:t>74.84</w:t>
      </w:r>
      <w:r>
        <w:rPr>
          <w:rFonts w:hint="eastAsia" w:ascii="仿宋_GB2312" w:hAnsi="仿宋_GB2312" w:eastAsia="仿宋_GB2312" w:cs="仿宋_GB2312"/>
          <w:kern w:val="0"/>
          <w:sz w:val="32"/>
          <w:szCs w:val="32"/>
          <w:highlight w:val="none"/>
        </w:rPr>
        <w:t>万元，其中：基本支出</w:t>
      </w:r>
      <w:r>
        <w:rPr>
          <w:rFonts w:hint="eastAsia" w:ascii="仿宋_GB2312" w:hAnsi="宋体" w:eastAsia="仿宋_GB2312" w:cs="宋体"/>
          <w:kern w:val="0"/>
          <w:sz w:val="32"/>
          <w:szCs w:val="32"/>
          <w:highlight w:val="none"/>
          <w:lang w:val="en-US" w:eastAsia="zh-CN"/>
        </w:rPr>
        <w:t>74.84</w:t>
      </w:r>
      <w:r>
        <w:rPr>
          <w:rFonts w:hint="eastAsia" w:ascii="仿宋_GB2312" w:hAnsi="仿宋_GB2312" w:eastAsia="仿宋_GB2312" w:cs="仿宋_GB2312"/>
          <w:kern w:val="0"/>
          <w:sz w:val="32"/>
          <w:szCs w:val="32"/>
          <w:highlight w:val="none"/>
        </w:rPr>
        <w:t>万元，</w:t>
      </w:r>
      <w:r>
        <w:rPr>
          <w:rFonts w:hint="eastAsia" w:ascii="仿宋_GB2312" w:hAnsi="宋体" w:eastAsia="仿宋_GB2312" w:cs="宋体"/>
          <w:kern w:val="0"/>
          <w:sz w:val="32"/>
          <w:szCs w:val="32"/>
          <w:highlight w:val="none"/>
        </w:rPr>
        <w:t>比上年预算增加</w:t>
      </w:r>
      <w:r>
        <w:rPr>
          <w:rFonts w:hint="eastAsia" w:ascii="仿宋_GB2312" w:hAnsi="宋体" w:eastAsia="仿宋_GB2312" w:cs="宋体"/>
          <w:kern w:val="0"/>
          <w:sz w:val="32"/>
          <w:szCs w:val="32"/>
          <w:highlight w:val="none"/>
          <w:lang w:val="en-US" w:eastAsia="zh-CN"/>
        </w:rPr>
        <w:t>2.2</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3.03</w:t>
      </w:r>
      <w:r>
        <w:rPr>
          <w:rFonts w:hint="eastAsia" w:ascii="仿宋_GB2312" w:hAnsi="宋体" w:eastAsia="仿宋_GB2312" w:cs="宋体"/>
          <w:kern w:val="0"/>
          <w:sz w:val="32"/>
          <w:szCs w:val="32"/>
          <w:highlight w:val="none"/>
        </w:rPr>
        <w:t>%，主要原因是增加人员经费预算支出；</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（二）一般公共预算当年拨款结构情况</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eastAsia="仿宋_GB2312"/>
          <w:sz w:val="32"/>
          <w:szCs w:val="32"/>
          <w:highlight w:val="none"/>
        </w:rPr>
        <w:t>1.一般公共服务支出</w:t>
      </w:r>
      <w:r>
        <w:rPr>
          <w:rFonts w:hint="eastAsia" w:ascii="仿宋_GB2312" w:eastAsia="仿宋_GB2312"/>
          <w:sz w:val="32"/>
          <w:szCs w:val="32"/>
          <w:highlight w:val="none"/>
          <w:lang w:val="en-US" w:eastAsia="zh-CN"/>
        </w:rPr>
        <w:t>55.86</w:t>
      </w:r>
      <w:r>
        <w:rPr>
          <w:rFonts w:hint="eastAsia" w:ascii="仿宋_GB2312" w:eastAsia="仿宋_GB2312"/>
          <w:sz w:val="32"/>
          <w:szCs w:val="32"/>
          <w:highlight w:val="none"/>
        </w:rPr>
        <w:t>万元，占</w:t>
      </w:r>
      <w:r>
        <w:rPr>
          <w:rFonts w:hint="eastAsia" w:ascii="仿宋_GB2312" w:eastAsia="仿宋_GB2312"/>
          <w:sz w:val="32"/>
          <w:szCs w:val="32"/>
          <w:highlight w:val="none"/>
          <w:lang w:val="en-US" w:eastAsia="zh-CN"/>
        </w:rPr>
        <w:t>74.64</w:t>
      </w:r>
      <w:r>
        <w:rPr>
          <w:rFonts w:hint="eastAsia" w:ascii="仿宋_GB2312" w:eastAsia="仿宋_GB2312"/>
          <w:sz w:val="32"/>
          <w:szCs w:val="32"/>
          <w:highlight w:val="none"/>
        </w:rPr>
        <w:t>%。</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rPr>
        <w:t>2.</w:t>
      </w:r>
      <w:r>
        <w:rPr>
          <w:rFonts w:hint="eastAsia" w:ascii="仿宋_GB2312" w:hAnsi="宋体" w:eastAsia="仿宋_GB2312" w:cs="宋体"/>
          <w:kern w:val="0"/>
          <w:sz w:val="32"/>
          <w:szCs w:val="32"/>
          <w:highlight w:val="none"/>
          <w:lang w:val="en-US" w:eastAsia="zh-CN"/>
        </w:rPr>
        <w:t>社会保障和就业支出7.29</w:t>
      </w:r>
      <w:r>
        <w:rPr>
          <w:rFonts w:hint="eastAsia" w:ascii="仿宋_GB2312" w:eastAsia="仿宋_GB2312"/>
          <w:sz w:val="32"/>
          <w:szCs w:val="32"/>
          <w:highlight w:val="none"/>
        </w:rPr>
        <w:t>万元</w:t>
      </w:r>
      <w:r>
        <w:rPr>
          <w:rFonts w:hint="eastAsia" w:ascii="仿宋_GB2312" w:hAnsi="宋体" w:eastAsia="仿宋_GB2312" w:cs="宋体"/>
          <w:kern w:val="0"/>
          <w:sz w:val="32"/>
          <w:szCs w:val="32"/>
          <w:highlight w:val="none"/>
          <w:lang w:val="en-US" w:eastAsia="zh-CN"/>
        </w:rPr>
        <w:t>，</w:t>
      </w:r>
      <w:r>
        <w:rPr>
          <w:rFonts w:hint="eastAsia" w:ascii="仿宋_GB2312" w:eastAsia="仿宋_GB2312"/>
          <w:sz w:val="32"/>
          <w:szCs w:val="32"/>
          <w:highlight w:val="none"/>
        </w:rPr>
        <w:t>占</w:t>
      </w:r>
      <w:r>
        <w:rPr>
          <w:rFonts w:hint="eastAsia" w:ascii="仿宋_GB2312" w:eastAsia="仿宋_GB2312"/>
          <w:sz w:val="32"/>
          <w:szCs w:val="32"/>
          <w:highlight w:val="none"/>
          <w:lang w:val="en-US" w:eastAsia="zh-CN"/>
        </w:rPr>
        <w:t>9.74</w:t>
      </w:r>
      <w:r>
        <w:rPr>
          <w:rFonts w:hint="eastAsia" w:ascii="仿宋_GB2312" w:eastAsia="仿宋_GB2312"/>
          <w:sz w:val="32"/>
          <w:szCs w:val="32"/>
          <w:highlight w:val="none"/>
        </w:rPr>
        <w:t>%。</w:t>
      </w:r>
    </w:p>
    <w:p>
      <w:pPr>
        <w:spacing w:line="560" w:lineRule="exact"/>
        <w:ind w:firstLine="640" w:firstLineChars="200"/>
        <w:rPr>
          <w:rFonts w:hint="default"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3.卫生健康支出5.44</w:t>
      </w:r>
      <w:r>
        <w:rPr>
          <w:rFonts w:hint="eastAsia" w:ascii="仿宋_GB2312" w:eastAsia="仿宋_GB2312"/>
          <w:sz w:val="32"/>
          <w:szCs w:val="32"/>
          <w:highlight w:val="none"/>
        </w:rPr>
        <w:t>万元</w:t>
      </w:r>
      <w:r>
        <w:rPr>
          <w:rFonts w:hint="eastAsia" w:ascii="仿宋_GB2312" w:hAnsi="宋体" w:eastAsia="仿宋_GB2312" w:cs="宋体"/>
          <w:kern w:val="0"/>
          <w:sz w:val="32"/>
          <w:szCs w:val="32"/>
          <w:highlight w:val="none"/>
          <w:lang w:val="en-US" w:eastAsia="zh-CN"/>
        </w:rPr>
        <w:t>，</w:t>
      </w:r>
      <w:r>
        <w:rPr>
          <w:rFonts w:hint="eastAsia" w:ascii="仿宋_GB2312" w:eastAsia="仿宋_GB2312"/>
          <w:sz w:val="32"/>
          <w:szCs w:val="32"/>
          <w:highlight w:val="none"/>
        </w:rPr>
        <w:t>占</w:t>
      </w:r>
      <w:r>
        <w:rPr>
          <w:rFonts w:hint="eastAsia" w:ascii="仿宋_GB2312" w:eastAsia="仿宋_GB2312"/>
          <w:sz w:val="32"/>
          <w:szCs w:val="32"/>
          <w:highlight w:val="none"/>
          <w:lang w:val="en-US" w:eastAsia="zh-CN"/>
        </w:rPr>
        <w:t>7.27</w:t>
      </w:r>
      <w:r>
        <w:rPr>
          <w:rFonts w:hint="eastAsia" w:ascii="仿宋_GB2312" w:eastAsia="仿宋_GB2312"/>
          <w:sz w:val="32"/>
          <w:szCs w:val="32"/>
          <w:highlight w:val="none"/>
        </w:rPr>
        <w:t>%。</w:t>
      </w:r>
    </w:p>
    <w:p>
      <w:pPr>
        <w:spacing w:line="560" w:lineRule="exact"/>
        <w:ind w:firstLine="640" w:firstLineChars="200"/>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4.住房保障支出6.25万元，占8.35%。</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（三）一般公共预算当年拨款具体使用情况</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1.</w:t>
      </w:r>
      <w:r>
        <w:rPr>
          <w:rFonts w:ascii="仿宋_GB2312" w:hAnsi="宋体" w:eastAsia="仿宋_GB2312" w:cs="宋体"/>
          <w:kern w:val="0"/>
          <w:sz w:val="32"/>
          <w:szCs w:val="32"/>
          <w:highlight w:val="none"/>
        </w:rPr>
        <w:t>一般公共服务（</w:t>
      </w:r>
      <w:r>
        <w:rPr>
          <w:rFonts w:hint="eastAsia" w:ascii="仿宋_GB2312" w:hAnsi="宋体" w:eastAsia="仿宋_GB2312" w:cs="宋体"/>
          <w:kern w:val="0"/>
          <w:sz w:val="32"/>
          <w:szCs w:val="32"/>
          <w:highlight w:val="none"/>
          <w:lang w:val="en-US" w:eastAsia="zh-CN"/>
        </w:rPr>
        <w:t>类</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发展与改革事务</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款</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事业</w:t>
      </w:r>
      <w:r>
        <w:rPr>
          <w:rFonts w:ascii="仿宋_GB2312" w:hAnsi="宋体" w:eastAsia="仿宋_GB2312" w:cs="宋体"/>
          <w:kern w:val="0"/>
          <w:sz w:val="32"/>
          <w:szCs w:val="32"/>
          <w:highlight w:val="none"/>
        </w:rPr>
        <w:t>运行（</w:t>
      </w:r>
      <w:r>
        <w:rPr>
          <w:rFonts w:hint="eastAsia" w:ascii="仿宋_GB2312" w:hAnsi="宋体" w:eastAsia="仿宋_GB2312" w:cs="宋体"/>
          <w:kern w:val="0"/>
          <w:sz w:val="32"/>
          <w:szCs w:val="32"/>
          <w:highlight w:val="none"/>
          <w:lang w:val="en-US" w:eastAsia="zh-CN"/>
        </w:rPr>
        <w:t>项</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lang w:val="en-US" w:eastAsia="zh-CN"/>
        </w:rPr>
        <w:t>55.87</w:t>
      </w:r>
      <w:r>
        <w:rPr>
          <w:rFonts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rPr>
        <w:t>比上年预算数</w:t>
      </w:r>
      <w:r>
        <w:rPr>
          <w:rFonts w:hint="eastAsia" w:ascii="仿宋_GB2312" w:hAnsi="宋体" w:eastAsia="仿宋_GB2312" w:cs="宋体"/>
          <w:kern w:val="0"/>
          <w:sz w:val="32"/>
          <w:szCs w:val="32"/>
          <w:highlight w:val="none"/>
          <w:lang w:val="en-US" w:eastAsia="zh-CN"/>
        </w:rPr>
        <w:t>减少2.48</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val="en-US" w:eastAsia="zh-CN"/>
        </w:rPr>
        <w:t>下降4.25</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减少住房公积金支出。</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hint="eastAsia" w:ascii="楷体_GB2312" w:hAnsi="宋体" w:eastAsia="楷体_GB2312" w:cs="宋体"/>
          <w:kern w:val="0"/>
          <w:sz w:val="32"/>
          <w:szCs w:val="32"/>
          <w:highlight w:val="none"/>
          <w:lang w:val="en-US" w:eastAsia="zh-CN"/>
        </w:rPr>
        <w:t>2</w:t>
      </w:r>
      <w:r>
        <w:rPr>
          <w:rFonts w:hint="eastAsia" w:ascii="楷体_GB2312" w:hAnsi="宋体" w:eastAsia="楷体_GB2312" w:cs="宋体"/>
          <w:kern w:val="0"/>
          <w:sz w:val="32"/>
          <w:szCs w:val="32"/>
          <w:highlight w:val="none"/>
        </w:rPr>
        <w:t>.</w:t>
      </w:r>
      <w:r>
        <w:rPr>
          <w:rFonts w:hint="eastAsia" w:ascii="仿宋_GB2312" w:hAnsi="宋体" w:eastAsia="仿宋_GB2312" w:cs="宋体"/>
          <w:kern w:val="0"/>
          <w:sz w:val="32"/>
          <w:szCs w:val="32"/>
          <w:highlight w:val="none"/>
          <w:lang w:val="en-US" w:eastAsia="zh-CN"/>
        </w:rPr>
        <w:t>社会保障和就业</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类</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行政事业单位养老支出</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款</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事业单位离退休</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项</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lang w:val="en-US" w:eastAsia="zh-CN"/>
        </w:rPr>
        <w:t>0.40</w:t>
      </w:r>
      <w:r>
        <w:rPr>
          <w:rFonts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rPr>
        <w:t>比上年预算数</w:t>
      </w:r>
      <w:r>
        <w:rPr>
          <w:rFonts w:hint="eastAsia" w:ascii="仿宋_GB2312" w:hAnsi="宋体" w:eastAsia="仿宋_GB2312" w:cs="宋体"/>
          <w:kern w:val="0"/>
          <w:sz w:val="32"/>
          <w:szCs w:val="32"/>
          <w:highlight w:val="none"/>
          <w:lang w:val="en-US" w:eastAsia="zh-CN"/>
        </w:rPr>
        <w:t>增加0.40</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val="en-US" w:eastAsia="zh-CN"/>
        </w:rPr>
        <w:t>增长100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增加事业单位离退休支出。</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hint="eastAsia" w:ascii="楷体_GB2312" w:hAnsi="宋体" w:eastAsia="楷体_GB2312" w:cs="宋体"/>
          <w:kern w:val="0"/>
          <w:sz w:val="32"/>
          <w:szCs w:val="32"/>
          <w:highlight w:val="none"/>
          <w:lang w:val="en-US" w:eastAsia="zh-CN"/>
        </w:rPr>
        <w:t>3</w:t>
      </w:r>
      <w:r>
        <w:rPr>
          <w:rFonts w:hint="eastAsia" w:ascii="楷体_GB2312" w:hAnsi="宋体" w:eastAsia="楷体_GB2312" w:cs="宋体"/>
          <w:kern w:val="0"/>
          <w:sz w:val="32"/>
          <w:szCs w:val="32"/>
          <w:highlight w:val="none"/>
        </w:rPr>
        <w:t>.</w:t>
      </w:r>
      <w:r>
        <w:rPr>
          <w:rFonts w:hint="eastAsia" w:ascii="仿宋_GB2312" w:hAnsi="宋体" w:eastAsia="仿宋_GB2312" w:cs="宋体"/>
          <w:kern w:val="0"/>
          <w:sz w:val="32"/>
          <w:szCs w:val="32"/>
          <w:highlight w:val="none"/>
          <w:lang w:val="en-US" w:eastAsia="zh-CN"/>
        </w:rPr>
        <w:t>社会保障和就业</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类</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行政事业单位养老支出</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款</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机关事业单位基本养老保险缴费</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项</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lang w:val="en-US" w:eastAsia="zh-CN"/>
        </w:rPr>
        <w:t>6.89</w:t>
      </w:r>
      <w:r>
        <w:rPr>
          <w:rFonts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rPr>
        <w:t>比上年预算数</w:t>
      </w:r>
      <w:r>
        <w:rPr>
          <w:rFonts w:hint="eastAsia" w:ascii="仿宋_GB2312" w:hAnsi="宋体" w:eastAsia="仿宋_GB2312" w:cs="宋体"/>
          <w:kern w:val="0"/>
          <w:sz w:val="32"/>
          <w:szCs w:val="32"/>
          <w:highlight w:val="none"/>
          <w:lang w:val="en-US" w:eastAsia="zh-CN"/>
        </w:rPr>
        <w:t>增加0.81</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val="en-US" w:eastAsia="zh-CN"/>
        </w:rPr>
        <w:t>增长13.32</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增加基本养老保险缴费。</w:t>
      </w:r>
    </w:p>
    <w:p>
      <w:pPr>
        <w:spacing w:line="560" w:lineRule="exact"/>
        <w:ind w:firstLine="640" w:firstLineChars="200"/>
        <w:rPr>
          <w:rFonts w:ascii="仿宋_GB2312" w:hAnsi="宋体" w:eastAsia="仿宋_GB2312" w:cs="宋体"/>
          <w:kern w:val="0"/>
          <w:sz w:val="32"/>
          <w:szCs w:val="32"/>
          <w:highlight w:val="none"/>
        </w:rPr>
      </w:pPr>
      <w:r>
        <w:rPr>
          <w:rFonts w:hint="eastAsia" w:ascii="楷体_GB2312" w:hAnsi="宋体" w:eastAsia="楷体_GB2312" w:cs="宋体"/>
          <w:kern w:val="0"/>
          <w:sz w:val="32"/>
          <w:szCs w:val="32"/>
          <w:highlight w:val="none"/>
          <w:lang w:val="en-US" w:eastAsia="zh-CN"/>
        </w:rPr>
        <w:t>4</w:t>
      </w:r>
      <w:r>
        <w:rPr>
          <w:rFonts w:hint="eastAsia" w:ascii="楷体_GB2312" w:hAnsi="宋体" w:eastAsia="楷体_GB2312" w:cs="宋体"/>
          <w:kern w:val="0"/>
          <w:sz w:val="32"/>
          <w:szCs w:val="32"/>
          <w:highlight w:val="none"/>
        </w:rPr>
        <w:t>.</w:t>
      </w:r>
      <w:r>
        <w:rPr>
          <w:rFonts w:hint="eastAsia" w:ascii="仿宋_GB2312" w:hAnsi="宋体" w:eastAsia="仿宋_GB2312" w:cs="宋体"/>
          <w:kern w:val="0"/>
          <w:sz w:val="32"/>
          <w:szCs w:val="32"/>
          <w:highlight w:val="none"/>
          <w:lang w:val="en-US" w:eastAsia="zh-CN"/>
        </w:rPr>
        <w:t>卫生健康</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类</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行政事业单位医疗</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款</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事业单位医疗</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项</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lang w:val="en-US" w:eastAsia="zh-CN"/>
        </w:rPr>
        <w:t>4.09</w:t>
      </w:r>
      <w:r>
        <w:rPr>
          <w:rFonts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rPr>
        <w:t>比上年预算数</w:t>
      </w:r>
      <w:r>
        <w:rPr>
          <w:rFonts w:hint="eastAsia" w:ascii="仿宋_GB2312" w:hAnsi="宋体" w:eastAsia="仿宋_GB2312" w:cs="宋体"/>
          <w:kern w:val="0"/>
          <w:sz w:val="32"/>
          <w:szCs w:val="32"/>
          <w:highlight w:val="none"/>
          <w:lang w:val="en-US" w:eastAsia="zh-CN"/>
        </w:rPr>
        <w:t>减少1.99</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val="en-US" w:eastAsia="zh-CN"/>
        </w:rPr>
        <w:t>下降32.73</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减少事业单位医疗缴费。</w:t>
      </w:r>
    </w:p>
    <w:p>
      <w:pPr>
        <w:spacing w:line="560" w:lineRule="exact"/>
        <w:ind w:firstLine="640" w:firstLineChars="200"/>
        <w:rPr>
          <w:rFonts w:ascii="仿宋_GB2312" w:hAnsi="宋体" w:eastAsia="仿宋_GB2312" w:cs="宋体"/>
          <w:kern w:val="0"/>
          <w:sz w:val="32"/>
          <w:szCs w:val="32"/>
          <w:highlight w:val="none"/>
        </w:rPr>
      </w:pPr>
      <w:r>
        <w:rPr>
          <w:rFonts w:hint="eastAsia" w:ascii="楷体_GB2312" w:hAnsi="宋体" w:eastAsia="楷体_GB2312" w:cs="宋体"/>
          <w:kern w:val="0"/>
          <w:sz w:val="32"/>
          <w:szCs w:val="32"/>
          <w:highlight w:val="none"/>
          <w:lang w:val="en-US" w:eastAsia="zh-CN"/>
        </w:rPr>
        <w:t>5</w:t>
      </w:r>
      <w:r>
        <w:rPr>
          <w:rFonts w:hint="eastAsia" w:ascii="楷体_GB2312" w:hAnsi="宋体" w:eastAsia="楷体_GB2312" w:cs="宋体"/>
          <w:kern w:val="0"/>
          <w:sz w:val="32"/>
          <w:szCs w:val="32"/>
          <w:highlight w:val="none"/>
        </w:rPr>
        <w:t>.</w:t>
      </w:r>
      <w:r>
        <w:rPr>
          <w:rFonts w:hint="eastAsia" w:ascii="仿宋_GB2312" w:hAnsi="宋体" w:eastAsia="仿宋_GB2312" w:cs="宋体"/>
          <w:kern w:val="0"/>
          <w:sz w:val="32"/>
          <w:szCs w:val="32"/>
          <w:highlight w:val="none"/>
          <w:lang w:val="en-US" w:eastAsia="zh-CN"/>
        </w:rPr>
        <w:t>卫生健康</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类</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行政事业单位医疗</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款</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公务员医疗补助</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项</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lang w:val="en-US" w:eastAsia="zh-CN"/>
        </w:rPr>
        <w:t>1.29</w:t>
      </w:r>
      <w:r>
        <w:rPr>
          <w:rFonts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rPr>
        <w:t>比上年预算数</w:t>
      </w:r>
      <w:r>
        <w:rPr>
          <w:rFonts w:hint="eastAsia" w:ascii="仿宋_GB2312" w:hAnsi="宋体" w:eastAsia="仿宋_GB2312" w:cs="宋体"/>
          <w:kern w:val="0"/>
          <w:sz w:val="32"/>
          <w:szCs w:val="32"/>
          <w:highlight w:val="none"/>
          <w:lang w:val="en-US" w:eastAsia="zh-CN"/>
        </w:rPr>
        <w:t>减少0.67</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val="en-US" w:eastAsia="zh-CN"/>
        </w:rPr>
        <w:t>下降34.18</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减少公务员医疗补助缴费。</w:t>
      </w:r>
    </w:p>
    <w:p>
      <w:pPr>
        <w:spacing w:line="560" w:lineRule="exact"/>
        <w:ind w:firstLine="640" w:firstLineChars="200"/>
        <w:rPr>
          <w:rFonts w:ascii="仿宋_GB2312" w:hAnsi="宋体" w:eastAsia="仿宋_GB2312" w:cs="宋体"/>
          <w:kern w:val="0"/>
          <w:sz w:val="32"/>
          <w:szCs w:val="32"/>
          <w:highlight w:val="none"/>
        </w:rPr>
      </w:pPr>
      <w:r>
        <w:rPr>
          <w:rFonts w:hint="eastAsia" w:ascii="楷体_GB2312" w:hAnsi="宋体" w:eastAsia="楷体_GB2312" w:cs="宋体"/>
          <w:kern w:val="0"/>
          <w:sz w:val="32"/>
          <w:szCs w:val="32"/>
          <w:highlight w:val="none"/>
          <w:lang w:val="en-US" w:eastAsia="zh-CN"/>
        </w:rPr>
        <w:t>6</w:t>
      </w:r>
      <w:r>
        <w:rPr>
          <w:rFonts w:hint="eastAsia" w:ascii="楷体_GB2312" w:hAnsi="宋体" w:eastAsia="楷体_GB2312" w:cs="宋体"/>
          <w:kern w:val="0"/>
          <w:sz w:val="32"/>
          <w:szCs w:val="32"/>
          <w:highlight w:val="none"/>
        </w:rPr>
        <w:t>.</w:t>
      </w:r>
      <w:r>
        <w:rPr>
          <w:rFonts w:hint="eastAsia" w:ascii="仿宋_GB2312" w:hAnsi="宋体" w:eastAsia="仿宋_GB2312" w:cs="宋体"/>
          <w:kern w:val="0"/>
          <w:sz w:val="32"/>
          <w:szCs w:val="32"/>
          <w:highlight w:val="none"/>
          <w:lang w:val="en-US" w:eastAsia="zh-CN"/>
        </w:rPr>
        <w:t>卫生健康</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类</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行政事业单位医疗</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款</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其他行政事业单位医疗</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项</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lang w:val="en-US" w:eastAsia="zh-CN"/>
        </w:rPr>
        <w:t>0.05</w:t>
      </w:r>
      <w:r>
        <w:rPr>
          <w:rFonts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rPr>
        <w:t>比上年预算数</w:t>
      </w:r>
      <w:r>
        <w:rPr>
          <w:rFonts w:hint="eastAsia" w:ascii="仿宋_GB2312" w:hAnsi="宋体" w:eastAsia="仿宋_GB2312" w:cs="宋体"/>
          <w:kern w:val="0"/>
          <w:sz w:val="32"/>
          <w:szCs w:val="32"/>
          <w:highlight w:val="none"/>
          <w:lang w:val="en-US" w:eastAsia="zh-CN"/>
        </w:rPr>
        <w:t>减少0.12</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val="en-US" w:eastAsia="zh-CN"/>
        </w:rPr>
        <w:t>下降70.59</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减少其他行政事业单位医疗缴费。</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hint="eastAsia" w:ascii="楷体_GB2312" w:hAnsi="宋体" w:eastAsia="楷体_GB2312" w:cs="宋体"/>
          <w:kern w:val="0"/>
          <w:sz w:val="32"/>
          <w:szCs w:val="32"/>
          <w:highlight w:val="none"/>
          <w:lang w:val="en-US" w:eastAsia="zh-CN"/>
        </w:rPr>
        <w:t>7.</w:t>
      </w:r>
      <w:r>
        <w:rPr>
          <w:rFonts w:hint="eastAsia" w:ascii="仿宋_GB2312" w:hAnsi="宋体" w:eastAsia="仿宋_GB2312" w:cs="宋体"/>
          <w:kern w:val="0"/>
          <w:sz w:val="32"/>
          <w:szCs w:val="32"/>
          <w:highlight w:val="none"/>
          <w:lang w:val="en-US" w:eastAsia="zh-CN"/>
        </w:rPr>
        <w:t>住房保障支出</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类</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住房改革支出</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款</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住房公积金</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项</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lang w:val="en-US" w:eastAsia="zh-CN"/>
        </w:rPr>
        <w:t>6.25</w:t>
      </w:r>
      <w:r>
        <w:rPr>
          <w:rFonts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rPr>
        <w:t>比上年预算数</w:t>
      </w:r>
      <w:r>
        <w:rPr>
          <w:rFonts w:hint="eastAsia" w:ascii="仿宋_GB2312" w:hAnsi="宋体" w:eastAsia="仿宋_GB2312" w:cs="宋体"/>
          <w:kern w:val="0"/>
          <w:sz w:val="32"/>
          <w:szCs w:val="32"/>
          <w:highlight w:val="none"/>
          <w:lang w:val="en-US" w:eastAsia="zh-CN"/>
        </w:rPr>
        <w:t>增加6.25</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val="en-US" w:eastAsia="zh-CN"/>
        </w:rPr>
        <w:t>增长100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增加住房公积金支出。</w:t>
      </w:r>
    </w:p>
    <w:p>
      <w:pPr>
        <w:spacing w:line="560" w:lineRule="exact"/>
        <w:ind w:firstLine="643" w:firstLineChars="200"/>
        <w:rPr>
          <w:rFonts w:ascii="楷体_GB2312" w:hAnsi="楷体_GB2312" w:eastAsia="楷体_GB2312" w:cs="楷体_GB2312"/>
          <w:b/>
          <w:bCs/>
          <w:spacing w:val="-6"/>
          <w:kern w:val="0"/>
          <w:sz w:val="32"/>
          <w:szCs w:val="32"/>
          <w:highlight w:val="none"/>
        </w:rPr>
      </w:pPr>
      <w:r>
        <w:rPr>
          <w:rFonts w:hint="eastAsia" w:ascii="楷体_GB2312" w:hAnsi="楷体_GB2312" w:eastAsia="楷体_GB2312" w:cs="楷体_GB2312"/>
          <w:b/>
          <w:bCs/>
          <w:kern w:val="0"/>
          <w:sz w:val="32"/>
          <w:szCs w:val="32"/>
          <w:highlight w:val="none"/>
        </w:rPr>
        <w:t>六、</w:t>
      </w:r>
      <w:r>
        <w:rPr>
          <w:rFonts w:hint="eastAsia" w:ascii="楷体_GB2312" w:hAnsi="楷体_GB2312" w:eastAsia="楷体_GB2312" w:cs="楷体_GB2312"/>
          <w:b/>
          <w:bCs/>
          <w:spacing w:val="-6"/>
          <w:kern w:val="0"/>
          <w:sz w:val="32"/>
          <w:szCs w:val="32"/>
          <w:highlight w:val="none"/>
        </w:rPr>
        <w:t>关于</w:t>
      </w:r>
      <w:r>
        <w:rPr>
          <w:rFonts w:hint="eastAsia" w:ascii="楷体_GB2312" w:hAnsi="楷体_GB2312" w:eastAsia="楷体_GB2312" w:cs="楷体_GB2312"/>
          <w:b/>
          <w:kern w:val="0"/>
          <w:sz w:val="32"/>
          <w:szCs w:val="32"/>
          <w:highlight w:val="none"/>
        </w:rPr>
        <w:t>昌吉州政府投资项目评审中心</w:t>
      </w:r>
      <w:r>
        <w:rPr>
          <w:rFonts w:hint="eastAsia" w:ascii="楷体_GB2312" w:hAnsi="楷体_GB2312" w:eastAsia="楷体_GB2312" w:cs="楷体_GB2312"/>
          <w:b/>
          <w:bCs/>
          <w:spacing w:val="-6"/>
          <w:kern w:val="0"/>
          <w:sz w:val="32"/>
          <w:szCs w:val="32"/>
          <w:highlight w:val="none"/>
        </w:rPr>
        <w:t>2022年一般公共预算基本支出情况说明</w:t>
      </w:r>
    </w:p>
    <w:p>
      <w:pPr>
        <w:spacing w:line="560" w:lineRule="exact"/>
        <w:ind w:firstLine="616" w:firstLineChars="200"/>
        <w:rPr>
          <w:rFonts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昌吉州政府投资项目评审中心2022年一般公共预算基本支出</w:t>
      </w:r>
      <w:r>
        <w:rPr>
          <w:rFonts w:hint="eastAsia" w:ascii="仿宋_GB2312" w:hAnsi="宋体" w:eastAsia="仿宋_GB2312" w:cs="宋体"/>
          <w:kern w:val="0"/>
          <w:sz w:val="32"/>
          <w:szCs w:val="32"/>
          <w:highlight w:val="none"/>
          <w:lang w:val="en-US" w:eastAsia="zh-CN"/>
        </w:rPr>
        <w:t>74.84</w:t>
      </w:r>
      <w:r>
        <w:rPr>
          <w:rFonts w:hint="eastAsia" w:ascii="仿宋_GB2312" w:hAnsi="宋体" w:eastAsia="仿宋_GB2312" w:cs="宋体"/>
          <w:spacing w:val="-6"/>
          <w:kern w:val="0"/>
          <w:sz w:val="32"/>
          <w:szCs w:val="32"/>
          <w:highlight w:val="none"/>
        </w:rPr>
        <w:t>万元， 其中：</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人员经费</w:t>
      </w:r>
      <w:r>
        <w:rPr>
          <w:rFonts w:hint="eastAsia" w:ascii="仿宋_GB2312" w:hAnsi="宋体" w:eastAsia="仿宋_GB2312" w:cs="宋体"/>
          <w:kern w:val="0"/>
          <w:sz w:val="32"/>
          <w:szCs w:val="32"/>
          <w:highlight w:val="none"/>
          <w:lang w:val="en-US" w:eastAsia="zh-CN"/>
        </w:rPr>
        <w:t>66.62</w:t>
      </w:r>
      <w:r>
        <w:rPr>
          <w:rFonts w:hint="eastAsia" w:ascii="仿宋_GB2312" w:hAnsi="宋体" w:eastAsia="仿宋_GB2312" w:cs="宋体"/>
          <w:kern w:val="0"/>
          <w:sz w:val="32"/>
          <w:szCs w:val="32"/>
          <w:highlight w:val="none"/>
        </w:rPr>
        <w:t>万元，主要包括：基本工资、津贴补贴、奖金、绩效工资、机关事业单位基本养老保险缴费、职工基本医疗保险缴费、公务员医疗补助缴费、其他社会保障缴费、住房公积金、离休费、医疗费补助、奖励金等。</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公用经费</w:t>
      </w:r>
      <w:r>
        <w:rPr>
          <w:rFonts w:hint="eastAsia" w:ascii="仿宋_GB2312" w:hAnsi="宋体" w:eastAsia="仿宋_GB2312" w:cs="宋体"/>
          <w:kern w:val="0"/>
          <w:sz w:val="32"/>
          <w:szCs w:val="32"/>
          <w:highlight w:val="none"/>
          <w:lang w:val="en-US" w:eastAsia="zh-CN"/>
        </w:rPr>
        <w:t>8.22</w:t>
      </w:r>
      <w:r>
        <w:rPr>
          <w:rFonts w:hint="eastAsia" w:ascii="仿宋_GB2312" w:hAnsi="宋体" w:eastAsia="仿宋_GB2312" w:cs="宋体"/>
          <w:kern w:val="0"/>
          <w:sz w:val="32"/>
          <w:szCs w:val="32"/>
          <w:highlight w:val="none"/>
        </w:rPr>
        <w:t>万元，主要包括：办公费、印刷费、电费、邮电费、差旅费、维修（护）费、培训费、工会经费、福利费、公务用车运行维护费、其他商品和服务支出等。</w:t>
      </w:r>
    </w:p>
    <w:p>
      <w:pPr>
        <w:spacing w:line="560" w:lineRule="exact"/>
        <w:ind w:firstLine="643" w:firstLineChars="200"/>
        <w:rPr>
          <w:rFonts w:ascii="楷体_GB2312" w:hAnsi="楷体_GB2312" w:eastAsia="楷体_GB2312" w:cs="楷体_GB2312"/>
          <w:b/>
          <w:bCs/>
          <w:spacing w:val="-6"/>
          <w:kern w:val="0"/>
          <w:sz w:val="32"/>
          <w:szCs w:val="32"/>
          <w:highlight w:val="none"/>
        </w:rPr>
      </w:pPr>
      <w:r>
        <w:rPr>
          <w:rFonts w:hint="eastAsia" w:ascii="楷体_GB2312" w:hAnsi="楷体_GB2312" w:eastAsia="楷体_GB2312" w:cs="楷体_GB2312"/>
          <w:b/>
          <w:bCs/>
          <w:kern w:val="0"/>
          <w:sz w:val="32"/>
          <w:szCs w:val="32"/>
          <w:highlight w:val="none"/>
        </w:rPr>
        <w:t>七、</w:t>
      </w:r>
      <w:r>
        <w:rPr>
          <w:rFonts w:hint="eastAsia" w:ascii="楷体_GB2312" w:hAnsi="楷体_GB2312" w:eastAsia="楷体_GB2312" w:cs="楷体_GB2312"/>
          <w:b/>
          <w:bCs/>
          <w:spacing w:val="-6"/>
          <w:kern w:val="0"/>
          <w:sz w:val="32"/>
          <w:szCs w:val="32"/>
          <w:highlight w:val="none"/>
        </w:rPr>
        <w:t>关于</w:t>
      </w:r>
      <w:r>
        <w:rPr>
          <w:rFonts w:hint="eastAsia" w:ascii="楷体_GB2312" w:hAnsi="楷体_GB2312" w:eastAsia="楷体_GB2312" w:cs="楷体_GB2312"/>
          <w:b/>
          <w:kern w:val="0"/>
          <w:sz w:val="32"/>
          <w:szCs w:val="32"/>
          <w:highlight w:val="none"/>
        </w:rPr>
        <w:t>昌吉州政府投资项目评审中心</w:t>
      </w:r>
      <w:r>
        <w:rPr>
          <w:rFonts w:hint="eastAsia" w:ascii="楷体_GB2312" w:hAnsi="楷体_GB2312" w:eastAsia="楷体_GB2312" w:cs="楷体_GB2312"/>
          <w:b/>
          <w:bCs/>
          <w:spacing w:val="-6"/>
          <w:kern w:val="0"/>
          <w:sz w:val="32"/>
          <w:szCs w:val="32"/>
          <w:highlight w:val="none"/>
        </w:rPr>
        <w:t>2022年一般公共预算项目支出情况说明</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本单位无项目支出。</w:t>
      </w: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八、关于</w:t>
      </w:r>
      <w:r>
        <w:rPr>
          <w:rFonts w:hint="eastAsia" w:ascii="楷体_GB2312" w:hAnsi="楷体_GB2312" w:eastAsia="楷体_GB2312" w:cs="楷体_GB2312"/>
          <w:b/>
          <w:kern w:val="0"/>
          <w:sz w:val="32"/>
          <w:szCs w:val="32"/>
          <w:highlight w:val="none"/>
        </w:rPr>
        <w:t>昌吉州政府投资项目评审中心</w:t>
      </w:r>
      <w:r>
        <w:rPr>
          <w:rFonts w:hint="eastAsia" w:ascii="楷体_GB2312" w:hAnsi="楷体_GB2312" w:eastAsia="楷体_GB2312" w:cs="楷体_GB2312"/>
          <w:b/>
          <w:bCs/>
          <w:kern w:val="0"/>
          <w:sz w:val="32"/>
          <w:szCs w:val="32"/>
          <w:highlight w:val="none"/>
        </w:rPr>
        <w:t>2022年一般公共预算“三公”经费预算情况说明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昌吉州政府投资项目评审中心2022年一般公共预算“三公”经费数为</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万元，其中：因公出国（境）费</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万元，公务用车购置</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万元，公务用车运行费</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万元，公务接待费</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2022年一般公共预算“三公”经费比上年增加</w:t>
      </w:r>
      <w:r>
        <w:rPr>
          <w:rFonts w:hint="eastAsia" w:ascii="仿宋_GB2312" w:hAnsi="宋体" w:eastAsia="仿宋_GB2312" w:cs="宋体"/>
          <w:kern w:val="0"/>
          <w:sz w:val="32"/>
          <w:szCs w:val="32"/>
          <w:highlight w:val="none"/>
          <w:lang w:val="en-US" w:eastAsia="zh-CN"/>
        </w:rPr>
        <w:t>0.45</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29.03</w:t>
      </w:r>
      <w:r>
        <w:rPr>
          <w:rFonts w:hint="eastAsia" w:ascii="仿宋_GB2312" w:hAnsi="宋体" w:eastAsia="仿宋_GB2312" w:cs="宋体"/>
          <w:kern w:val="0"/>
          <w:sz w:val="32"/>
          <w:szCs w:val="32"/>
          <w:highlight w:val="none"/>
        </w:rPr>
        <w:t>%，其中：因公出国（境）费增加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万元，主要原因是</w:t>
      </w:r>
      <w:r>
        <w:rPr>
          <w:rFonts w:hint="eastAsia" w:ascii="仿宋_GB2312" w:hAnsi="宋体" w:eastAsia="仿宋_GB2312" w:cs="宋体"/>
          <w:kern w:val="0"/>
          <w:sz w:val="32"/>
          <w:szCs w:val="32"/>
          <w:highlight w:val="none"/>
          <w:lang w:eastAsia="zh-CN"/>
        </w:rPr>
        <w:t>我单位</w:t>
      </w:r>
      <w:r>
        <w:rPr>
          <w:rFonts w:hint="eastAsia" w:ascii="仿宋_GB2312" w:hAnsi="宋体" w:eastAsia="仿宋_GB2312" w:cs="宋体"/>
          <w:kern w:val="0"/>
          <w:sz w:val="32"/>
          <w:szCs w:val="32"/>
          <w:highlight w:val="none"/>
        </w:rPr>
        <w:t>未安排因公出国（境）费预算；公务用车购置费为0万元，未安排预算。公务用车运行费增加</w:t>
      </w:r>
      <w:r>
        <w:rPr>
          <w:rFonts w:hint="eastAsia" w:ascii="仿宋_GB2312" w:hAnsi="宋体" w:eastAsia="仿宋_GB2312" w:cs="宋体"/>
          <w:kern w:val="0"/>
          <w:sz w:val="32"/>
          <w:szCs w:val="32"/>
          <w:highlight w:val="none"/>
          <w:lang w:val="en-US" w:eastAsia="zh-CN"/>
        </w:rPr>
        <w:t>0.45</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29.03</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增加公务用车运行费支出；</w:t>
      </w:r>
      <w:r>
        <w:rPr>
          <w:rFonts w:hint="eastAsia" w:ascii="仿宋_GB2312" w:hAnsi="宋体" w:eastAsia="仿宋_GB2312" w:cs="宋体"/>
          <w:kern w:val="0"/>
          <w:sz w:val="32"/>
          <w:szCs w:val="32"/>
          <w:highlight w:val="none"/>
        </w:rPr>
        <w:t>公务接待费增加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万元，主要原因是</w:t>
      </w:r>
      <w:r>
        <w:rPr>
          <w:rFonts w:hint="eastAsia" w:ascii="仿宋_GB2312" w:hAnsi="宋体" w:eastAsia="仿宋_GB2312" w:cs="宋体"/>
          <w:kern w:val="0"/>
          <w:sz w:val="32"/>
          <w:szCs w:val="32"/>
          <w:highlight w:val="none"/>
          <w:lang w:eastAsia="zh-CN"/>
        </w:rPr>
        <w:t>我单位</w:t>
      </w:r>
      <w:r>
        <w:rPr>
          <w:rFonts w:hint="eastAsia" w:ascii="仿宋_GB2312" w:hAnsi="宋体" w:eastAsia="仿宋_GB2312" w:cs="宋体"/>
          <w:kern w:val="0"/>
          <w:sz w:val="32"/>
          <w:szCs w:val="32"/>
          <w:highlight w:val="none"/>
        </w:rPr>
        <w:t>未安排预算公务接待费。</w:t>
      </w: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九、关于</w:t>
      </w:r>
      <w:r>
        <w:rPr>
          <w:rFonts w:hint="eastAsia" w:ascii="楷体_GB2312" w:hAnsi="楷体_GB2312" w:eastAsia="楷体_GB2312" w:cs="楷体_GB2312"/>
          <w:b/>
          <w:kern w:val="0"/>
          <w:sz w:val="32"/>
          <w:szCs w:val="32"/>
          <w:highlight w:val="none"/>
        </w:rPr>
        <w:t>昌吉州政府投资项目评审中心</w:t>
      </w:r>
      <w:r>
        <w:rPr>
          <w:rFonts w:hint="eastAsia" w:ascii="楷体_GB2312" w:hAnsi="楷体_GB2312" w:eastAsia="楷体_GB2312" w:cs="楷体_GB2312"/>
          <w:b/>
          <w:bCs/>
          <w:kern w:val="0"/>
          <w:sz w:val="32"/>
          <w:szCs w:val="32"/>
          <w:highlight w:val="none"/>
        </w:rPr>
        <w:t>2022年政府性基金预算拨款情况说明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昌吉州政府投资项目评审中心2021年没有使用政府性基金预算拨款安排的支出，政府性基金预算支出情况表为空表。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十、其他重要事项的情况说明</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（一）机关运行经费情况</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2022年，昌吉州政府投资项目评审中心机关运行经费财政拨款预算</w:t>
      </w:r>
      <w:r>
        <w:rPr>
          <w:rFonts w:hint="eastAsia" w:ascii="仿宋_GB2312" w:hAnsi="仿宋_GB2312" w:eastAsia="仿宋_GB2312" w:cs="仿宋_GB2312"/>
          <w:kern w:val="0"/>
          <w:sz w:val="32"/>
          <w:szCs w:val="32"/>
          <w:highlight w:val="none"/>
          <w:lang w:val="en-US" w:eastAsia="zh-CN"/>
        </w:rPr>
        <w:t>8.22</w:t>
      </w:r>
      <w:r>
        <w:rPr>
          <w:rFonts w:hint="eastAsia" w:ascii="仿宋_GB2312" w:hAnsi="仿宋_GB2312" w:eastAsia="仿宋_GB2312" w:cs="仿宋_GB2312"/>
          <w:kern w:val="0"/>
          <w:sz w:val="32"/>
          <w:szCs w:val="32"/>
          <w:highlight w:val="none"/>
        </w:rPr>
        <w:t>万元，比上年预算减少</w:t>
      </w:r>
      <w:r>
        <w:rPr>
          <w:rFonts w:hint="eastAsia" w:ascii="仿宋_GB2312" w:hAnsi="仿宋_GB2312" w:eastAsia="仿宋_GB2312" w:cs="仿宋_GB2312"/>
          <w:kern w:val="0"/>
          <w:sz w:val="32"/>
          <w:szCs w:val="32"/>
          <w:highlight w:val="none"/>
          <w:lang w:val="en-US" w:eastAsia="zh-CN"/>
        </w:rPr>
        <w:t>0.03</w:t>
      </w:r>
      <w:r>
        <w:rPr>
          <w:rFonts w:hint="eastAsia" w:ascii="仿宋_GB2312" w:hAnsi="仿宋_GB2312" w:eastAsia="仿宋_GB2312" w:cs="仿宋_GB2312"/>
          <w:kern w:val="0"/>
          <w:sz w:val="32"/>
          <w:szCs w:val="32"/>
          <w:highlight w:val="none"/>
        </w:rPr>
        <w:t>万元，下降</w:t>
      </w:r>
      <w:r>
        <w:rPr>
          <w:rFonts w:hint="eastAsia" w:ascii="仿宋_GB2312" w:hAnsi="仿宋_GB2312" w:eastAsia="仿宋_GB2312" w:cs="仿宋_GB2312"/>
          <w:kern w:val="0"/>
          <w:sz w:val="32"/>
          <w:szCs w:val="32"/>
          <w:highlight w:val="none"/>
          <w:lang w:val="en-US" w:eastAsia="zh-CN"/>
        </w:rPr>
        <w:t>0.36</w:t>
      </w:r>
      <w:r>
        <w:rPr>
          <w:rFonts w:hint="eastAsia" w:ascii="仿宋_GB2312" w:hAnsi="仿宋_GB2312" w:eastAsia="仿宋_GB2312" w:cs="仿宋_GB2312"/>
          <w:kern w:val="0"/>
          <w:sz w:val="32"/>
          <w:szCs w:val="32"/>
          <w:highlight w:val="none"/>
        </w:rPr>
        <w:t>%。主要原因是</w:t>
      </w:r>
      <w:r>
        <w:rPr>
          <w:rFonts w:hint="eastAsia" w:ascii="仿宋_GB2312" w:hAnsi="宋体" w:eastAsia="仿宋_GB2312" w:cs="宋体"/>
          <w:kern w:val="0"/>
          <w:sz w:val="32"/>
          <w:szCs w:val="32"/>
          <w:highlight w:val="none"/>
        </w:rPr>
        <w:t>压缩了</w:t>
      </w:r>
      <w:r>
        <w:rPr>
          <w:rFonts w:hint="eastAsia" w:ascii="仿宋_GB2312" w:hAnsi="仿宋_GB2312" w:eastAsia="仿宋_GB2312" w:cs="仿宋_GB2312"/>
          <w:kern w:val="0"/>
          <w:sz w:val="32"/>
          <w:szCs w:val="32"/>
          <w:highlight w:val="none"/>
        </w:rPr>
        <w:t>机关运行经费</w:t>
      </w:r>
      <w:r>
        <w:rPr>
          <w:rFonts w:hint="eastAsia" w:ascii="仿宋_GB2312" w:hAnsi="宋体" w:eastAsia="仿宋_GB2312" w:cs="宋体"/>
          <w:kern w:val="0"/>
          <w:sz w:val="32"/>
          <w:szCs w:val="32"/>
          <w:highlight w:val="none"/>
        </w:rPr>
        <w:t>支出</w:t>
      </w:r>
      <w:r>
        <w:rPr>
          <w:rFonts w:hint="eastAsia" w:ascii="仿宋_GB2312" w:hAnsi="仿宋_GB2312" w:eastAsia="仿宋_GB2312" w:cs="仿宋_GB2312"/>
          <w:kern w:val="0"/>
          <w:sz w:val="32"/>
          <w:szCs w:val="32"/>
          <w:highlight w:val="none"/>
        </w:rPr>
        <w:t>。</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（二）政府采购情况</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2022年，昌吉州政府投资项目评审中心政府采购预算</w:t>
      </w:r>
      <w:r>
        <w:rPr>
          <w:rFonts w:hint="eastAsia" w:ascii="仿宋_GB2312" w:hAnsi="仿宋_GB2312" w:eastAsia="仿宋_GB2312" w:cs="仿宋_GB2312"/>
          <w:kern w:val="0"/>
          <w:sz w:val="32"/>
          <w:szCs w:val="32"/>
          <w:highlight w:val="none"/>
          <w:lang w:val="en-US" w:eastAsia="zh-CN"/>
        </w:rPr>
        <w:t>6.78</w:t>
      </w:r>
      <w:r>
        <w:rPr>
          <w:rFonts w:hint="eastAsia" w:ascii="仿宋_GB2312" w:hAnsi="仿宋_GB2312" w:eastAsia="仿宋_GB2312" w:cs="仿宋_GB2312"/>
          <w:kern w:val="0"/>
          <w:sz w:val="32"/>
          <w:szCs w:val="32"/>
          <w:highlight w:val="none"/>
        </w:rPr>
        <w:t>万元，其中：政府采购货物预算</w:t>
      </w:r>
      <w:r>
        <w:rPr>
          <w:rFonts w:hint="eastAsia" w:ascii="仿宋_GB2312" w:hAnsi="仿宋_GB2312" w:eastAsia="仿宋_GB2312" w:cs="仿宋_GB2312"/>
          <w:kern w:val="0"/>
          <w:sz w:val="32"/>
          <w:szCs w:val="32"/>
          <w:highlight w:val="none"/>
          <w:lang w:val="en-US" w:eastAsia="zh-CN"/>
        </w:rPr>
        <w:t>6.78</w:t>
      </w:r>
      <w:r>
        <w:rPr>
          <w:rFonts w:hint="eastAsia" w:ascii="仿宋_GB2312" w:hAnsi="仿宋_GB2312" w:eastAsia="仿宋_GB2312" w:cs="仿宋_GB2312"/>
          <w:kern w:val="0"/>
          <w:sz w:val="32"/>
          <w:szCs w:val="32"/>
          <w:highlight w:val="none"/>
        </w:rPr>
        <w:t>万元，政府采购工程预算</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万元，政府采购服务预算</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万元。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sz w:val="32"/>
          <w:highlight w:val="none"/>
        </w:rPr>
        <w:t>2022年度本部门（单位）面向中小企业预留政府采购项目预算金额</w:t>
      </w:r>
      <w:r>
        <w:rPr>
          <w:rFonts w:hint="eastAsia" w:ascii="仿宋_GB2312" w:hAnsi="仿宋_GB2312" w:eastAsia="仿宋_GB2312" w:cs="仿宋_GB2312"/>
          <w:sz w:val="32"/>
          <w:highlight w:val="none"/>
          <w:lang w:val="en-US" w:eastAsia="zh-CN"/>
        </w:rPr>
        <w:t>0</w:t>
      </w:r>
      <w:r>
        <w:rPr>
          <w:rFonts w:hint="eastAsia" w:ascii="仿宋_GB2312" w:hAnsi="仿宋_GB2312" w:eastAsia="仿宋_GB2312" w:cs="仿宋_GB2312"/>
          <w:sz w:val="32"/>
          <w:highlight w:val="none"/>
        </w:rPr>
        <w:t>万元，其中：面向小微企业预留政府采购项目预算金额</w:t>
      </w:r>
      <w:r>
        <w:rPr>
          <w:rFonts w:hint="eastAsia" w:ascii="仿宋_GB2312" w:hAnsi="仿宋_GB2312" w:eastAsia="仿宋_GB2312" w:cs="仿宋_GB2312"/>
          <w:sz w:val="32"/>
          <w:highlight w:val="none"/>
          <w:lang w:val="en-US" w:eastAsia="zh-CN"/>
        </w:rPr>
        <w:t>0</w:t>
      </w:r>
      <w:r>
        <w:rPr>
          <w:rFonts w:hint="eastAsia" w:ascii="仿宋_GB2312" w:hAnsi="仿宋_GB2312" w:eastAsia="仿宋_GB2312" w:cs="仿宋_GB2312"/>
          <w:sz w:val="32"/>
          <w:highlight w:val="none"/>
        </w:rPr>
        <w:t>万元。</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（三）国有资产占用使用情况</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截至2021年底，昌吉州政府投资项目评审中心及下属各预算单位占用使用国有资产总体情况为</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仿宋_GB2312" w:eastAsia="仿宋_GB2312" w:cs="仿宋_GB2312"/>
          <w:kern w:val="0"/>
          <w:sz w:val="32"/>
          <w:szCs w:val="32"/>
          <w:highlight w:val="none"/>
        </w:rPr>
        <w:t>1.</w:t>
      </w:r>
      <w:r>
        <w:rPr>
          <w:rFonts w:hint="eastAsia" w:ascii="仿宋_GB2312" w:hAnsi="宋体" w:eastAsia="仿宋_GB2312" w:cs="宋体"/>
          <w:kern w:val="0"/>
          <w:sz w:val="32"/>
          <w:szCs w:val="32"/>
          <w:highlight w:val="none"/>
        </w:rPr>
        <w:t>房屋300平方米，价值29.04万元。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2.车辆</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辆，价值</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万元；其中：一般公务用车</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辆，价值</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万元；执法执勤用车</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辆，价值</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万元；其他车辆</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辆，价值</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万元。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3.办公家具价值</w:t>
      </w:r>
      <w:r>
        <w:rPr>
          <w:rFonts w:hint="eastAsia" w:ascii="仿宋_GB2312" w:hAnsi="宋体" w:eastAsia="仿宋_GB2312" w:cs="宋体"/>
          <w:kern w:val="0"/>
          <w:sz w:val="32"/>
          <w:szCs w:val="32"/>
          <w:highlight w:val="none"/>
        </w:rPr>
        <w:t>0.095</w:t>
      </w:r>
      <w:r>
        <w:rPr>
          <w:rFonts w:hint="eastAsia" w:ascii="仿宋_GB2312" w:hAnsi="仿宋_GB2312" w:eastAsia="仿宋_GB2312" w:cs="仿宋_GB2312"/>
          <w:kern w:val="0"/>
          <w:sz w:val="32"/>
          <w:szCs w:val="32"/>
          <w:highlight w:val="none"/>
        </w:rPr>
        <w:t>万元。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4.其他资产价值</w:t>
      </w:r>
      <w:r>
        <w:rPr>
          <w:rFonts w:hint="eastAsia" w:ascii="仿宋_GB2312" w:hAnsi="仿宋_GB2312" w:eastAsia="仿宋_GB2312" w:cs="仿宋_GB2312"/>
          <w:kern w:val="0"/>
          <w:sz w:val="32"/>
          <w:szCs w:val="32"/>
          <w:highlight w:val="none"/>
          <w:lang w:val="en-US" w:eastAsia="zh-CN"/>
        </w:rPr>
        <w:t>3.07</w:t>
      </w:r>
      <w:r>
        <w:rPr>
          <w:rFonts w:hint="eastAsia" w:ascii="仿宋_GB2312" w:hAnsi="仿宋_GB2312" w:eastAsia="仿宋_GB2312" w:cs="仿宋_GB2312"/>
          <w:kern w:val="0"/>
          <w:sz w:val="32"/>
          <w:szCs w:val="32"/>
          <w:highlight w:val="none"/>
        </w:rPr>
        <w:t>万元。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单位价值50万元以上大型设备</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台（套），单位价值100万元以上大型设备</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台（套）。</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2022年部门（单位）预算未安排购置车辆经费，安排购置50万元以上大型设备0台（套），单位价值100万元以上大型设备0台（套）。</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（四）预算绩效情况</w:t>
      </w:r>
    </w:p>
    <w:p>
      <w:pPr>
        <w:spacing w:line="60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2022年，本年度预算绩效管理的</w:t>
      </w:r>
      <w:r>
        <w:rPr>
          <w:rFonts w:hint="eastAsia" w:ascii="仿宋_GB2312" w:hAnsi="仿宋_GB2312" w:eastAsia="仿宋_GB2312" w:cs="仿宋_GB2312"/>
          <w:kern w:val="0"/>
          <w:sz w:val="32"/>
          <w:szCs w:val="32"/>
          <w:highlight w:val="none"/>
          <w:lang w:eastAsia="zh-Hans"/>
        </w:rPr>
        <w:t>财政拨款</w:t>
      </w:r>
      <w:r>
        <w:rPr>
          <w:rFonts w:hint="eastAsia" w:ascii="仿宋_GB2312" w:hAnsi="仿宋_GB2312" w:eastAsia="仿宋_GB2312" w:cs="仿宋_GB2312"/>
          <w:kern w:val="0"/>
          <w:sz w:val="32"/>
          <w:szCs w:val="32"/>
          <w:highlight w:val="none"/>
        </w:rPr>
        <w:t>项目</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个，涉及预算金额</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万元。</w:t>
      </w:r>
    </w:p>
    <w:p>
      <w:pPr>
        <w:spacing w:line="600" w:lineRule="exact"/>
        <w:ind w:firstLine="643" w:firstLineChars="200"/>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（五）其他需说明的事项</w:t>
      </w:r>
    </w:p>
    <w:p>
      <w:pPr>
        <w:spacing w:line="60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无其他需要说明的事项。</w:t>
      </w:r>
    </w:p>
    <w:p>
      <w:pPr>
        <w:spacing w:line="600" w:lineRule="exact"/>
        <w:ind w:firstLine="640" w:firstLineChars="200"/>
        <w:rPr>
          <w:rFonts w:ascii="仿宋_GB2312" w:hAnsi="宋体" w:eastAsia="仿宋_GB2312" w:cs="宋体"/>
          <w:kern w:val="0"/>
          <w:sz w:val="32"/>
          <w:szCs w:val="32"/>
          <w:highlight w:val="none"/>
        </w:rPr>
      </w:pPr>
    </w:p>
    <w:p>
      <w:pPr>
        <w:spacing w:line="560" w:lineRule="exact"/>
        <w:jc w:val="center"/>
        <w:rPr>
          <w:rFonts w:ascii="黑体" w:hAnsi="黑体" w:eastAsia="黑体"/>
          <w:kern w:val="0"/>
          <w:sz w:val="32"/>
          <w:szCs w:val="32"/>
          <w:highlight w:val="none"/>
        </w:rPr>
      </w:pPr>
      <w:r>
        <w:rPr>
          <w:rFonts w:hint="eastAsia" w:ascii="黑体" w:hAnsi="黑体" w:eastAsia="黑体"/>
          <w:kern w:val="0"/>
          <w:sz w:val="32"/>
          <w:szCs w:val="32"/>
          <w:highlight w:val="none"/>
        </w:rPr>
        <w:t>第四部分  名词解释</w:t>
      </w:r>
    </w:p>
    <w:p>
      <w:pPr>
        <w:spacing w:line="560" w:lineRule="exact"/>
        <w:ind w:firstLine="640" w:firstLineChars="200"/>
        <w:rPr>
          <w:rFonts w:ascii="黑体" w:hAnsi="黑体" w:eastAsia="黑体"/>
          <w:sz w:val="32"/>
          <w:szCs w:val="32"/>
          <w:highlight w:val="none"/>
        </w:rPr>
      </w:pPr>
    </w:p>
    <w:p>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rPr>
        <w:t>一、财政拨款：</w:t>
      </w:r>
      <w:r>
        <w:rPr>
          <w:rFonts w:hint="eastAsia" w:ascii="仿宋_GB2312" w:eastAsia="仿宋_GB2312"/>
          <w:sz w:val="32"/>
          <w:szCs w:val="32"/>
          <w:highlight w:val="none"/>
        </w:rPr>
        <w:t>指由一般公共预算、政府性基金预算、国有资本经营预算安排的财政拨款数。</w:t>
      </w:r>
    </w:p>
    <w:p>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rPr>
        <w:t>二、一般公共预算：</w:t>
      </w:r>
      <w:r>
        <w:rPr>
          <w:rFonts w:hint="eastAsia" w:ascii="仿宋_GB2312" w:eastAsia="仿宋_GB2312"/>
          <w:spacing w:val="-6"/>
          <w:sz w:val="32"/>
          <w:szCs w:val="32"/>
          <w:highlight w:val="none"/>
        </w:rPr>
        <w:t>包括公共财政拨款（补助）资金、专项收入。</w:t>
      </w:r>
    </w:p>
    <w:p>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rPr>
        <w:t>三、财政专户管理资金：</w:t>
      </w:r>
      <w:r>
        <w:rPr>
          <w:rFonts w:hint="eastAsia" w:ascii="仿宋_GB2312" w:eastAsia="仿宋_GB2312"/>
          <w:sz w:val="32"/>
          <w:szCs w:val="32"/>
          <w:highlight w:val="none"/>
        </w:rPr>
        <w:t>包括专户管理行政事业性收费（主要是教育收费）、其他非税收入。</w:t>
      </w:r>
    </w:p>
    <w:p>
      <w:pPr>
        <w:spacing w:line="560" w:lineRule="exact"/>
        <w:ind w:firstLine="643" w:firstLineChars="200"/>
        <w:rPr>
          <w:rFonts w:ascii="仿宋_GB2312" w:eastAsia="仿宋_GB2312"/>
          <w:spacing w:val="-17"/>
          <w:sz w:val="32"/>
          <w:szCs w:val="32"/>
          <w:highlight w:val="none"/>
        </w:rPr>
      </w:pPr>
      <w:r>
        <w:rPr>
          <w:rFonts w:hint="eastAsia" w:ascii="楷体_GB2312" w:hAnsi="楷体_GB2312" w:eastAsia="楷体_GB2312" w:cs="楷体_GB2312"/>
          <w:b/>
          <w:bCs/>
          <w:sz w:val="32"/>
          <w:szCs w:val="32"/>
          <w:highlight w:val="none"/>
        </w:rPr>
        <w:t>四、其他资金：</w:t>
      </w:r>
      <w:r>
        <w:rPr>
          <w:rFonts w:hint="eastAsia" w:ascii="仿宋_GB2312" w:eastAsia="仿宋_GB2312"/>
          <w:spacing w:val="-17"/>
          <w:sz w:val="32"/>
          <w:szCs w:val="32"/>
          <w:highlight w:val="none"/>
        </w:rPr>
        <w:t>包括事业收入、事业经营收入、其他收入等。</w:t>
      </w:r>
    </w:p>
    <w:p>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rPr>
        <w:t>五、基本支出：</w:t>
      </w:r>
      <w:r>
        <w:rPr>
          <w:rFonts w:hint="eastAsia" w:ascii="仿宋_GB2312" w:eastAsia="仿宋_GB2312"/>
          <w:sz w:val="32"/>
          <w:szCs w:val="32"/>
          <w:highlight w:val="none"/>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rPr>
        <w:t>六、项目支出：</w:t>
      </w:r>
      <w:r>
        <w:rPr>
          <w:rFonts w:hint="eastAsia" w:ascii="仿宋_GB2312" w:eastAsia="仿宋_GB2312"/>
          <w:sz w:val="32"/>
          <w:szCs w:val="32"/>
          <w:highlight w:val="none"/>
        </w:rPr>
        <w:t>部门（单位）支出预算的组成部分，是</w:t>
      </w:r>
      <w:r>
        <w:rPr>
          <w:rFonts w:hint="eastAsia" w:ascii="仿宋_GB2312" w:eastAsia="仿宋_GB2312"/>
          <w:sz w:val="32"/>
          <w:szCs w:val="32"/>
          <w:highlight w:val="none"/>
          <w:lang w:eastAsia="zh-CN"/>
        </w:rPr>
        <w:t>州</w:t>
      </w:r>
      <w:r>
        <w:rPr>
          <w:rFonts w:hint="eastAsia" w:ascii="仿宋_GB2312" w:eastAsia="仿宋_GB2312"/>
          <w:sz w:val="32"/>
          <w:szCs w:val="32"/>
          <w:highlight w:val="none"/>
        </w:rPr>
        <w:t>本级部</w:t>
      </w:r>
      <w:bookmarkStart w:id="0" w:name="_GoBack"/>
      <w:bookmarkEnd w:id="0"/>
      <w:r>
        <w:rPr>
          <w:rFonts w:hint="eastAsia" w:ascii="仿宋_GB2312" w:eastAsia="仿宋_GB2312"/>
          <w:sz w:val="32"/>
          <w:szCs w:val="32"/>
          <w:highlight w:val="none"/>
        </w:rPr>
        <w:t>门（单位）为完成其特定的行政任务或事业发展目标，在基本支出预算之外编制的年度项目支出计划。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highlight w:val="none"/>
        </w:rPr>
      </w:pPr>
      <w:r>
        <w:rPr>
          <w:rFonts w:hint="eastAsia" w:ascii="楷体_GB2312" w:hAnsi="楷体_GB2312" w:eastAsia="楷体_GB2312" w:cs="楷体_GB2312"/>
          <w:b/>
          <w:bCs/>
          <w:sz w:val="32"/>
          <w:szCs w:val="32"/>
          <w:highlight w:val="none"/>
        </w:rPr>
        <w:t>七、“三公”经费：</w:t>
      </w:r>
      <w:r>
        <w:rPr>
          <w:rFonts w:hint="eastAsia" w:ascii="仿宋_GB2312" w:eastAsia="仿宋_GB2312"/>
          <w:sz w:val="32"/>
          <w:szCs w:val="32"/>
          <w:highlight w:val="none"/>
        </w:rPr>
        <w:t>指</w:t>
      </w:r>
      <w:r>
        <w:rPr>
          <w:rFonts w:hint="eastAsia" w:ascii="仿宋_GB2312" w:eastAsia="仿宋_GB2312"/>
          <w:sz w:val="32"/>
          <w:szCs w:val="32"/>
          <w:highlight w:val="none"/>
          <w:lang w:eastAsia="zh-CN"/>
        </w:rPr>
        <w:t>州</w:t>
      </w:r>
      <w:r>
        <w:rPr>
          <w:rFonts w:hint="eastAsia" w:ascii="仿宋_GB2312" w:eastAsia="仿宋_GB2312"/>
          <w:sz w:val="32"/>
          <w:szCs w:val="32"/>
          <w:highlight w:val="none"/>
        </w:rPr>
        <w:t>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highlight w:val="none"/>
        </w:rPr>
        <w:t>务接待费指单位按规定开支的各类公务接待（含外宾接待）支出。</w:t>
      </w:r>
    </w:p>
    <w:p>
      <w:pPr>
        <w:spacing w:line="560" w:lineRule="exact"/>
        <w:ind w:firstLine="643" w:firstLineChars="200"/>
        <w:rPr>
          <w:rFonts w:ascii="仿宋_GB2312" w:hAnsi="宋体" w:eastAsia="仿宋_GB2312" w:cs="宋体"/>
          <w:kern w:val="0"/>
          <w:sz w:val="32"/>
          <w:szCs w:val="32"/>
          <w:highlight w:val="none"/>
        </w:rPr>
      </w:pPr>
      <w:r>
        <w:rPr>
          <w:rFonts w:hint="eastAsia" w:ascii="楷体_GB2312" w:hAnsi="楷体_GB2312" w:eastAsia="楷体_GB2312" w:cs="楷体_GB2312"/>
          <w:b/>
          <w:bCs/>
          <w:sz w:val="32"/>
          <w:szCs w:val="32"/>
          <w:highlight w:val="none"/>
        </w:rPr>
        <w:t>八、机关运行经费：</w:t>
      </w:r>
      <w:r>
        <w:rPr>
          <w:rFonts w:hint="eastAsia" w:ascii="仿宋_GB2312" w:eastAsia="仿宋_GB2312"/>
          <w:sz w:val="32"/>
          <w:szCs w:val="32"/>
          <w:highlight w:val="none"/>
        </w:rPr>
        <w:t>指各部门（单位）的公用经费，包括办公及印刷费、邮电费、差旅费、会议费、福利费、日常维修费、专用材料及一般设备购置费、办公用房水电费、办公用房</w:t>
      </w:r>
      <w:r>
        <w:rPr>
          <w:rFonts w:hint="eastAsia" w:ascii="仿宋_GB2312" w:eastAsia="仿宋_GB2312"/>
          <w:spacing w:val="-11"/>
          <w:sz w:val="32"/>
          <w:szCs w:val="32"/>
          <w:highlight w:val="none"/>
        </w:rPr>
        <w:t>取暖费、办公用房物业管理费、公务用车运行维护费及其他费用。</w:t>
      </w:r>
    </w:p>
    <w:p>
      <w:pPr>
        <w:spacing w:line="560" w:lineRule="exact"/>
        <w:ind w:left="4798" w:leftChars="304" w:hanging="4160" w:hangingChars="13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                     </w:t>
      </w:r>
      <w:r>
        <w:rPr>
          <w:rFonts w:hint="eastAsia" w:ascii="仿宋_GB2312" w:hAnsi="仿宋_GB2312" w:eastAsia="仿宋_GB2312" w:cs="仿宋_GB2312"/>
          <w:kern w:val="0"/>
          <w:sz w:val="32"/>
          <w:szCs w:val="32"/>
          <w:highlight w:val="none"/>
        </w:rPr>
        <w:t>昌吉州政府投资项目评审中心</w:t>
      </w:r>
      <w:r>
        <w:rPr>
          <w:rFonts w:hint="eastAsia" w:ascii="仿宋_GB2312" w:hAnsi="宋体" w:eastAsia="仿宋_GB2312" w:cs="宋体"/>
          <w:kern w:val="0"/>
          <w:sz w:val="32"/>
          <w:szCs w:val="32"/>
          <w:highlight w:val="none"/>
        </w:rPr>
        <w:t xml:space="preserve">                               2022</w:t>
      </w:r>
      <w:r>
        <w:rPr>
          <w:rFonts w:ascii="仿宋_GB2312" w:hAnsi="宋体" w:eastAsia="仿宋_GB2312" w:cs="宋体"/>
          <w:kern w:val="0"/>
          <w:sz w:val="32"/>
          <w:szCs w:val="32"/>
          <w:highlight w:val="none"/>
        </w:rPr>
        <w:t>年</w:t>
      </w:r>
      <w:r>
        <w:rPr>
          <w:rFonts w:hint="eastAsia" w:ascii="仿宋_GB2312" w:hAnsi="宋体" w:eastAsia="仿宋_GB2312" w:cs="宋体"/>
          <w:kern w:val="0"/>
          <w:sz w:val="32"/>
          <w:szCs w:val="32"/>
          <w:highlight w:val="none"/>
        </w:rPr>
        <w:t>2</w:t>
      </w:r>
      <w:r>
        <w:rPr>
          <w:rFonts w:ascii="仿宋_GB2312" w:hAnsi="宋体" w:eastAsia="仿宋_GB2312" w:cs="宋体"/>
          <w:kern w:val="0"/>
          <w:sz w:val="32"/>
          <w:szCs w:val="32"/>
          <w:highlight w:val="none"/>
        </w:rPr>
        <w:t>月</w:t>
      </w:r>
      <w:r>
        <w:rPr>
          <w:rFonts w:hint="eastAsia" w:ascii="仿宋_GB2312" w:hAnsi="宋体" w:eastAsia="仿宋_GB2312" w:cs="宋体"/>
          <w:kern w:val="0"/>
          <w:sz w:val="32"/>
          <w:szCs w:val="32"/>
          <w:highlight w:val="none"/>
        </w:rPr>
        <w:t>12</w:t>
      </w:r>
      <w:r>
        <w:rPr>
          <w:rFonts w:ascii="仿宋_GB2312" w:hAnsi="宋体" w:eastAsia="仿宋_GB2312" w:cs="宋体"/>
          <w:kern w:val="0"/>
          <w:sz w:val="32"/>
          <w:szCs w:val="32"/>
          <w:highlight w:val="none"/>
        </w:rPr>
        <w:t>日</w:t>
      </w:r>
    </w:p>
    <w:p>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9" name="文本框 9"/>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Ir5F1HGAQAAiwMAAA4AAAAAAAAAAQAgAAAAIAEAAGRycy9lMm9Eb2Mu&#10;eG1sUEsFBgAAAAAGAAYAWQEAAFgFAAAAAA==&#10;">
              <v:fill on="f" focussize="0,0"/>
              <v:stroke on="f"/>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v:textbox>
            </v:shape>
          </w:pict>
        </mc:Fallback>
      </mc:AlternateConten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12065" b="10795"/>
              <wp:wrapNone/>
              <wp:docPr id="10" name="文本框 10"/>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w="6350">
                        <a:noFill/>
                      </a:ln>
                    </wps:spPr>
                    <wps:txbx>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bPU0HSAAAAAwEAAA8AAAAAAAAAAQAgAAAAIgAAAGRycy9k&#10;b3ducmV2LnhtbFBLAQIUABQAAAAIAIdO4kAquSaazwEAAJYDAAAOAAAAAAAAAAEAIAAAACEBAABk&#10;cnMvZTJvRG9jLnhtbFBLBQYAAAAABgAGAFkBAABiBQAAAAA=&#10;">
              <v:fill on="f" focussize="0,0"/>
              <v:stroke on="f" weight="0.5pt"/>
              <v:imagedata o:title=""/>
              <o:lock v:ext="edit" aspectratio="f"/>
              <v:textbox inset="0mm,0mm,0mm,0mm" style="mso-fit-shape-to-text:t;">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v:textbox>
            </v:shape>
          </w:pict>
        </mc:Fallback>
      </mc:AlternateContent>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2E5250"/>
    <w:rsid w:val="003923D8"/>
    <w:rsid w:val="004265FD"/>
    <w:rsid w:val="00432BE1"/>
    <w:rsid w:val="0047118F"/>
    <w:rsid w:val="004D477F"/>
    <w:rsid w:val="0059437A"/>
    <w:rsid w:val="00637C2E"/>
    <w:rsid w:val="0080356A"/>
    <w:rsid w:val="0090107A"/>
    <w:rsid w:val="00944B81"/>
    <w:rsid w:val="00AF3F7E"/>
    <w:rsid w:val="00B141E5"/>
    <w:rsid w:val="00C12D75"/>
    <w:rsid w:val="00CE4C77"/>
    <w:rsid w:val="00D85033"/>
    <w:rsid w:val="00F91EEB"/>
    <w:rsid w:val="02451666"/>
    <w:rsid w:val="04B2422C"/>
    <w:rsid w:val="05F7763A"/>
    <w:rsid w:val="08452B2A"/>
    <w:rsid w:val="094F08BE"/>
    <w:rsid w:val="09632DCD"/>
    <w:rsid w:val="09F80E67"/>
    <w:rsid w:val="0E3A5E7E"/>
    <w:rsid w:val="0ED53D51"/>
    <w:rsid w:val="0FBA2532"/>
    <w:rsid w:val="10AE156F"/>
    <w:rsid w:val="11E92E3F"/>
    <w:rsid w:val="12BC64DE"/>
    <w:rsid w:val="159728BC"/>
    <w:rsid w:val="1664620A"/>
    <w:rsid w:val="17102556"/>
    <w:rsid w:val="17DE6EB2"/>
    <w:rsid w:val="1A7B131E"/>
    <w:rsid w:val="1CDE2C71"/>
    <w:rsid w:val="1D7E35C1"/>
    <w:rsid w:val="1E151558"/>
    <w:rsid w:val="1EF90C47"/>
    <w:rsid w:val="1F180DA7"/>
    <w:rsid w:val="1FA41412"/>
    <w:rsid w:val="2045510E"/>
    <w:rsid w:val="20BD5207"/>
    <w:rsid w:val="221371A8"/>
    <w:rsid w:val="22F440EB"/>
    <w:rsid w:val="23255A52"/>
    <w:rsid w:val="23305FA3"/>
    <w:rsid w:val="269F71FB"/>
    <w:rsid w:val="276B7226"/>
    <w:rsid w:val="28293D2D"/>
    <w:rsid w:val="287B2E3F"/>
    <w:rsid w:val="2948654B"/>
    <w:rsid w:val="298C7991"/>
    <w:rsid w:val="29DF2F14"/>
    <w:rsid w:val="2A830009"/>
    <w:rsid w:val="2AF2627F"/>
    <w:rsid w:val="2BD06DE5"/>
    <w:rsid w:val="2C1F68F9"/>
    <w:rsid w:val="2FC53BB4"/>
    <w:rsid w:val="30487471"/>
    <w:rsid w:val="30552195"/>
    <w:rsid w:val="30C41796"/>
    <w:rsid w:val="324A5C54"/>
    <w:rsid w:val="34F83FE5"/>
    <w:rsid w:val="35597FD1"/>
    <w:rsid w:val="37D5292D"/>
    <w:rsid w:val="37F6207E"/>
    <w:rsid w:val="38973720"/>
    <w:rsid w:val="38D12FC4"/>
    <w:rsid w:val="392918BC"/>
    <w:rsid w:val="395B6D93"/>
    <w:rsid w:val="39BB3909"/>
    <w:rsid w:val="3A0264B5"/>
    <w:rsid w:val="3A9C6552"/>
    <w:rsid w:val="3B7523D6"/>
    <w:rsid w:val="3C514E3C"/>
    <w:rsid w:val="3CF20ECD"/>
    <w:rsid w:val="3F193A52"/>
    <w:rsid w:val="3F224BD8"/>
    <w:rsid w:val="3FDC7B15"/>
    <w:rsid w:val="401B6EAF"/>
    <w:rsid w:val="40E273FE"/>
    <w:rsid w:val="41123BC3"/>
    <w:rsid w:val="41933D89"/>
    <w:rsid w:val="42475670"/>
    <w:rsid w:val="42C727AC"/>
    <w:rsid w:val="42D870F3"/>
    <w:rsid w:val="43533C6F"/>
    <w:rsid w:val="46394C8F"/>
    <w:rsid w:val="47484812"/>
    <w:rsid w:val="48054D27"/>
    <w:rsid w:val="48F24AAB"/>
    <w:rsid w:val="491F3FF5"/>
    <w:rsid w:val="4B1E1B97"/>
    <w:rsid w:val="4C850D2C"/>
    <w:rsid w:val="4D727F0A"/>
    <w:rsid w:val="4EB01A61"/>
    <w:rsid w:val="4F0C022E"/>
    <w:rsid w:val="4F9F6F92"/>
    <w:rsid w:val="50496F31"/>
    <w:rsid w:val="50B2133F"/>
    <w:rsid w:val="51EA2812"/>
    <w:rsid w:val="520F5927"/>
    <w:rsid w:val="52B67F7C"/>
    <w:rsid w:val="532843A8"/>
    <w:rsid w:val="53CC6FFE"/>
    <w:rsid w:val="55B416E6"/>
    <w:rsid w:val="55BA1A8F"/>
    <w:rsid w:val="5691640F"/>
    <w:rsid w:val="5C012681"/>
    <w:rsid w:val="5EAB29C6"/>
    <w:rsid w:val="5ECD0365"/>
    <w:rsid w:val="5F230330"/>
    <w:rsid w:val="5FB767C4"/>
    <w:rsid w:val="621D13CE"/>
    <w:rsid w:val="627C1979"/>
    <w:rsid w:val="628A0E2C"/>
    <w:rsid w:val="63654300"/>
    <w:rsid w:val="63D86B39"/>
    <w:rsid w:val="65B22FF2"/>
    <w:rsid w:val="6701615F"/>
    <w:rsid w:val="673E02EA"/>
    <w:rsid w:val="67B17B28"/>
    <w:rsid w:val="6EEB1939"/>
    <w:rsid w:val="6F1A6D53"/>
    <w:rsid w:val="6FAB320C"/>
    <w:rsid w:val="720D2310"/>
    <w:rsid w:val="72CA766D"/>
    <w:rsid w:val="75DE08A2"/>
    <w:rsid w:val="7AF56738"/>
    <w:rsid w:val="7B39119B"/>
    <w:rsid w:val="7BEE3492"/>
    <w:rsid w:val="7D1D2B3E"/>
    <w:rsid w:val="7E660B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2"/>
    <w:qFormat/>
    <w:uiPriority w:val="0"/>
    <w:pPr>
      <w:ind w:left="1277"/>
      <w:outlineLvl w:val="1"/>
    </w:pPr>
    <w:rPr>
      <w:rFonts w:ascii="仿宋_GB2312" w:hAnsi="仿宋_GB2312" w:eastAsia="仿宋_GB2312" w:cs="仿宋_GB2312"/>
      <w:b/>
      <w:bCs/>
      <w:sz w:val="32"/>
      <w:szCs w:val="32"/>
      <w:lang w:val="zh-CN" w:bidi="zh-CN"/>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qFormat/>
    <w:uiPriority w:val="0"/>
    <w:rPr>
      <w:rFonts w:ascii="方正仿宋_GBK" w:hAnsi="方正仿宋_GBK" w:eastAsia="方正仿宋_GBK" w:cs="方正仿宋_GBK"/>
      <w:sz w:val="32"/>
      <w:szCs w:val="32"/>
      <w:lang w:val="zh-CN" w:bidi="zh-CN"/>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0"/>
    <w:rPr>
      <w:sz w:val="18"/>
      <w:szCs w:val="18"/>
    </w:rPr>
  </w:style>
  <w:style w:type="character" w:customStyle="1" w:styleId="11">
    <w:name w:val="页脚 Char"/>
    <w:basedOn w:val="8"/>
    <w:link w:val="4"/>
    <w:qFormat/>
    <w:uiPriority w:val="99"/>
    <w:rPr>
      <w:sz w:val="18"/>
      <w:szCs w:val="18"/>
    </w:rPr>
  </w:style>
  <w:style w:type="character" w:customStyle="1" w:styleId="12">
    <w:name w:val="标题 2 Char"/>
    <w:basedOn w:val="8"/>
    <w:link w:val="3"/>
    <w:qFormat/>
    <w:uiPriority w:val="0"/>
    <w:rPr>
      <w:rFonts w:ascii="仿宋_GB2312" w:hAnsi="仿宋_GB2312" w:eastAsia="仿宋_GB2312" w:cs="仿宋_GB2312"/>
      <w:b/>
      <w:bCs/>
      <w:sz w:val="32"/>
      <w:szCs w:val="32"/>
      <w:lang w:val="zh-CN" w:bidi="zh-CN"/>
    </w:rPr>
  </w:style>
  <w:style w:type="character" w:customStyle="1" w:styleId="13">
    <w:name w:val="正文文本 Char"/>
    <w:basedOn w:val="8"/>
    <w:link w:val="2"/>
    <w:qFormat/>
    <w:uiPriority w:val="0"/>
    <w:rPr>
      <w:rFonts w:ascii="方正仿宋_GBK" w:hAnsi="方正仿宋_GBK" w:eastAsia="方正仿宋_GBK" w:cs="方正仿宋_GBK"/>
      <w:sz w:val="32"/>
      <w:szCs w:val="32"/>
      <w:lang w:val="zh-CN" w:bidi="zh-CN"/>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21</Pages>
  <Words>6299</Words>
  <Characters>7566</Characters>
  <Lines>69</Lines>
  <Paragraphs>19</Paragraphs>
  <TotalTime>1</TotalTime>
  <ScaleCrop>false</ScaleCrop>
  <LinksUpToDate>false</LinksUpToDate>
  <CharactersWithSpaces>8138</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Administrator</cp:lastModifiedBy>
  <cp:lastPrinted>2022-03-31T02:58:00Z</cp:lastPrinted>
  <dcterms:modified xsi:type="dcterms:W3CDTF">2022-04-19T02:49:19Z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A12878FCAD9F498182FB43210237D43C</vt:lpwstr>
  </property>
</Properties>
</file>