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rPr>
      </w:pPr>
      <w:bookmarkStart w:id="0" w:name="_GoBack"/>
      <w:r>
        <w:rPr>
          <w:rFonts w:hint="eastAsia" w:ascii="方正小标宋_GBK" w:hAnsi="宋体" w:eastAsia="方正小标宋_GBK"/>
          <w:kern w:val="0"/>
          <w:sz w:val="44"/>
          <w:szCs w:val="44"/>
          <w:highlight w:val="none"/>
        </w:rPr>
        <w:t>昌吉州能源安全监测中心202</w:t>
      </w:r>
      <w:r>
        <w:rPr>
          <w:rFonts w:hint="eastAsia" w:ascii="方正小标宋_GBK" w:hAnsi="宋体" w:eastAsia="方正小标宋_GBK"/>
          <w:kern w:val="0"/>
          <w:sz w:val="44"/>
          <w:szCs w:val="44"/>
          <w:highlight w:val="none"/>
          <w:lang w:val="en-US" w:eastAsia="zh-CN"/>
        </w:rPr>
        <w:t>2</w:t>
      </w:r>
      <w:r>
        <w:rPr>
          <w:rFonts w:hint="eastAsia" w:ascii="方正小标宋_GBK" w:hAnsi="宋体" w:eastAsia="方正小标宋_GBK"/>
          <w:kern w:val="0"/>
          <w:sz w:val="44"/>
          <w:szCs w:val="44"/>
          <w:highlight w:val="none"/>
        </w:rPr>
        <w:t>年</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部门</w:t>
      </w:r>
      <w:r>
        <w:rPr>
          <w:rFonts w:hint="eastAsia" w:ascii="方正小标宋_GBK" w:hAnsi="宋体" w:eastAsia="方正小标宋_GBK"/>
          <w:kern w:val="0"/>
          <w:sz w:val="44"/>
          <w:szCs w:val="44"/>
          <w:highlight w:val="none"/>
        </w:rPr>
        <w:t>预算公开</w:t>
      </w:r>
    </w:p>
    <w:bookmarkEnd w:id="0"/>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第一部分  昌吉州能源安全监测中心概况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2022年部门（单位）预算公开表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一、关于昌吉州能源安全监测中心2022年收支预算情况的总体说明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二、关于昌吉州能源安全监测中心2022年收入预算情况说明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三、关于昌吉州能源安全监测中心2022年支出预算情况说明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kern w:val="0"/>
          <w:sz w:val="32"/>
          <w:szCs w:val="32"/>
          <w:highlight w:val="none"/>
        </w:rPr>
        <w:t>昌吉州能源安全监测中心2022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昌吉州能源安全监测中心2022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昌吉州能源安全监测中心2022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昌吉州能源安全监测中心2022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八、关于昌吉州能源安全监测中心2022年一般公共预算“三公”经费预算情况说明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九、关于昌吉州能源安全监测中心2022年政府性基金预算拨款情况说明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昌吉州能源安全监测中心概况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60" w:lineRule="exact"/>
        <w:ind w:firstLine="640" w:firstLineChars="200"/>
        <w:outlineLvl w:val="1"/>
        <w:rPr>
          <w:rFonts w:ascii="仿宋_GB2312" w:hAnsi="宋体" w:eastAsia="仿宋_GB2312" w:cs="宋体"/>
          <w:bCs/>
          <w:kern w:val="0"/>
          <w:sz w:val="32"/>
          <w:szCs w:val="32"/>
          <w:highlight w:val="none"/>
        </w:rPr>
      </w:pPr>
      <w:r>
        <w:rPr>
          <w:rFonts w:ascii="仿宋_GB2312" w:hAnsi="宋体" w:eastAsia="仿宋_GB2312"/>
          <w:kern w:val="0"/>
          <w:sz w:val="32"/>
          <w:szCs w:val="32"/>
          <w:highlight w:val="none"/>
        </w:rPr>
        <w:t>为自治州能源（煤矿、油气管道、电力）安全监控系统的建设管理、运行维护、数据采集、综合分析及数据库建设管理等工作提供服务；为事故预警信息的应急处置提供技术支撑和保障；指导、推动能源安全生产新技术、新装备的应用；指导各县市能源安全监测工作。承担自治州节能减排领导小组办公室日常工作。</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4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华文仿宋" w:hAnsi="华文仿宋" w:eastAsia="华文仿宋" w:cs="宋体"/>
          <w:color w:val="000000"/>
          <w:kern w:val="0"/>
          <w:sz w:val="32"/>
          <w:szCs w:val="32"/>
          <w:highlight w:val="none"/>
        </w:rPr>
        <w:t>昌吉州能源安全监测中心</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3</w:t>
      </w:r>
      <w:r>
        <w:rPr>
          <w:rFonts w:hint="eastAsia" w:ascii="仿宋_GB2312" w:hAnsi="黑体" w:eastAsia="仿宋_GB2312" w:cs="宋体"/>
          <w:bCs/>
          <w:kern w:val="0"/>
          <w:sz w:val="32"/>
          <w:szCs w:val="32"/>
          <w:highlight w:val="none"/>
        </w:rPr>
        <w:t>个科室，分别是：</w:t>
      </w:r>
      <w:r>
        <w:rPr>
          <w:rFonts w:hint="eastAsia" w:ascii="华文仿宋" w:hAnsi="华文仿宋" w:eastAsia="华文仿宋" w:cs="宋体"/>
          <w:color w:val="000000"/>
          <w:kern w:val="0"/>
          <w:sz w:val="32"/>
          <w:szCs w:val="32"/>
          <w:highlight w:val="none"/>
        </w:rPr>
        <w:t>综合科、节能科、监测技防科</w:t>
      </w:r>
      <w:r>
        <w:rPr>
          <w:rFonts w:hint="eastAsia" w:ascii="仿宋_GB2312" w:hAnsi="宋体" w:eastAsia="仿宋_GB2312" w:cs="宋体"/>
          <w:kern w:val="0"/>
          <w:sz w:val="32"/>
          <w:szCs w:val="32"/>
          <w:highlight w:val="none"/>
        </w:rPr>
        <w:t>。</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昌吉州能源安全监测中心编制数</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昌吉回族自治州能源安全监测中心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265.38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223.58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15.46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12.15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14.19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265.38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265.38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昌吉回族自治州能源安全监测中心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shd w:val="clear" w:color="auto" w:fill="auto"/>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850" w:type="dxa"/>
            <w:tcBorders>
              <w:top w:val="nil"/>
              <w:left w:val="nil"/>
              <w:bottom w:val="single" w:color="auto" w:sz="4" w:space="0"/>
              <w:right w:val="single" w:color="auto" w:sz="4" w:space="0"/>
            </w:tcBorders>
            <w:shd w:val="clear" w:color="000000" w:fill="FFFFFF"/>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发展与改革事务</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50</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事业运行</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99</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110.00</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110.00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208</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社会保障和就业支出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208</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行政事业单位养老支出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208</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机关事业单位基本养老保险缴费支出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卫生健康支出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行政事业单位医疗</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事业单位医疗</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9.18</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9.18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03</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公务员医疗补助</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2.90</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2.90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99</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其他行政事业单位医疗支出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0.07</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0.07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住房保障支出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住房改革支出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8" w:hRule="atLeast"/>
        </w:trPr>
        <w:tc>
          <w:tcPr>
            <w:tcW w:w="417"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01</w:t>
            </w:r>
          </w:p>
        </w:tc>
        <w:tc>
          <w:tcPr>
            <w:tcW w:w="2145"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住房公积金</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265.38</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265.38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昌吉回族自治州能源安全监测中心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一般公共服务支出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190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110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发展与改革事务</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223.58</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190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110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50</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事业运行</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113.58</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99</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110.00</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110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社会保障和就业支出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行政事业单位养老支出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208</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机关事业单位基本养老保险缴费支出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15.46</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卫生健康支出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行政事业单位医疗</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12.15</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事业单位医疗</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9.18</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9.18</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03</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公务员医疗补助</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2.90</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2.90</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210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99</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其他行政事业单位医疗支出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0.07</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0.07</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住房保障支出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住房改革支出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221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01</w:t>
            </w:r>
          </w:p>
        </w:tc>
        <w:tc>
          <w:tcPr>
            <w:tcW w:w="2604"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住房公积金</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lang w:val="en-US" w:eastAsia="zh-CN"/>
              </w:rPr>
              <w:t>14.19</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highlight w:val="none"/>
              </w:rPr>
            </w:pPr>
          </w:p>
        </w:tc>
        <w:tc>
          <w:tcPr>
            <w:tcW w:w="400" w:type="dxa"/>
            <w:tcBorders>
              <w:top w:val="nil"/>
              <w:left w:val="nil"/>
              <w:bottom w:val="single" w:color="auto" w:sz="4" w:space="0"/>
              <w:right w:val="single" w:color="auto" w:sz="4" w:space="0"/>
            </w:tcBorders>
            <w:vAlign w:val="center"/>
          </w:tcPr>
          <w:p>
            <w:pPr>
              <w:jc w:val="center"/>
              <w:rPr>
                <w:highlight w:val="none"/>
              </w:rPr>
            </w:pPr>
          </w:p>
        </w:tc>
        <w:tc>
          <w:tcPr>
            <w:tcW w:w="400" w:type="dxa"/>
            <w:tcBorders>
              <w:top w:val="nil"/>
              <w:left w:val="nil"/>
              <w:bottom w:val="single" w:color="auto" w:sz="4" w:space="0"/>
              <w:right w:val="single" w:color="auto" w:sz="4" w:space="0"/>
            </w:tcBorders>
            <w:vAlign w:val="center"/>
          </w:tcPr>
          <w:p>
            <w:pPr>
              <w:jc w:val="center"/>
              <w:rPr>
                <w:highlight w:val="none"/>
              </w:rPr>
            </w:pPr>
          </w:p>
        </w:tc>
        <w:tc>
          <w:tcPr>
            <w:tcW w:w="2604" w:type="dxa"/>
            <w:tcBorders>
              <w:top w:val="nil"/>
              <w:left w:val="nil"/>
              <w:bottom w:val="single" w:color="auto" w:sz="4" w:space="0"/>
              <w:right w:val="single" w:color="auto" w:sz="4" w:space="0"/>
            </w:tcBorders>
            <w:vAlign w:val="center"/>
          </w:tcPr>
          <w:p>
            <w:pPr>
              <w:jc w:val="center"/>
              <w:rPr>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265.38</w:t>
            </w:r>
          </w:p>
        </w:tc>
        <w:tc>
          <w:tcPr>
            <w:tcW w:w="1856" w:type="dxa"/>
            <w:tcBorders>
              <w:top w:val="nil"/>
              <w:left w:val="nil"/>
              <w:bottom w:val="single" w:color="auto" w:sz="4" w:space="0"/>
              <w:right w:val="single" w:color="auto" w:sz="4" w:space="0"/>
            </w:tcBorders>
            <w:vAlign w:val="top"/>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155.38</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110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昌吉回族自治州能源安全监测中心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265.38</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223.58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223.58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15.46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15.46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12.15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12.15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14.19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14.19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265.38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265.38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265.38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p>
            <w:pPr>
              <w:widowControl/>
              <w:spacing w:line="440" w:lineRule="exact"/>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编制部门（单位）： 昌吉回族自治州能源安全监测中心           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一般公共服务支出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223.58</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113.58</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发展与改革事务</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223.58</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113.58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50</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事业运行</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113.58</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113.58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110.00</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社会保障和就业支出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行政事业单位养老支出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801"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机关事业单位基本养老保险缴费支出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15.46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卫生健康支出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12.15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12.15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行政事业单位医疗</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12.15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12.15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事业单位医疗</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9.18</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9.18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03</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公务员医疗补助</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2.90</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2.90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其他行政事业单位医疗支出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0.07</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0.07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住房保障支出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住房改革支出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01</w:t>
            </w:r>
          </w:p>
        </w:tc>
        <w:tc>
          <w:tcPr>
            <w:tcW w:w="2510"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住房公积金</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14.19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265.38</w:t>
            </w:r>
          </w:p>
        </w:tc>
        <w:tc>
          <w:tcPr>
            <w:tcW w:w="1842"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155.38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p>
            <w:pPr>
              <w:widowControl/>
              <w:spacing w:line="440" w:lineRule="exact"/>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编制部门（单位）： 昌吉回族自治州能源安全监测中心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工资福利支出</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140.04</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lang w:eastAsia="zh-CN"/>
              </w:rPr>
            </w:pPr>
            <w:r>
              <w:rPr>
                <w:rFonts w:hint="eastAsia" w:ascii="宋体" w:hAnsi="宋体" w:cs="宋体"/>
                <w:color w:val="000000"/>
                <w:kern w:val="0"/>
                <w:sz w:val="20"/>
                <w:szCs w:val="20"/>
                <w:highlight w:val="none"/>
              </w:rPr>
              <w:t>140.0</w:t>
            </w:r>
            <w:r>
              <w:rPr>
                <w:rFonts w:hint="eastAsia" w:ascii="宋体" w:hAnsi="宋体" w:cs="宋体"/>
                <w:color w:val="000000"/>
                <w:kern w:val="0"/>
                <w:sz w:val="20"/>
                <w:szCs w:val="20"/>
                <w:highlight w:val="none"/>
                <w:lang w:val="en-US" w:eastAsia="zh-CN"/>
              </w:rPr>
              <w:t>3</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基本工资</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42.88</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42.88</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津贴补贴</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12.96</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12.96</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奖金</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3.50</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3.50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绩效工资</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38.49</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38.49</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机关事业单位基本养老保险缴费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15.46</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15.46</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城镇职工基本医疗保险缴费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9.18</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9.18</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公务员医疗补助缴费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2.90</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2.90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12</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其他社会保障缴费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0.47</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0.47</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住房公积金</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14.19</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14.19</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商品和服务支出</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15.35</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办公费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6.81</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6.81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印刷费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0.12</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09</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物业管理费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差旅费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0.30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培训费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17</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公务接待费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28</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工会经费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1.83</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1.83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29</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福利费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1.64</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1.64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31</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公务用车运行维护费</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其他商品和服务支出</w:t>
            </w: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0.84</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0.84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155.38</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rPr>
              <w:t>140.0</w:t>
            </w:r>
            <w:r>
              <w:rPr>
                <w:rFonts w:hint="eastAsia" w:ascii="宋体" w:hAnsi="宋体" w:cs="宋体"/>
                <w:color w:val="000000"/>
                <w:kern w:val="0"/>
                <w:sz w:val="20"/>
                <w:szCs w:val="20"/>
                <w:highlight w:val="none"/>
                <w:lang w:val="en-US" w:eastAsia="zh-CN"/>
              </w:rPr>
              <w:t>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15.35</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编制部门（单位）： 昌吉回族自治州能源安全监测中心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397" w:type="dxa"/>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851"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一般公共服务支出</w:t>
            </w:r>
          </w:p>
        </w:tc>
        <w:tc>
          <w:tcPr>
            <w:tcW w:w="1456" w:type="dxa"/>
            <w:vAlign w:val="top"/>
          </w:tcPr>
          <w:p>
            <w:pPr>
              <w:widowControl/>
              <w:jc w:val="center"/>
              <w:rPr>
                <w:rFonts w:hint="eastAsia" w:ascii="仿宋_GB2312" w:hAnsi="宋体" w:eastAsia="仿宋_GB2312" w:cs="宋体"/>
                <w:b/>
                <w:color w:val="000000"/>
                <w:kern w:val="0"/>
                <w:sz w:val="20"/>
                <w:szCs w:val="20"/>
                <w:highlight w:val="none"/>
                <w:lang w:val="en-US" w:eastAsia="zh-CN"/>
              </w:rPr>
            </w:pPr>
          </w:p>
        </w:tc>
        <w:tc>
          <w:tcPr>
            <w:tcW w:w="750" w:type="dxa"/>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w:t>
            </w:r>
          </w:p>
        </w:tc>
        <w:tc>
          <w:tcPr>
            <w:tcW w:w="569" w:type="dxa"/>
          </w:tcPr>
          <w:p>
            <w:pPr>
              <w:widowControl/>
              <w:jc w:val="center"/>
              <w:rPr>
                <w:rFonts w:hint="default" w:ascii="仿宋_GB2312" w:hAnsi="宋体" w:eastAsia="仿宋_GB2312" w:cs="宋体"/>
                <w:b/>
                <w:color w:val="000000"/>
                <w:kern w:val="0"/>
                <w:sz w:val="20"/>
                <w:szCs w:val="20"/>
                <w:highlight w:val="none"/>
                <w:lang w:val="en-US" w:eastAsia="zh-CN"/>
              </w:rPr>
            </w:pPr>
          </w:p>
        </w:tc>
        <w:tc>
          <w:tcPr>
            <w:tcW w:w="536" w:type="dxa"/>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397" w:type="dxa"/>
            <w:vAlign w:val="center"/>
          </w:tcPr>
          <w:p>
            <w:pPr>
              <w:widowControl/>
              <w:jc w:val="center"/>
              <w:rPr>
                <w:rFonts w:hint="eastAsia" w:ascii="仿宋_GB2312" w:hAnsi="宋体" w:eastAsia="仿宋_GB2312" w:cs="宋体"/>
                <w:b/>
                <w:color w:val="000000"/>
                <w:kern w:val="0"/>
                <w:sz w:val="20"/>
                <w:szCs w:val="20"/>
                <w:highlight w:val="none"/>
                <w:lang w:val="en-US" w:eastAsia="zh-CN"/>
              </w:rPr>
            </w:pPr>
          </w:p>
        </w:tc>
        <w:tc>
          <w:tcPr>
            <w:tcW w:w="851"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发展与改革事务</w:t>
            </w:r>
          </w:p>
        </w:tc>
        <w:tc>
          <w:tcPr>
            <w:tcW w:w="1456" w:type="dxa"/>
            <w:vAlign w:val="top"/>
          </w:tcPr>
          <w:p>
            <w:pPr>
              <w:widowControl/>
              <w:jc w:val="center"/>
              <w:rPr>
                <w:rFonts w:hint="eastAsia" w:ascii="仿宋_GB2312" w:hAnsi="宋体" w:eastAsia="仿宋_GB2312" w:cs="宋体"/>
                <w:b/>
                <w:color w:val="000000"/>
                <w:kern w:val="0"/>
                <w:sz w:val="20"/>
                <w:szCs w:val="20"/>
                <w:highlight w:val="none"/>
                <w:lang w:val="en-US" w:eastAsia="zh-CN"/>
              </w:rPr>
            </w:pPr>
          </w:p>
        </w:tc>
        <w:tc>
          <w:tcPr>
            <w:tcW w:w="750" w:type="dxa"/>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100</w:t>
            </w:r>
          </w:p>
        </w:tc>
        <w:tc>
          <w:tcPr>
            <w:tcW w:w="569" w:type="dxa"/>
          </w:tcPr>
          <w:p>
            <w:pPr>
              <w:widowControl/>
              <w:jc w:val="center"/>
              <w:rPr>
                <w:rFonts w:hint="default" w:ascii="仿宋_GB2312" w:hAnsi="宋体" w:eastAsia="仿宋_GB2312" w:cs="宋体"/>
                <w:b/>
                <w:color w:val="000000"/>
                <w:kern w:val="0"/>
                <w:sz w:val="20"/>
                <w:szCs w:val="20"/>
                <w:highlight w:val="none"/>
                <w:lang w:val="en-US" w:eastAsia="zh-CN"/>
              </w:rPr>
            </w:pPr>
          </w:p>
        </w:tc>
        <w:tc>
          <w:tcPr>
            <w:tcW w:w="536" w:type="dxa"/>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110</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397" w:type="dxa"/>
            <w:vAlign w:val="center"/>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851"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456"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昌吉州煤矿数字化监控工作经费</w:t>
            </w:r>
          </w:p>
        </w:tc>
        <w:tc>
          <w:tcPr>
            <w:tcW w:w="750"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w:t>
            </w:r>
          </w:p>
        </w:tc>
        <w:tc>
          <w:tcPr>
            <w:tcW w:w="569" w:type="dxa"/>
            <w:vAlign w:val="top"/>
          </w:tcPr>
          <w:p>
            <w:pPr>
              <w:widowControl/>
              <w:jc w:val="center"/>
              <w:rPr>
                <w:rFonts w:hint="eastAsia" w:ascii="仿宋_GB2312" w:hAnsi="宋体" w:eastAsia="仿宋_GB2312" w:cs="宋体"/>
                <w:b/>
                <w:color w:val="000000"/>
                <w:kern w:val="0"/>
                <w:sz w:val="20"/>
                <w:szCs w:val="20"/>
                <w:highlight w:val="none"/>
                <w:lang w:val="en-US" w:eastAsia="zh-CN"/>
              </w:rPr>
            </w:pPr>
          </w:p>
        </w:tc>
        <w:tc>
          <w:tcPr>
            <w:tcW w:w="536" w:type="dxa"/>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15</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04</w:t>
            </w:r>
          </w:p>
        </w:tc>
        <w:tc>
          <w:tcPr>
            <w:tcW w:w="397" w:type="dxa"/>
            <w:vAlign w:val="center"/>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99</w:t>
            </w:r>
          </w:p>
        </w:tc>
        <w:tc>
          <w:tcPr>
            <w:tcW w:w="851"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456"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昌吉州煤矿安全综合联网监控系统工作经费</w:t>
            </w:r>
          </w:p>
        </w:tc>
        <w:tc>
          <w:tcPr>
            <w:tcW w:w="750"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85</w:t>
            </w:r>
          </w:p>
        </w:tc>
        <w:tc>
          <w:tcPr>
            <w:tcW w:w="569" w:type="dxa"/>
            <w:vAlign w:val="top"/>
          </w:tcPr>
          <w:p>
            <w:pPr>
              <w:widowControl/>
              <w:jc w:val="center"/>
              <w:rPr>
                <w:rFonts w:ascii="仿宋_GB2312" w:hAnsi="宋体" w:eastAsia="仿宋_GB2312"/>
                <w:kern w:val="0"/>
                <w:sz w:val="32"/>
                <w:szCs w:val="32"/>
                <w:highlight w:val="none"/>
              </w:rPr>
            </w:pPr>
          </w:p>
        </w:tc>
        <w:tc>
          <w:tcPr>
            <w:tcW w:w="536"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85</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04</w:t>
            </w:r>
          </w:p>
        </w:tc>
        <w:tc>
          <w:tcPr>
            <w:tcW w:w="397" w:type="dxa"/>
            <w:vAlign w:val="center"/>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99</w:t>
            </w:r>
          </w:p>
        </w:tc>
        <w:tc>
          <w:tcPr>
            <w:tcW w:w="851"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其他发展与改革事务支出</w:t>
            </w:r>
          </w:p>
        </w:tc>
        <w:tc>
          <w:tcPr>
            <w:tcW w:w="1456"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政府购买节能工作督促指导社会化服务</w:t>
            </w:r>
          </w:p>
        </w:tc>
        <w:tc>
          <w:tcPr>
            <w:tcW w:w="750"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10</w:t>
            </w:r>
          </w:p>
        </w:tc>
        <w:tc>
          <w:tcPr>
            <w:tcW w:w="569" w:type="dxa"/>
            <w:vAlign w:val="top"/>
          </w:tcPr>
          <w:p>
            <w:pPr>
              <w:widowControl/>
              <w:jc w:val="center"/>
              <w:rPr>
                <w:rFonts w:ascii="仿宋_GB2312" w:hAnsi="宋体" w:eastAsia="仿宋_GB2312"/>
                <w:kern w:val="0"/>
                <w:sz w:val="32"/>
                <w:szCs w:val="32"/>
                <w:highlight w:val="none"/>
              </w:rPr>
            </w:pPr>
          </w:p>
        </w:tc>
        <w:tc>
          <w:tcPr>
            <w:tcW w:w="536" w:type="dxa"/>
            <w:vAlign w:val="top"/>
          </w:tcPr>
          <w:p>
            <w:pPr>
              <w:widowControl/>
              <w:jc w:val="center"/>
              <w:rPr>
                <w:rFonts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10</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ascii="仿宋_GB2312" w:hAnsi="宋体" w:eastAsia="仿宋_GB2312"/>
                <w:kern w:val="0"/>
                <w:sz w:val="32"/>
                <w:szCs w:val="32"/>
                <w:highlight w:val="none"/>
              </w:rPr>
            </w:pPr>
          </w:p>
        </w:tc>
        <w:tc>
          <w:tcPr>
            <w:tcW w:w="397" w:type="dxa"/>
            <w:vAlign w:val="center"/>
          </w:tcPr>
          <w:p>
            <w:pPr>
              <w:widowControl/>
              <w:jc w:val="center"/>
              <w:rPr>
                <w:rFonts w:ascii="仿宋_GB2312" w:hAnsi="宋体" w:eastAsia="仿宋_GB2312"/>
                <w:kern w:val="0"/>
                <w:sz w:val="32"/>
                <w:szCs w:val="32"/>
                <w:highlight w:val="none"/>
              </w:rPr>
            </w:pPr>
          </w:p>
        </w:tc>
        <w:tc>
          <w:tcPr>
            <w:tcW w:w="397" w:type="dxa"/>
            <w:vAlign w:val="center"/>
          </w:tcPr>
          <w:p>
            <w:pPr>
              <w:widowControl/>
              <w:jc w:val="center"/>
              <w:rPr>
                <w:rFonts w:ascii="仿宋_GB2312" w:hAnsi="宋体" w:eastAsia="仿宋_GB2312"/>
                <w:kern w:val="0"/>
                <w:sz w:val="32"/>
                <w:szCs w:val="32"/>
                <w:highlight w:val="none"/>
              </w:rPr>
            </w:pPr>
          </w:p>
        </w:tc>
        <w:tc>
          <w:tcPr>
            <w:tcW w:w="851" w:type="dxa"/>
            <w:vAlign w:val="top"/>
          </w:tcPr>
          <w:p>
            <w:pPr>
              <w:widowControl/>
              <w:jc w:val="center"/>
              <w:rPr>
                <w:rFonts w:ascii="仿宋_GB2312" w:hAnsi="宋体" w:eastAsia="仿宋_GB2312"/>
                <w:kern w:val="0"/>
                <w:sz w:val="32"/>
                <w:szCs w:val="32"/>
                <w:highlight w:val="none"/>
              </w:rPr>
            </w:pPr>
          </w:p>
        </w:tc>
        <w:tc>
          <w:tcPr>
            <w:tcW w:w="1456" w:type="dxa"/>
            <w:vAlign w:val="top"/>
          </w:tcPr>
          <w:p>
            <w:pPr>
              <w:widowControl/>
              <w:jc w:val="center"/>
              <w:rPr>
                <w:rFonts w:ascii="仿宋_GB2312" w:hAnsi="宋体" w:eastAsia="仿宋_GB2312"/>
                <w:kern w:val="0"/>
                <w:sz w:val="32"/>
                <w:szCs w:val="32"/>
                <w:highlight w:val="none"/>
              </w:rPr>
            </w:pPr>
          </w:p>
        </w:tc>
        <w:tc>
          <w:tcPr>
            <w:tcW w:w="750" w:type="dxa"/>
            <w:vAlign w:val="top"/>
          </w:tcPr>
          <w:p>
            <w:pPr>
              <w:widowControl/>
              <w:jc w:val="center"/>
              <w:rPr>
                <w:rFonts w:ascii="仿宋_GB2312" w:hAnsi="宋体" w:eastAsia="仿宋_GB2312"/>
                <w:kern w:val="0"/>
                <w:sz w:val="32"/>
                <w:szCs w:val="32"/>
                <w:highlight w:val="none"/>
              </w:rPr>
            </w:pPr>
          </w:p>
        </w:tc>
        <w:tc>
          <w:tcPr>
            <w:tcW w:w="569" w:type="dxa"/>
            <w:vAlign w:val="top"/>
          </w:tcPr>
          <w:p>
            <w:pPr>
              <w:widowControl/>
              <w:jc w:val="center"/>
              <w:rPr>
                <w:rFonts w:ascii="仿宋_GB2312" w:hAnsi="宋体" w:eastAsia="仿宋_GB2312"/>
                <w:kern w:val="0"/>
                <w:sz w:val="32"/>
                <w:szCs w:val="32"/>
                <w:highlight w:val="none"/>
              </w:rPr>
            </w:pPr>
          </w:p>
        </w:tc>
        <w:tc>
          <w:tcPr>
            <w:tcW w:w="536" w:type="dxa"/>
            <w:vAlign w:val="top"/>
          </w:tcPr>
          <w:p>
            <w:pPr>
              <w:widowControl/>
              <w:jc w:val="center"/>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hint="default" w:ascii="仿宋_GB2312" w:hAnsi="宋体" w:eastAsia="仿宋_GB2312"/>
                <w:kern w:val="0"/>
                <w:szCs w:val="21"/>
                <w:highlight w:val="none"/>
                <w:lang w:val="en-US" w:eastAsia="zh-CN"/>
              </w:rPr>
            </w:pPr>
            <w:r>
              <w:rPr>
                <w:rFonts w:hint="eastAsia" w:ascii="仿宋_GB2312" w:hAnsi="宋体" w:eastAsia="仿宋_GB2312"/>
                <w:kern w:val="0"/>
                <w:szCs w:val="21"/>
                <w:highlight w:val="none"/>
                <w:lang w:val="en-US" w:eastAsia="zh-CN"/>
              </w:rPr>
              <w:t>110</w:t>
            </w:r>
          </w:p>
        </w:tc>
        <w:tc>
          <w:tcPr>
            <w:tcW w:w="569" w:type="dxa"/>
          </w:tcPr>
          <w:p>
            <w:pPr>
              <w:widowControl/>
              <w:jc w:val="right"/>
              <w:outlineLvl w:val="1"/>
              <w:rPr>
                <w:rFonts w:hint="default" w:ascii="仿宋_GB2312" w:hAnsi="宋体" w:eastAsia="仿宋_GB2312"/>
                <w:kern w:val="0"/>
                <w:sz w:val="32"/>
                <w:szCs w:val="32"/>
                <w:highlight w:val="none"/>
                <w:lang w:val="en-US" w:eastAsia="zh-CN"/>
              </w:rPr>
            </w:pPr>
          </w:p>
        </w:tc>
        <w:tc>
          <w:tcPr>
            <w:tcW w:w="536" w:type="dxa"/>
          </w:tcPr>
          <w:p>
            <w:pPr>
              <w:widowControl/>
              <w:jc w:val="center"/>
              <w:outlineLvl w:val="1"/>
              <w:rPr>
                <w:rFonts w:hint="default" w:ascii="仿宋_GB2312" w:hAnsi="宋体" w:eastAsia="仿宋_GB2312"/>
                <w:kern w:val="0"/>
                <w:sz w:val="32"/>
                <w:szCs w:val="32"/>
                <w:highlight w:val="none"/>
                <w:lang w:val="en-US" w:eastAsia="zh-CN"/>
              </w:rPr>
            </w:pPr>
            <w:r>
              <w:rPr>
                <w:rFonts w:hint="eastAsia" w:ascii="仿宋_GB2312" w:hAnsi="宋体" w:eastAsia="仿宋_GB2312"/>
                <w:kern w:val="0"/>
                <w:szCs w:val="21"/>
                <w:highlight w:val="none"/>
                <w:lang w:val="en-US" w:eastAsia="zh-CN"/>
              </w:rPr>
              <w:t>110</w:t>
            </w:r>
          </w:p>
        </w:tc>
        <w:tc>
          <w:tcPr>
            <w:tcW w:w="652" w:type="dxa"/>
          </w:tcPr>
          <w:p>
            <w:pPr>
              <w:widowControl/>
              <w:jc w:val="right"/>
              <w:outlineLvl w:val="1"/>
              <w:rPr>
                <w:rFonts w:hint="default" w:ascii="仿宋_GB2312" w:hAnsi="宋体" w:eastAsia="仿宋_GB2312"/>
                <w:kern w:val="0"/>
                <w:sz w:val="32"/>
                <w:szCs w:val="32"/>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编制部门（单位）： 昌吉回族自治州能源安全监测中心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pStyle w:val="2"/>
        <w:rPr>
          <w:highlight w:val="none"/>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highlight w:val="none"/>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一、关于昌吉回族自治州能源安全监测中心2022年收支预算情况的总体说明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按照全口径预算的原则，昌吉回族自治州能源安全监测中心2022年所有收入和支出均纳入部门（单位）预算管理。收支总预算</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支出预算包括：一般公共服务支出、社会保障和就业支出、卫生健康支出、住房保障支出。</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二、关于昌吉回族自治州能源安全监测中心2022年收入预算情况说明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昌吉回族自治州能源安全监测中心收入预算</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4.38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1.68</w:t>
      </w:r>
      <w:r>
        <w:rPr>
          <w:rFonts w:hint="eastAsia" w:ascii="仿宋_GB2312" w:hAnsi="宋体" w:eastAsia="仿宋_GB2312" w:cs="宋体"/>
          <w:kern w:val="0"/>
          <w:sz w:val="32"/>
          <w:szCs w:val="32"/>
          <w:highlight w:val="none"/>
        </w:rPr>
        <w:t xml:space="preserve">%，主要原因是增加人员经费；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三、关于昌吉回族自治州能源安全监测中心2022年支出预算情况说明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昌吉回族自治州能源安全监测中心2022年支出预算</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155.38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58.55</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4.38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w:t>
      </w:r>
      <w:r>
        <w:rPr>
          <w:rFonts w:hint="eastAsia" w:ascii="仿宋_GB2312" w:hAnsi="宋体" w:eastAsia="仿宋_GB2312" w:cs="宋体"/>
          <w:kern w:val="0"/>
          <w:sz w:val="32"/>
          <w:szCs w:val="32"/>
          <w:highlight w:val="none"/>
        </w:rPr>
        <w:t>%，主要原因是增加人员经费。</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110</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41.45</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本年度无项目变化</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四、关于昌吉回族自治州能源安全监测中心2022年财政拨款收支预算情况的总体说明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265.38</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223.58万元，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州能源安全监测中心工资福利支出和援疆日常工作开支；</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15.46万元，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州能源安全监测中心职工基本养老保险缴费支出；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val="en-US" w:eastAsia="zh-CN"/>
        </w:rPr>
        <w:t>12.15万元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州能源安全监测中心职工行政单位医疗、公务员医疗补助等；住房保障支出14.19万元，主要用于州能源安全监测中心职工住房公积金支出</w:t>
      </w:r>
      <w:r>
        <w:rPr>
          <w:rFonts w:hint="eastAsia" w:ascii="仿宋_GB2312" w:hAnsi="宋体" w:eastAsia="仿宋_GB2312" w:cs="宋体"/>
          <w:spacing w:val="-6"/>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关于昌吉回族自治州能源安全监测中心2022年一般公共预算当年拨款情况说明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昌吉回族自治州能源安全监测中心2022年一般公共预算拨款合计</w:t>
      </w:r>
      <w:r>
        <w:rPr>
          <w:rFonts w:hint="eastAsia" w:ascii="仿宋_GB2312" w:hAnsi="宋体" w:eastAsia="仿宋_GB2312" w:cs="宋体"/>
          <w:kern w:val="0"/>
          <w:sz w:val="32"/>
          <w:szCs w:val="32"/>
          <w:highlight w:val="none"/>
          <w:lang w:val="en-US" w:eastAsia="zh-CN"/>
        </w:rPr>
        <w:t>265.38</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155.38</w:t>
      </w:r>
      <w:r>
        <w:rPr>
          <w:rFonts w:hint="eastAsia" w:ascii="仿宋_GB2312" w:hAnsi="仿宋_GB2312" w:eastAsia="仿宋_GB2312" w:cs="仿宋_GB2312"/>
          <w:kern w:val="0"/>
          <w:sz w:val="32"/>
          <w:szCs w:val="32"/>
          <w:highlight w:val="none"/>
        </w:rPr>
        <w:t>万元，</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4.38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w:t>
      </w:r>
      <w:r>
        <w:rPr>
          <w:rFonts w:hint="eastAsia" w:ascii="仿宋_GB2312" w:hAnsi="宋体" w:eastAsia="仿宋_GB2312" w:cs="宋体"/>
          <w:kern w:val="0"/>
          <w:sz w:val="32"/>
          <w:szCs w:val="32"/>
          <w:highlight w:val="none"/>
        </w:rPr>
        <w:t>%，主要原因是增加人员经费。</w:t>
      </w: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lang w:val="en-US" w:eastAsia="zh-CN"/>
        </w:rPr>
        <w:t>110</w:t>
      </w:r>
      <w:r>
        <w:rPr>
          <w:rFonts w:hint="eastAsia" w:ascii="仿宋_GB2312" w:hAnsi="仿宋_GB2312" w:eastAsia="仿宋_GB2312" w:cs="仿宋_GB2312"/>
          <w:kern w:val="0"/>
          <w:sz w:val="32"/>
          <w:szCs w:val="32"/>
          <w:highlight w:val="none"/>
        </w:rPr>
        <w:t>万元，</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本年度无项目变化</w:t>
      </w:r>
      <w:r>
        <w:rPr>
          <w:rFonts w:hint="eastAsia" w:ascii="仿宋_GB2312" w:hAnsi="宋体" w:eastAsia="仿宋_GB2312" w:cs="宋体"/>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1.一般公共服务支出</w:t>
      </w:r>
      <w:r>
        <w:rPr>
          <w:rFonts w:hint="eastAsia" w:ascii="仿宋_GB2312" w:eastAsia="仿宋_GB2312"/>
          <w:sz w:val="32"/>
          <w:szCs w:val="32"/>
          <w:highlight w:val="none"/>
          <w:lang w:val="en-US" w:eastAsia="zh-CN"/>
        </w:rPr>
        <w:t>223.58</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84.25</w:t>
      </w:r>
      <w:r>
        <w:rPr>
          <w:rFonts w:hint="eastAsia" w:ascii="仿宋_GB2312" w:eastAsia="仿宋_GB2312"/>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val="en-US" w:eastAsia="zh-CN"/>
        </w:rPr>
        <w:t>社会保障和就业支出15.46</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5.83</w:t>
      </w:r>
      <w:r>
        <w:rPr>
          <w:rFonts w:hint="eastAsia" w:ascii="仿宋_GB2312" w:eastAsia="仿宋_GB2312"/>
          <w:sz w:val="32"/>
          <w:szCs w:val="32"/>
          <w:highlight w:val="none"/>
        </w:rPr>
        <w:t>%。</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3.卫生健康支出12.15</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4.58</w:t>
      </w:r>
      <w:r>
        <w:rPr>
          <w:rFonts w:hint="eastAsia" w:ascii="仿宋_GB2312" w:eastAsia="仿宋_GB2312"/>
          <w:sz w:val="32"/>
          <w:szCs w:val="32"/>
          <w:highlight w:val="none"/>
        </w:rPr>
        <w:t>%。</w:t>
      </w:r>
    </w:p>
    <w:p>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4.住房保障支出14.19万元，占5.34%。</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发展与改革事务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w:t>
      </w:r>
      <w:r>
        <w:rPr>
          <w:rFonts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113.58</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减少122.92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下降51.97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w:t>
      </w:r>
      <w:r>
        <w:rPr>
          <w:rFonts w:hint="eastAsia" w:ascii="仿宋_GB2312" w:hAnsi="黑体" w:eastAsia="仿宋_GB2312"/>
          <w:sz w:val="32"/>
          <w:szCs w:val="32"/>
          <w:highlight w:val="none"/>
          <w:lang w:val="en-US" w:eastAsia="zh-CN"/>
        </w:rPr>
        <w:t>昌吉州煤矿安全综合监控联网系统运维工作经费、</w:t>
      </w:r>
      <w:r>
        <w:rPr>
          <w:rFonts w:hint="eastAsia" w:ascii="仿宋_GB2312" w:hAnsi="黑体" w:eastAsia="仿宋_GB2312"/>
          <w:sz w:val="32"/>
          <w:szCs w:val="32"/>
          <w:highlight w:val="none"/>
          <w:lang w:eastAsia="zh-CN"/>
        </w:rPr>
        <w:t>昌吉州煤矿数字化监控运行工作经费、</w:t>
      </w:r>
      <w:r>
        <w:rPr>
          <w:rFonts w:hint="eastAsia" w:ascii="仿宋_GB2312" w:hAnsi="黑体" w:eastAsia="仿宋_GB2312"/>
          <w:sz w:val="32"/>
          <w:szCs w:val="32"/>
          <w:highlight w:val="none"/>
        </w:rPr>
        <w:t>政府购买节能工作督促指导社会化服务</w:t>
      </w:r>
      <w:r>
        <w:rPr>
          <w:rFonts w:hint="eastAsia" w:ascii="仿宋_GB2312" w:hAnsi="黑体" w:eastAsia="仿宋_GB2312"/>
          <w:sz w:val="32"/>
          <w:szCs w:val="32"/>
          <w:highlight w:val="none"/>
          <w:lang w:val="en-US" w:eastAsia="zh-CN"/>
        </w:rPr>
        <w:t>经费和</w:t>
      </w:r>
      <w:r>
        <w:rPr>
          <w:rFonts w:hint="eastAsia" w:ascii="仿宋_GB2312" w:hAnsi="宋体" w:eastAsia="仿宋_GB2312" w:cs="宋体"/>
          <w:kern w:val="0"/>
          <w:sz w:val="32"/>
          <w:szCs w:val="32"/>
          <w:highlight w:val="none"/>
          <w:lang w:val="en-US" w:eastAsia="zh-CN"/>
        </w:rPr>
        <w:t>减少住房公积金支出。</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2</w:t>
      </w:r>
      <w:r>
        <w:rPr>
          <w:rFonts w:hint="eastAsia" w:ascii="楷体_GB2312" w:hAnsi="宋体" w:eastAsia="楷体_GB2312" w:cs="宋体"/>
          <w:kern w:val="0"/>
          <w:sz w:val="32"/>
          <w:szCs w:val="32"/>
          <w:highlight w:val="none"/>
        </w:rPr>
        <w:t>.</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发展与改革事务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其他发展与改革事务支出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110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增加110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w:t>
      </w:r>
      <w:r>
        <w:rPr>
          <w:rFonts w:hint="eastAsia" w:ascii="仿宋_GB2312" w:hAnsi="黑体" w:eastAsia="仿宋_GB2312"/>
          <w:sz w:val="32"/>
          <w:szCs w:val="32"/>
          <w:highlight w:val="none"/>
          <w:lang w:val="en-US" w:eastAsia="zh-CN"/>
        </w:rPr>
        <w:t>昌吉州煤矿安全综合联网监控系统工作经费、</w:t>
      </w:r>
      <w:r>
        <w:rPr>
          <w:rFonts w:hint="eastAsia" w:ascii="仿宋_GB2312" w:hAnsi="黑体" w:eastAsia="仿宋_GB2312"/>
          <w:sz w:val="32"/>
          <w:szCs w:val="32"/>
          <w:highlight w:val="none"/>
          <w:lang w:eastAsia="zh-CN"/>
        </w:rPr>
        <w:t>昌吉州煤矿数字化监控工作经费、</w:t>
      </w:r>
      <w:r>
        <w:rPr>
          <w:rFonts w:hint="eastAsia" w:ascii="仿宋_GB2312" w:hAnsi="黑体" w:eastAsia="仿宋_GB2312"/>
          <w:sz w:val="32"/>
          <w:szCs w:val="32"/>
          <w:highlight w:val="none"/>
        </w:rPr>
        <w:t>政府购买节能工作督促指导社会化服务</w:t>
      </w:r>
      <w:r>
        <w:rPr>
          <w:rFonts w:hint="eastAsia" w:ascii="仿宋_GB2312" w:hAnsi="黑体" w:eastAsia="仿宋_GB2312"/>
          <w:sz w:val="32"/>
          <w:szCs w:val="32"/>
          <w:highlight w:val="none"/>
          <w:lang w:val="en-US" w:eastAsia="zh-CN"/>
        </w:rPr>
        <w:t>经费</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3</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社会保障和就业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机关事业单位基本养老保险缴费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15.46</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增加1.92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增长14.18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工资增加机关事业单位基本养老保险缴费增加。</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4</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9.18</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增加1.14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增长14.18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工资增加事业单位医疗缴费增加。</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5</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公务员医疗补助</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增加0.36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增长14.17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工资增加公务员医疗补助增加。</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6</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0.07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减少0.31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下降81.58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减少其他行政事业单位医疗缴费支出。</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7.</w:t>
      </w:r>
      <w:r>
        <w:rPr>
          <w:rFonts w:hint="eastAsia" w:ascii="仿宋_GB2312" w:hAnsi="宋体" w:eastAsia="仿宋_GB2312" w:cs="宋体"/>
          <w:kern w:val="0"/>
          <w:sz w:val="32"/>
          <w:szCs w:val="32"/>
          <w:highlight w:val="none"/>
          <w:lang w:val="en-US" w:eastAsia="zh-CN"/>
        </w:rPr>
        <w:t>住房保障支出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住房改革支出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住房公积金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14.19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增加14.19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增加住房公积金支出。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关于昌吉回族自治州能源安全监测中心2022年一般公共预算基本支出情况说明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昌吉回族自治州能源安全监测中心2022年一般公共预算基本支出</w:t>
      </w:r>
      <w:r>
        <w:rPr>
          <w:rFonts w:hint="eastAsia" w:ascii="仿宋_GB2312" w:hAnsi="宋体" w:eastAsia="仿宋_GB2312" w:cs="宋体"/>
          <w:kern w:val="0"/>
          <w:sz w:val="32"/>
          <w:szCs w:val="32"/>
          <w:highlight w:val="none"/>
          <w:lang w:val="en-US" w:eastAsia="zh-CN"/>
        </w:rPr>
        <w:t>155.38</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140.03</w:t>
      </w:r>
      <w:r>
        <w:rPr>
          <w:rFonts w:hint="eastAsia" w:ascii="仿宋_GB2312" w:hAnsi="宋体" w:eastAsia="仿宋_GB2312" w:cs="宋体"/>
          <w:kern w:val="0"/>
          <w:sz w:val="32"/>
          <w:szCs w:val="32"/>
          <w:highlight w:val="none"/>
        </w:rPr>
        <w:t>万元，主要包括：基本工资、津贴补贴、奖金、绩效工资、机关事业单位基本养老保险缴费、职工基本医疗保险缴费、公务员医疗补助缴费、其他社会保障缴费、住房公积金。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15.35</w:t>
      </w:r>
      <w:r>
        <w:rPr>
          <w:rFonts w:hint="eastAsia" w:ascii="仿宋_GB2312" w:hAnsi="宋体" w:eastAsia="仿宋_GB2312" w:cs="宋体"/>
          <w:kern w:val="0"/>
          <w:sz w:val="32"/>
          <w:szCs w:val="32"/>
          <w:highlight w:val="none"/>
        </w:rPr>
        <w:t>万元，主要包括：办公费、印刷费、水费、物业管理费、差旅费、培训费、公务接待费、工会经费、福利费、公务用车运行维护费、其他商品和服务支出。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关于昌吉回族自治州能源安全监测中心2022年一般公共预算项目支出情况说明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val="en-US" w:eastAsia="zh-CN"/>
        </w:rPr>
        <w:t>昌吉州煤矿安全综合联网监控系统工作经费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国家、自治区、自治州相关政策</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85</w:t>
      </w:r>
      <w:r>
        <w:rPr>
          <w:rFonts w:hint="eastAsia" w:ascii="仿宋_GB2312" w:hAnsi="宋体" w:eastAsia="仿宋_GB2312" w:cs="宋体"/>
          <w:kern w:val="0"/>
          <w:sz w:val="32"/>
          <w:szCs w:val="32"/>
          <w:highlight w:val="none"/>
        </w:rPr>
        <w:t>万</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昌吉州能源安全监测中心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85</w:t>
      </w:r>
      <w:r>
        <w:rPr>
          <w:rFonts w:hint="eastAsia" w:ascii="仿宋_GB2312" w:hAnsi="宋体" w:eastAsia="仿宋_GB2312" w:cs="宋体"/>
          <w:kern w:val="0"/>
          <w:sz w:val="32"/>
          <w:szCs w:val="32"/>
          <w:highlight w:val="none"/>
        </w:rPr>
        <w:t>万</w:t>
      </w:r>
    </w:p>
    <w:p>
      <w:pPr>
        <w:spacing w:line="56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年1月-12月</w:t>
      </w:r>
    </w:p>
    <w:p>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昌吉州煤矿数字化监控工作经费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国家、自治区、自治州相关政策</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w:t>
      </w:r>
      <w:r>
        <w:rPr>
          <w:rFonts w:hint="eastAsia" w:ascii="仿宋_GB2312" w:hAnsi="宋体" w:eastAsia="仿宋_GB2312" w:cs="宋体"/>
          <w:kern w:val="0"/>
          <w:sz w:val="32"/>
          <w:szCs w:val="32"/>
          <w:highlight w:val="none"/>
        </w:rPr>
        <w:t>5万</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昌吉州能源安全监测中心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w:t>
      </w:r>
      <w:r>
        <w:rPr>
          <w:rFonts w:hint="eastAsia" w:ascii="仿宋_GB2312" w:hAnsi="宋体" w:eastAsia="仿宋_GB2312" w:cs="宋体"/>
          <w:kern w:val="0"/>
          <w:sz w:val="32"/>
          <w:szCs w:val="32"/>
          <w:highlight w:val="none"/>
        </w:rPr>
        <w:t>5万</w:t>
      </w:r>
    </w:p>
    <w:p>
      <w:pPr>
        <w:spacing w:line="560" w:lineRule="exact"/>
        <w:ind w:firstLine="640" w:firstLineChars="200"/>
        <w:rPr>
          <w:rFonts w:hint="eastAsia" w:ascii="黑体" w:hAnsi="宋体" w:eastAsia="黑体"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年1月-12月</w:t>
      </w:r>
    </w:p>
    <w:p>
      <w:pPr>
        <w:spacing w:line="560" w:lineRule="exact"/>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：政府购买节能工作督促指导社会化服务</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国家、自治区、自治州相关政策</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10</w:t>
      </w:r>
      <w:r>
        <w:rPr>
          <w:rFonts w:hint="eastAsia" w:ascii="仿宋_GB2312" w:hAnsi="宋体" w:eastAsia="仿宋_GB2312" w:cs="宋体"/>
          <w:kern w:val="0"/>
          <w:sz w:val="32"/>
          <w:szCs w:val="32"/>
          <w:highlight w:val="none"/>
        </w:rPr>
        <w:t>万</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昌吉州能源安全监测中心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10</w:t>
      </w:r>
      <w:r>
        <w:rPr>
          <w:rFonts w:hint="eastAsia" w:ascii="仿宋_GB2312" w:hAnsi="宋体" w:eastAsia="仿宋_GB2312" w:cs="宋体"/>
          <w:kern w:val="0"/>
          <w:sz w:val="32"/>
          <w:szCs w:val="32"/>
          <w:highlight w:val="none"/>
        </w:rPr>
        <w:t>万</w:t>
      </w:r>
    </w:p>
    <w:p>
      <w:pPr>
        <w:spacing w:line="560" w:lineRule="exact"/>
        <w:ind w:firstLine="640" w:firstLineChars="200"/>
        <w:rPr>
          <w:rFonts w:hint="eastAsia" w:ascii="黑体" w:hAnsi="宋体" w:eastAsia="黑体"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年1月-12月</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八、关于昌吉回族自治州能源安全监测中心2022年一般公共预算“三公”经费预算情况说明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昌吉回族自治州能源安全监测中心2022年一般公共预算“三公”经费数为</w:t>
      </w:r>
      <w:r>
        <w:rPr>
          <w:rFonts w:hint="eastAsia" w:ascii="仿宋_GB2312" w:hAnsi="宋体" w:eastAsia="仿宋_GB2312" w:cs="宋体"/>
          <w:kern w:val="0"/>
          <w:sz w:val="32"/>
          <w:szCs w:val="32"/>
          <w:highlight w:val="none"/>
          <w:lang w:val="en-US" w:eastAsia="zh-CN"/>
        </w:rPr>
        <w:t>2.2</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2022年一般公共预算“三公”经费比上年增加</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未安排因公出国（境）费预算；公务用车购置费增加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未安排公务用车购置费预算；公务用车运行费增加</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11.11</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增加公务用车运行费支出</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公务接待费与上年持平</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九、关于昌吉回族自治州能源安全监测中心2022年政府性基金预算拨款情况说明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昌吉回族自治州能源安全监测中心2022年没有使用政府性基金预算拨款安排的支出，政府性基金预算支出情况表为空表。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2022年，昌吉回族自治州能源安全监测中心机关运行经费财政拨款预算</w:t>
      </w:r>
      <w:r>
        <w:rPr>
          <w:rFonts w:hint="eastAsia" w:ascii="仿宋_GB2312" w:hAnsi="仿宋_GB2312" w:eastAsia="仿宋_GB2312" w:cs="仿宋_GB2312"/>
          <w:kern w:val="0"/>
          <w:sz w:val="32"/>
          <w:szCs w:val="32"/>
          <w:highlight w:val="none"/>
          <w:lang w:val="en-US" w:eastAsia="zh-CN"/>
        </w:rPr>
        <w:t>15.35</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0.07</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0.45</w:t>
      </w:r>
      <w:r>
        <w:rPr>
          <w:rFonts w:hint="eastAsia" w:ascii="仿宋_GB2312" w:hAnsi="仿宋_GB2312" w:eastAsia="仿宋_GB2312" w:cs="仿宋_GB2312"/>
          <w:kern w:val="0"/>
          <w:sz w:val="32"/>
          <w:szCs w:val="32"/>
          <w:highlight w:val="none"/>
        </w:rPr>
        <w:t>%。主要原因是</w:t>
      </w:r>
      <w:r>
        <w:rPr>
          <w:rFonts w:hint="eastAsia" w:ascii="仿宋_GB2312" w:hAnsi="仿宋" w:eastAsia="仿宋_GB2312" w:cs="仿宋"/>
          <w:color w:val="000000"/>
          <w:sz w:val="32"/>
          <w:szCs w:val="32"/>
          <w:highlight w:val="none"/>
          <w:lang w:val="en-US" w:eastAsia="zh-CN"/>
        </w:rPr>
        <w:t>严格执行相关规定，压缩机关运行经费</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2022年，昌吉回族自治州能源安全监测中心政府采购预算</w:t>
      </w:r>
      <w:r>
        <w:rPr>
          <w:rFonts w:hint="eastAsia" w:ascii="仿宋_GB2312" w:hAnsi="仿宋_GB2312" w:eastAsia="仿宋_GB2312" w:cs="仿宋_GB2312"/>
          <w:kern w:val="0"/>
          <w:sz w:val="32"/>
          <w:szCs w:val="32"/>
          <w:highlight w:val="none"/>
          <w:lang w:val="en-US" w:eastAsia="zh-CN"/>
        </w:rPr>
        <w:t>17.97</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17.97</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截至2021年底，昌吉回族自治州能源安全监测中心及下属各预算单位占用使用国有资产总体情况为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0.35</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649.15</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110</w:t>
      </w:r>
      <w:r>
        <w:rPr>
          <w:rFonts w:hint="eastAsia" w:ascii="仿宋_GB2312" w:hAnsi="仿宋_GB2312" w:eastAsia="仿宋_GB2312" w:cs="仿宋_GB2312"/>
          <w:kern w:val="0"/>
          <w:sz w:val="32"/>
          <w:szCs w:val="32"/>
          <w:highlight w:val="none"/>
        </w:rPr>
        <w:t>万元。具体情况见下表（按项目分别填报）：</w:t>
      </w: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3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690"/>
        <w:gridCol w:w="75"/>
        <w:gridCol w:w="30"/>
        <w:gridCol w:w="465"/>
        <w:gridCol w:w="240"/>
        <w:gridCol w:w="60"/>
        <w:gridCol w:w="1290"/>
        <w:gridCol w:w="45"/>
        <w:gridCol w:w="165"/>
        <w:gridCol w:w="510"/>
        <w:gridCol w:w="90"/>
        <w:gridCol w:w="135"/>
        <w:gridCol w:w="7"/>
        <w:gridCol w:w="368"/>
        <w:gridCol w:w="390"/>
        <w:gridCol w:w="420"/>
        <w:gridCol w:w="345"/>
        <w:gridCol w:w="8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04" w:type="dxa"/>
            <w:gridSpan w:val="2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04" w:type="dxa"/>
            <w:gridSpan w:val="20"/>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14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昌吉回族自治州能源安全监测中心</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昌吉州煤矿安全综合联网监控系统工作经费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85</w:t>
            </w:r>
          </w:p>
        </w:tc>
        <w:tc>
          <w:tcPr>
            <w:tcW w:w="15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85</w:t>
            </w:r>
          </w:p>
        </w:tc>
        <w:tc>
          <w:tcPr>
            <w:tcW w:w="166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24"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目标1：综合监控联网平台维护1次。目标2：全州煤矿安全监控系统的建设、验收和指导管理；目标3：州、县市煤矿企业瓦斯监测监控远程联网系统的运行维护、数据采集、综合分析及数据库管理。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近500路工业监控视频维护、授权、更新次数</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综合监控联网平台维护次数</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专用线路保持畅通</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预防性检查次数</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安全监控系统稳定率</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远程联网系统稳定率</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系统故障率</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系统维护及时率</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硬件维护成本</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保障平台正常运行成本</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&lt;=60万元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采用信息化手段实现危险源实时监测预警、应急信息收集、风险预测，提升煤矿信息化监管能力。</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延长昌吉州煤矿综合联网监控平台使用寿命，保障监控工作正常开展</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3802"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指导服务县（市）监控中心满意度</w:t>
            </w:r>
          </w:p>
        </w:tc>
        <w:tc>
          <w:tcPr>
            <w:tcW w:w="23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04" w:type="dxa"/>
            <w:gridSpan w:val="2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04" w:type="dxa"/>
            <w:gridSpan w:val="20"/>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97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昌吉回族自治州能源安全监测中心</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57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昌吉州煤矿数字化监控工作经费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5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6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41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24"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障州级、县（市）煤矿安全监测综合联网平台三级联网全年稳定运行。目标2：保障煤矿企业安全监测系统系统全年稳定运行及数据上传正常。目标3：数据备份次数4次。目标4：服务器维护次数2次。目标5：安全监控系统稳定率≥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数据备份次数</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服务器维护次数</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安全监控系统稳定率</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设备故障率</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系统维护及时率</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昌吉州煤矿数字化监控工作完成时限</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软件运行维护成本</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采用信息化手段实现危险源实时监测预警、应急信息收集、风险预测，提升煤矿信息化监管能力。</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保障煤矿企业安全监测系统系统全年稳定运行及数据上传正常</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170" w:type="dxa"/>
            <w:gridSpan w:val="1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指导服务县（市）监控中心满意度</w:t>
            </w:r>
          </w:p>
        </w:tc>
        <w:tc>
          <w:tcPr>
            <w:tcW w:w="19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04" w:type="dxa"/>
            <w:gridSpan w:val="2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04" w:type="dxa"/>
            <w:gridSpan w:val="20"/>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93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昌吉回族自治州能源安全监测中心</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3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政府购买节能工作督促指导社会化服务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8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5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24"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目标1：对县市、企业节能业务指1次。目标2：对县市节能业务指导4季度。目标3：完成组织节能宣传活动一年一次。目标4：促进节能宣传，增强节能意识。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对县市、企业节能业务指导次数</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节能宣传活动</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问题整改率</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开展对县市、企业节能业务指导及时率</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开展对县市、企业节能业务工作指导完成时限</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节能检查成本</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节能宣传成本</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促进节能宣传，增强节能意识</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有效控制能源消费总量，全面提高重点用能地区、领域和单位节能管理水平，为完成自治州节能目标任务、建设安全高效的能源体系提供有力支撑。</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560" w:type="dxa"/>
            <w:gridSpan w:val="1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服务企业满意度</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hint="eastAsia" w:ascii="黑体" w:hAnsi="黑体" w:eastAsia="黑体"/>
          <w:kern w:val="0"/>
          <w:sz w:val="32"/>
          <w:szCs w:val="32"/>
          <w:highlight w:val="none"/>
        </w:rPr>
      </w:pPr>
    </w:p>
    <w:p>
      <w:pPr>
        <w:spacing w:line="560" w:lineRule="exact"/>
        <w:jc w:val="center"/>
        <w:rPr>
          <w:rFonts w:hint="eastAsia" w:ascii="黑体" w:hAnsi="黑体" w:eastAsia="黑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3" w:firstLineChars="200"/>
        <w:rPr>
          <w:rFonts w:ascii="仿宋_GB2312" w:hAnsi="宋体" w:eastAsia="仿宋_GB2312" w:cs="宋体"/>
          <w:kern w:val="0"/>
          <w:sz w:val="32"/>
          <w:szCs w:val="32"/>
          <w:highlight w:val="none"/>
        </w:rPr>
      </w:pPr>
      <w:r>
        <w:rPr>
          <w:rFonts w:hint="eastAsia" w:ascii="仿宋_GB2312" w:eastAsia="仿宋_GB2312"/>
          <w:b/>
          <w:sz w:val="32"/>
          <w:szCs w:val="32"/>
          <w:highlight w:val="none"/>
        </w:rPr>
        <w:t>（各部门单位应根据部门单位预算公开表中对应的经费情况进行名词解释，对未涉及的名词应删除）</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firstLine="640" w:firstLineChars="200"/>
        <w:rPr>
          <w:rFonts w:hint="eastAsia" w:ascii="仿宋_GB2312" w:eastAsia="仿宋_GB2312"/>
          <w:spacing w:val="-11"/>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eastAsia="仿宋_GB2312"/>
          <w:spacing w:val="-11"/>
          <w:sz w:val="32"/>
          <w:szCs w:val="32"/>
          <w:highlight w:val="none"/>
        </w:rPr>
        <w:t>昌吉州能源安全监测中心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E5250"/>
    <w:rsid w:val="003923D8"/>
    <w:rsid w:val="004265FD"/>
    <w:rsid w:val="00432BE1"/>
    <w:rsid w:val="0047118F"/>
    <w:rsid w:val="004D477F"/>
    <w:rsid w:val="00540E76"/>
    <w:rsid w:val="0059437A"/>
    <w:rsid w:val="0090107A"/>
    <w:rsid w:val="00944B81"/>
    <w:rsid w:val="00AF3F7E"/>
    <w:rsid w:val="00B141E5"/>
    <w:rsid w:val="00C12D75"/>
    <w:rsid w:val="00CE4C77"/>
    <w:rsid w:val="00D85033"/>
    <w:rsid w:val="00E84210"/>
    <w:rsid w:val="00F91EEB"/>
    <w:rsid w:val="00FD3E2C"/>
    <w:rsid w:val="01EE27A1"/>
    <w:rsid w:val="02224A13"/>
    <w:rsid w:val="02652EF0"/>
    <w:rsid w:val="04171E86"/>
    <w:rsid w:val="0493011A"/>
    <w:rsid w:val="04C41E5D"/>
    <w:rsid w:val="05094E43"/>
    <w:rsid w:val="059B00E2"/>
    <w:rsid w:val="090D0913"/>
    <w:rsid w:val="0A9622E9"/>
    <w:rsid w:val="0C0E306E"/>
    <w:rsid w:val="0D041870"/>
    <w:rsid w:val="0D415148"/>
    <w:rsid w:val="0D4367F1"/>
    <w:rsid w:val="0D5C0034"/>
    <w:rsid w:val="0D8F3BE8"/>
    <w:rsid w:val="0E6253B2"/>
    <w:rsid w:val="0E8B44D8"/>
    <w:rsid w:val="10267EAD"/>
    <w:rsid w:val="126C1D69"/>
    <w:rsid w:val="12F57DB1"/>
    <w:rsid w:val="13730F52"/>
    <w:rsid w:val="13ED328A"/>
    <w:rsid w:val="152D2079"/>
    <w:rsid w:val="15CF4A12"/>
    <w:rsid w:val="15FE29A1"/>
    <w:rsid w:val="16141AE3"/>
    <w:rsid w:val="18D33EB8"/>
    <w:rsid w:val="1A005FA2"/>
    <w:rsid w:val="1B24218B"/>
    <w:rsid w:val="1B2E528B"/>
    <w:rsid w:val="1BFD3B78"/>
    <w:rsid w:val="1C1E46D4"/>
    <w:rsid w:val="1CB54EA7"/>
    <w:rsid w:val="1D3C0371"/>
    <w:rsid w:val="1D42644C"/>
    <w:rsid w:val="1E8F7740"/>
    <w:rsid w:val="1EA55475"/>
    <w:rsid w:val="1FDA554E"/>
    <w:rsid w:val="207B48B3"/>
    <w:rsid w:val="209A3F26"/>
    <w:rsid w:val="2340309D"/>
    <w:rsid w:val="23B01B3B"/>
    <w:rsid w:val="23DE628F"/>
    <w:rsid w:val="24086B87"/>
    <w:rsid w:val="241F08E3"/>
    <w:rsid w:val="24B07F73"/>
    <w:rsid w:val="25A829AF"/>
    <w:rsid w:val="274329CA"/>
    <w:rsid w:val="28082004"/>
    <w:rsid w:val="2AE02FC3"/>
    <w:rsid w:val="2B3D4559"/>
    <w:rsid w:val="2BD139A4"/>
    <w:rsid w:val="2C52327C"/>
    <w:rsid w:val="2D77303C"/>
    <w:rsid w:val="2D7D4BAA"/>
    <w:rsid w:val="2F464775"/>
    <w:rsid w:val="2FF2044B"/>
    <w:rsid w:val="310E047B"/>
    <w:rsid w:val="31532260"/>
    <w:rsid w:val="31902638"/>
    <w:rsid w:val="33F32591"/>
    <w:rsid w:val="36DA5FEA"/>
    <w:rsid w:val="37882249"/>
    <w:rsid w:val="387C4B4B"/>
    <w:rsid w:val="398E4608"/>
    <w:rsid w:val="3AC74195"/>
    <w:rsid w:val="3ADB0E88"/>
    <w:rsid w:val="3B443655"/>
    <w:rsid w:val="3BC570BC"/>
    <w:rsid w:val="3D551BCA"/>
    <w:rsid w:val="3D6C417D"/>
    <w:rsid w:val="3E5B344D"/>
    <w:rsid w:val="3FAC2805"/>
    <w:rsid w:val="414D1778"/>
    <w:rsid w:val="420C62FC"/>
    <w:rsid w:val="426C010B"/>
    <w:rsid w:val="42F4284D"/>
    <w:rsid w:val="43073951"/>
    <w:rsid w:val="4588433E"/>
    <w:rsid w:val="463704A5"/>
    <w:rsid w:val="480572F2"/>
    <w:rsid w:val="486A7AAF"/>
    <w:rsid w:val="492366DA"/>
    <w:rsid w:val="49366ABC"/>
    <w:rsid w:val="49D61408"/>
    <w:rsid w:val="4B1701A7"/>
    <w:rsid w:val="4BCC499D"/>
    <w:rsid w:val="4DC6433C"/>
    <w:rsid w:val="4E1714D0"/>
    <w:rsid w:val="4ECB3D50"/>
    <w:rsid w:val="50A61D49"/>
    <w:rsid w:val="52733D0B"/>
    <w:rsid w:val="53E573E0"/>
    <w:rsid w:val="54F124C3"/>
    <w:rsid w:val="553C62E8"/>
    <w:rsid w:val="55E72E94"/>
    <w:rsid w:val="569A1982"/>
    <w:rsid w:val="56B06F62"/>
    <w:rsid w:val="57E9413F"/>
    <w:rsid w:val="57F37025"/>
    <w:rsid w:val="58221035"/>
    <w:rsid w:val="58CE6F39"/>
    <w:rsid w:val="59555A1E"/>
    <w:rsid w:val="5A2C5712"/>
    <w:rsid w:val="5A3E0853"/>
    <w:rsid w:val="5A7D6B9B"/>
    <w:rsid w:val="5B231FAA"/>
    <w:rsid w:val="5BD83C7F"/>
    <w:rsid w:val="5F605219"/>
    <w:rsid w:val="610B72ED"/>
    <w:rsid w:val="61110BD9"/>
    <w:rsid w:val="611C0AB9"/>
    <w:rsid w:val="61CA0A53"/>
    <w:rsid w:val="62BB3510"/>
    <w:rsid w:val="62E02CFA"/>
    <w:rsid w:val="639A4001"/>
    <w:rsid w:val="63C074E9"/>
    <w:rsid w:val="6401188A"/>
    <w:rsid w:val="64B972C2"/>
    <w:rsid w:val="64D966FB"/>
    <w:rsid w:val="64E66B05"/>
    <w:rsid w:val="65D16941"/>
    <w:rsid w:val="6702279E"/>
    <w:rsid w:val="6709139E"/>
    <w:rsid w:val="69A27D06"/>
    <w:rsid w:val="6C9866F5"/>
    <w:rsid w:val="6F3E7ABB"/>
    <w:rsid w:val="70621A5C"/>
    <w:rsid w:val="710653E9"/>
    <w:rsid w:val="71B53CF7"/>
    <w:rsid w:val="7202117C"/>
    <w:rsid w:val="724509DE"/>
    <w:rsid w:val="72854CB3"/>
    <w:rsid w:val="74042810"/>
    <w:rsid w:val="74D057F7"/>
    <w:rsid w:val="76A7338A"/>
    <w:rsid w:val="76E52E21"/>
    <w:rsid w:val="76FE391D"/>
    <w:rsid w:val="79081639"/>
    <w:rsid w:val="7BCF2960"/>
    <w:rsid w:val="7C375F11"/>
    <w:rsid w:val="7C7C699B"/>
    <w:rsid w:val="7DBD0E92"/>
    <w:rsid w:val="7F140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8367</Words>
  <Characters>9950</Characters>
  <Lines>69</Lines>
  <Paragraphs>19</Paragraphs>
  <TotalTime>0</TotalTime>
  <ScaleCrop>false</ScaleCrop>
  <LinksUpToDate>false</LinksUpToDate>
  <CharactersWithSpaces>10633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2022-04-01T11:37:00Z</cp:lastPrinted>
  <dcterms:modified xsi:type="dcterms:W3CDTF">2022-04-19T02:51:31Z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2F34B1EDBB204766B15016D2F8DBB275</vt:lpwstr>
  </property>
</Properties>
</file>