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highlight w:val="none"/>
        </w:rPr>
      </w:pPr>
      <w:r>
        <w:rPr>
          <w:rFonts w:hint="eastAsia" w:ascii="黑体" w:hAnsi="黑体" w:eastAsia="黑体"/>
          <w:sz w:val="32"/>
          <w:szCs w:val="32"/>
          <w:highlight w:val="none"/>
        </w:rPr>
        <w:t>附件</w:t>
      </w:r>
      <w:r>
        <w:rPr>
          <w:rFonts w:ascii="黑体" w:hAnsi="黑体" w:eastAsia="黑体"/>
          <w:sz w:val="32"/>
          <w:szCs w:val="32"/>
          <w:highlight w:val="none"/>
        </w:rPr>
        <w:t>3</w:t>
      </w:r>
      <w:r>
        <w:rPr>
          <w:rFonts w:hint="eastAsia" w:ascii="黑体" w:hAnsi="黑体" w:eastAsia="黑体"/>
          <w:sz w:val="32"/>
          <w:szCs w:val="32"/>
          <w:highlight w:val="none"/>
        </w:rPr>
        <w:t>：</w:t>
      </w:r>
    </w:p>
    <w:p>
      <w:pPr>
        <w:widowControl/>
        <w:spacing w:before="100" w:beforeAutospacing="1" w:after="100" w:afterAutospacing="1"/>
        <w:jc w:val="center"/>
        <w:outlineLvl w:val="1"/>
        <w:rPr>
          <w:rFonts w:ascii="方正小标宋_GBK" w:hAnsi="宋体" w:eastAsia="方正小标宋_GBK"/>
          <w:kern w:val="0"/>
          <w:sz w:val="44"/>
          <w:szCs w:val="44"/>
          <w:highlight w:val="none"/>
        </w:rPr>
      </w:pPr>
    </w:p>
    <w:p>
      <w:pPr>
        <w:widowControl/>
        <w:spacing w:before="100" w:beforeAutospacing="1" w:after="100" w:afterAutospacing="1"/>
        <w:jc w:val="center"/>
        <w:outlineLvl w:val="1"/>
        <w:rPr>
          <w:rFonts w:ascii="方正小标宋_GBK" w:hAnsi="宋体" w:eastAsia="方正小标宋_GBK"/>
          <w:kern w:val="0"/>
          <w:sz w:val="44"/>
          <w:szCs w:val="44"/>
          <w:highlight w:val="none"/>
        </w:rPr>
      </w:pPr>
    </w:p>
    <w:p>
      <w:pPr>
        <w:widowControl/>
        <w:spacing w:before="100" w:beforeAutospacing="1" w:after="100" w:afterAutospacing="1"/>
        <w:jc w:val="center"/>
        <w:outlineLvl w:val="1"/>
        <w:rPr>
          <w:rFonts w:hint="eastAsia" w:ascii="方正小标宋_GBK" w:hAnsi="宋体" w:eastAsia="方正小标宋_GBK"/>
          <w:kern w:val="0"/>
          <w:sz w:val="44"/>
          <w:szCs w:val="44"/>
          <w:highlight w:val="none"/>
        </w:rPr>
      </w:pPr>
      <w:bookmarkStart w:id="0" w:name="_GoBack"/>
      <w:r>
        <w:rPr>
          <w:rFonts w:hint="eastAsia" w:ascii="方正小标宋_GBK" w:hAnsi="宋体" w:eastAsia="方正小标宋_GBK"/>
          <w:kern w:val="0"/>
          <w:sz w:val="44"/>
          <w:szCs w:val="44"/>
          <w:highlight w:val="none"/>
        </w:rPr>
        <w:t>昌吉州对口援疆工作领导小组办公室</w:t>
      </w:r>
    </w:p>
    <w:p>
      <w:pPr>
        <w:widowControl/>
        <w:spacing w:before="100" w:beforeAutospacing="1" w:after="100" w:afterAutospacing="1"/>
        <w:jc w:val="center"/>
        <w:outlineLvl w:val="1"/>
        <w:rPr>
          <w:rFonts w:ascii="方正小标宋_GBK" w:hAnsi="宋体" w:eastAsia="方正小标宋_GBK"/>
          <w:kern w:val="0"/>
          <w:sz w:val="44"/>
          <w:szCs w:val="44"/>
          <w:highlight w:val="none"/>
        </w:rPr>
      </w:pPr>
      <w:r>
        <w:rPr>
          <w:rFonts w:hint="eastAsia" w:ascii="方正小标宋_GBK" w:hAnsi="宋体" w:eastAsia="方正小标宋_GBK"/>
          <w:kern w:val="0"/>
          <w:sz w:val="44"/>
          <w:szCs w:val="44"/>
          <w:highlight w:val="none"/>
        </w:rPr>
        <w:t>202</w:t>
      </w:r>
      <w:r>
        <w:rPr>
          <w:rFonts w:hint="eastAsia" w:ascii="方正小标宋_GBK" w:hAnsi="宋体" w:eastAsia="方正小标宋_GBK"/>
          <w:kern w:val="0"/>
          <w:sz w:val="44"/>
          <w:szCs w:val="44"/>
          <w:highlight w:val="none"/>
          <w:lang w:val="en-US" w:eastAsia="zh-CN"/>
        </w:rPr>
        <w:t>2</w:t>
      </w:r>
      <w:r>
        <w:rPr>
          <w:rFonts w:hint="eastAsia" w:ascii="方正小标宋_GBK" w:hAnsi="宋体" w:eastAsia="方正小标宋_GBK"/>
          <w:kern w:val="0"/>
          <w:sz w:val="44"/>
          <w:szCs w:val="44"/>
          <w:highlight w:val="none"/>
        </w:rPr>
        <w:t>年</w:t>
      </w:r>
      <w:r>
        <w:rPr>
          <w:rFonts w:hint="eastAsia" w:ascii="方正小标宋_GBK" w:hAnsi="宋体" w:eastAsia="方正小标宋_GBK"/>
          <w:kern w:val="0"/>
          <w:sz w:val="44"/>
          <w:szCs w:val="44"/>
          <w:highlight w:val="none"/>
          <w:lang w:eastAsia="zh-CN"/>
        </w:rPr>
        <w:t>部门</w:t>
      </w:r>
      <w:r>
        <w:rPr>
          <w:rFonts w:hint="eastAsia" w:ascii="方正小标宋_GBK" w:hAnsi="宋体" w:eastAsia="方正小标宋_GBK"/>
          <w:kern w:val="0"/>
          <w:sz w:val="44"/>
          <w:szCs w:val="44"/>
          <w:highlight w:val="none"/>
        </w:rPr>
        <w:t>预算公开</w:t>
      </w:r>
    </w:p>
    <w:bookmarkEnd w:id="0"/>
    <w:p>
      <w:pPr>
        <w:widowControl/>
        <w:spacing w:line="440" w:lineRule="exact"/>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spacing w:line="560" w:lineRule="exact"/>
        <w:jc w:val="center"/>
        <w:rPr>
          <w:rFonts w:ascii="黑体" w:hAnsi="黑体" w:eastAsia="黑体" w:cs="黑体"/>
          <w:kern w:val="0"/>
          <w:sz w:val="32"/>
          <w:szCs w:val="32"/>
          <w:highlight w:val="none"/>
        </w:rPr>
      </w:pPr>
      <w:r>
        <w:rPr>
          <w:rFonts w:hint="eastAsia" w:ascii="黑体" w:hAnsi="黑体" w:eastAsia="黑体" w:cs="黑体"/>
          <w:kern w:val="0"/>
          <w:sz w:val="32"/>
          <w:szCs w:val="32"/>
          <w:highlight w:val="none"/>
        </w:rPr>
        <w:t>目 录</w:t>
      </w:r>
    </w:p>
    <w:p>
      <w:pPr>
        <w:spacing w:line="560" w:lineRule="exact"/>
        <w:ind w:firstLine="643" w:firstLineChars="200"/>
        <w:rPr>
          <w:rFonts w:ascii="仿宋_GB2312" w:hAnsi="仿宋_GB2312" w:eastAsia="仿宋_GB2312" w:cs="仿宋_GB2312"/>
          <w:b/>
          <w:kern w:val="0"/>
          <w:sz w:val="32"/>
          <w:szCs w:val="32"/>
          <w:highlight w:val="none"/>
        </w:rPr>
      </w:pP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 xml:space="preserve">第一部分 </w:t>
      </w:r>
      <w:r>
        <w:rPr>
          <w:rFonts w:hint="eastAsia" w:ascii="仿宋_GB2312" w:hAnsi="宋体" w:eastAsia="仿宋_GB2312"/>
          <w:b/>
          <w:kern w:val="0"/>
          <w:sz w:val="32"/>
          <w:szCs w:val="32"/>
          <w:highlight w:val="none"/>
        </w:rPr>
        <w:t>昌吉州对口援疆工作领导小组办公室</w:t>
      </w:r>
      <w:r>
        <w:rPr>
          <w:rFonts w:hint="eastAsia" w:ascii="仿宋_GB2312" w:hAnsi="仿宋_GB2312" w:eastAsia="仿宋_GB2312" w:cs="仿宋_GB2312"/>
          <w:b/>
          <w:kern w:val="0"/>
          <w:sz w:val="32"/>
          <w:szCs w:val="32"/>
          <w:highlight w:val="none"/>
        </w:rPr>
        <w:t>概况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一、主要职能</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二、机构设置及人员情况</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第二部分  2022年部门（单位）预算公开表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一、部门（单位）收支总体情况表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二、部门（单位）收入总体情况表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三、部门（单位）支出总体情况表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四、财政拨款收支总体情况表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五、一般公共预算支出情况表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六、一般公共预算基本支出情况表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七、一般公共预算</w:t>
      </w:r>
      <w:r>
        <w:rPr>
          <w:rFonts w:hint="eastAsia" w:ascii="仿宋_GB2312" w:hAnsi="仿宋_GB2312" w:eastAsia="仿宋_GB2312" w:cs="仿宋_GB2312"/>
          <w:bCs/>
          <w:kern w:val="0"/>
          <w:sz w:val="32"/>
          <w:szCs w:val="32"/>
          <w:highlight w:val="none"/>
        </w:rPr>
        <w:t>项目支出情况表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八、一般公共预算“三公”经费支出情况表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九、政府性基金预算支出情况表</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第三部分  2022年部门（单位）预算情况说明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一、关于昌吉州对口援疆工作领导小组办公室2022年收支预算情况的总体说明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二、关于昌吉州对口援疆工作领导小组办公室2022年收入预算情况说明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三、关于昌吉州对口援疆工作领导小组办公室2022年支出预算情况说明</w:t>
      </w:r>
    </w:p>
    <w:p>
      <w:pPr>
        <w:spacing w:line="560" w:lineRule="exact"/>
        <w:ind w:firstLine="640" w:firstLineChars="200"/>
        <w:rPr>
          <w:rFonts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四、关于</w:t>
      </w:r>
      <w:r>
        <w:rPr>
          <w:rFonts w:hint="eastAsia" w:ascii="仿宋_GB2312" w:hAnsi="仿宋_GB2312" w:eastAsia="仿宋_GB2312" w:cs="仿宋_GB2312"/>
          <w:kern w:val="0"/>
          <w:sz w:val="32"/>
          <w:szCs w:val="32"/>
          <w:highlight w:val="none"/>
        </w:rPr>
        <w:t>昌吉州对口援疆工作领导小组办公室2022</w:t>
      </w:r>
      <w:r>
        <w:rPr>
          <w:rFonts w:hint="eastAsia" w:ascii="仿宋_GB2312" w:hAnsi="仿宋_GB2312" w:eastAsia="仿宋_GB2312" w:cs="仿宋_GB2312"/>
          <w:bCs/>
          <w:kern w:val="0"/>
          <w:sz w:val="32"/>
          <w:szCs w:val="32"/>
          <w:highlight w:val="none"/>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highlight w:val="none"/>
        </w:rPr>
      </w:pPr>
      <w:r>
        <w:rPr>
          <w:rFonts w:hint="eastAsia" w:ascii="仿宋_GB2312" w:hAnsi="仿宋_GB2312" w:eastAsia="仿宋_GB2312" w:cs="仿宋_GB2312"/>
          <w:kern w:val="0"/>
          <w:sz w:val="32"/>
          <w:szCs w:val="32"/>
          <w:highlight w:val="none"/>
        </w:rPr>
        <w:t>五、</w:t>
      </w:r>
      <w:r>
        <w:rPr>
          <w:rFonts w:hint="eastAsia" w:ascii="仿宋_GB2312" w:hAnsi="仿宋_GB2312" w:eastAsia="仿宋_GB2312" w:cs="仿宋_GB2312"/>
          <w:spacing w:val="-6"/>
          <w:kern w:val="0"/>
          <w:sz w:val="32"/>
          <w:szCs w:val="32"/>
          <w:highlight w:val="none"/>
        </w:rPr>
        <w:t>关于</w:t>
      </w:r>
      <w:r>
        <w:rPr>
          <w:rFonts w:hint="eastAsia" w:ascii="仿宋_GB2312" w:hAnsi="仿宋_GB2312" w:eastAsia="仿宋_GB2312" w:cs="仿宋_GB2312"/>
          <w:kern w:val="0"/>
          <w:sz w:val="32"/>
          <w:szCs w:val="32"/>
          <w:highlight w:val="none"/>
        </w:rPr>
        <w:t>昌吉州对口援疆工作领导小组办公室2022</w:t>
      </w:r>
      <w:r>
        <w:rPr>
          <w:rFonts w:hint="eastAsia" w:ascii="仿宋_GB2312" w:hAnsi="仿宋_GB2312" w:eastAsia="仿宋_GB2312" w:cs="仿宋_GB2312"/>
          <w:spacing w:val="-6"/>
          <w:kern w:val="0"/>
          <w:sz w:val="32"/>
          <w:szCs w:val="32"/>
          <w:highlight w:val="none"/>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highlight w:val="none"/>
        </w:rPr>
      </w:pPr>
      <w:r>
        <w:rPr>
          <w:rFonts w:hint="eastAsia" w:ascii="仿宋_GB2312" w:hAnsi="仿宋_GB2312" w:eastAsia="仿宋_GB2312" w:cs="仿宋_GB2312"/>
          <w:kern w:val="0"/>
          <w:sz w:val="32"/>
          <w:szCs w:val="32"/>
          <w:highlight w:val="none"/>
        </w:rPr>
        <w:t>六、</w:t>
      </w:r>
      <w:r>
        <w:rPr>
          <w:rFonts w:hint="eastAsia" w:ascii="仿宋_GB2312" w:hAnsi="仿宋_GB2312" w:eastAsia="仿宋_GB2312" w:cs="仿宋_GB2312"/>
          <w:spacing w:val="-6"/>
          <w:kern w:val="0"/>
          <w:sz w:val="32"/>
          <w:szCs w:val="32"/>
          <w:highlight w:val="none"/>
        </w:rPr>
        <w:t>关于</w:t>
      </w:r>
      <w:r>
        <w:rPr>
          <w:rFonts w:hint="eastAsia" w:ascii="仿宋_GB2312" w:hAnsi="仿宋_GB2312" w:eastAsia="仿宋_GB2312" w:cs="仿宋_GB2312"/>
          <w:kern w:val="0"/>
          <w:sz w:val="32"/>
          <w:szCs w:val="32"/>
          <w:highlight w:val="none"/>
        </w:rPr>
        <w:t>昌吉州对口援疆工作领导小组办公室2022</w:t>
      </w:r>
      <w:r>
        <w:rPr>
          <w:rFonts w:hint="eastAsia" w:ascii="仿宋_GB2312" w:hAnsi="仿宋_GB2312" w:eastAsia="仿宋_GB2312" w:cs="仿宋_GB2312"/>
          <w:spacing w:val="-6"/>
          <w:kern w:val="0"/>
          <w:sz w:val="32"/>
          <w:szCs w:val="32"/>
          <w:highlight w:val="none"/>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highlight w:val="none"/>
        </w:rPr>
      </w:pPr>
      <w:r>
        <w:rPr>
          <w:rFonts w:hint="eastAsia" w:ascii="仿宋_GB2312" w:hAnsi="仿宋_GB2312" w:eastAsia="仿宋_GB2312" w:cs="仿宋_GB2312"/>
          <w:kern w:val="0"/>
          <w:sz w:val="32"/>
          <w:szCs w:val="32"/>
          <w:highlight w:val="none"/>
        </w:rPr>
        <w:t>七、</w:t>
      </w:r>
      <w:r>
        <w:rPr>
          <w:rFonts w:hint="eastAsia" w:ascii="仿宋_GB2312" w:hAnsi="仿宋_GB2312" w:eastAsia="仿宋_GB2312" w:cs="仿宋_GB2312"/>
          <w:spacing w:val="-6"/>
          <w:kern w:val="0"/>
          <w:sz w:val="32"/>
          <w:szCs w:val="32"/>
          <w:highlight w:val="none"/>
        </w:rPr>
        <w:t>关于</w:t>
      </w:r>
      <w:r>
        <w:rPr>
          <w:rFonts w:hint="eastAsia" w:ascii="仿宋_GB2312" w:hAnsi="仿宋_GB2312" w:eastAsia="仿宋_GB2312" w:cs="仿宋_GB2312"/>
          <w:kern w:val="0"/>
          <w:sz w:val="32"/>
          <w:szCs w:val="32"/>
          <w:highlight w:val="none"/>
        </w:rPr>
        <w:t>昌吉州对口援疆工作领导小组办公室2022</w:t>
      </w:r>
      <w:r>
        <w:rPr>
          <w:rFonts w:hint="eastAsia" w:ascii="仿宋_GB2312" w:hAnsi="仿宋_GB2312" w:eastAsia="仿宋_GB2312" w:cs="仿宋_GB2312"/>
          <w:spacing w:val="-6"/>
          <w:kern w:val="0"/>
          <w:sz w:val="32"/>
          <w:szCs w:val="32"/>
          <w:highlight w:val="none"/>
        </w:rPr>
        <w:t>年一般公共预算项目支出情况说明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八、关于昌吉州对口援疆工作领导小组办公室2022年一般公共预算“三公”经费预算情况说明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九、关于昌吉州对口援疆工作领导小组办公室2022年政府性基金预算拨款情况说明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十、其他重要事项的情况说明</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第四部分  名词解释</w:t>
      </w:r>
    </w:p>
    <w:p>
      <w:pPr>
        <w:spacing w:line="600" w:lineRule="exact"/>
        <w:ind w:firstLine="640" w:firstLineChars="200"/>
        <w:rPr>
          <w:rFonts w:ascii="仿宋_GB2312" w:hAnsi="仿宋_GB2312" w:eastAsia="仿宋_GB2312" w:cs="仿宋_GB2312"/>
          <w:kern w:val="0"/>
          <w:sz w:val="32"/>
          <w:szCs w:val="32"/>
          <w:highlight w:val="none"/>
        </w:rPr>
        <w:sectPr>
          <w:footerReference r:id="rId3"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第一部分   昌吉州对口援疆工作领导小组办公室概况</w:t>
      </w:r>
    </w:p>
    <w:p>
      <w:pPr>
        <w:widowControl/>
        <w:spacing w:line="540" w:lineRule="exact"/>
        <w:jc w:val="center"/>
        <w:outlineLvl w:val="1"/>
        <w:rPr>
          <w:rFonts w:ascii="宋体" w:hAnsi="宋体"/>
          <w:b/>
          <w:kern w:val="0"/>
          <w:sz w:val="32"/>
          <w:szCs w:val="32"/>
          <w:highlight w:val="none"/>
        </w:rPr>
      </w:pPr>
    </w:p>
    <w:p>
      <w:pPr>
        <w:widowControl/>
        <w:spacing w:line="540" w:lineRule="exact"/>
        <w:ind w:firstLine="643" w:firstLineChars="200"/>
        <w:jc w:val="left"/>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一、主要职能</w:t>
      </w:r>
    </w:p>
    <w:p>
      <w:pPr>
        <w:widowControl/>
        <w:spacing w:line="560" w:lineRule="exact"/>
        <w:jc w:val="left"/>
        <w:rPr>
          <w:rFonts w:ascii="仿宋_GB2312" w:hAnsi="宋体" w:eastAsia="仿宋_GB2312" w:cs="宋体"/>
          <w:bCs/>
          <w:kern w:val="0"/>
          <w:sz w:val="32"/>
          <w:szCs w:val="32"/>
          <w:highlight w:val="none"/>
        </w:rPr>
      </w:pPr>
      <w:r>
        <w:rPr>
          <w:rFonts w:hint="eastAsia" w:ascii="黑体" w:hAnsi="黑体" w:eastAsia="黑体" w:cs="宋体"/>
          <w:bCs/>
          <w:kern w:val="0"/>
          <w:sz w:val="32"/>
          <w:szCs w:val="32"/>
          <w:highlight w:val="none"/>
        </w:rPr>
        <w:t xml:space="preserve">   </w:t>
      </w:r>
      <w:r>
        <w:rPr>
          <w:rFonts w:hint="eastAsia" w:ascii="仿宋_GB2312" w:hAnsi="黑体" w:eastAsia="仿宋_GB2312" w:cs="宋体"/>
          <w:bCs/>
          <w:kern w:val="0"/>
          <w:sz w:val="32"/>
          <w:szCs w:val="32"/>
          <w:highlight w:val="none"/>
        </w:rPr>
        <w:t xml:space="preserve"> </w:t>
      </w:r>
      <w:r>
        <w:rPr>
          <w:rFonts w:hint="eastAsia" w:ascii="仿宋_GB2312" w:hAnsi="仿宋_GB2312" w:eastAsia="仿宋_GB2312" w:cs="仿宋_GB2312"/>
          <w:sz w:val="32"/>
          <w:szCs w:val="32"/>
          <w:highlight w:val="none"/>
        </w:rPr>
        <w:t>根据《关于成立自治州对口援疆工作领导小组办公室的通知》（昌州党机编发〔20</w:t>
      </w:r>
      <w:r>
        <w:rPr>
          <w:rFonts w:hint="eastAsia" w:ascii="仿宋_GB2312" w:hAnsi="黑体" w:eastAsia="仿宋_GB2312" w:cs="宋体"/>
          <w:bCs/>
          <w:kern w:val="0"/>
          <w:sz w:val="32"/>
          <w:szCs w:val="32"/>
          <w:highlight w:val="none"/>
          <w:lang w:eastAsia="zh-CN"/>
        </w:rPr>
        <w:t>12〕34号），成立昌吉回族自治州对口援疆工作领导小组办公室，主要负责自治</w:t>
      </w:r>
      <w:r>
        <w:rPr>
          <w:rFonts w:hint="eastAsia" w:ascii="仿宋_GB2312" w:hAnsi="仿宋_GB2312" w:eastAsia="仿宋_GB2312" w:cs="仿宋_GB2312"/>
          <w:sz w:val="32"/>
          <w:szCs w:val="32"/>
          <w:highlight w:val="none"/>
        </w:rPr>
        <w:t>州对口援疆领导小组的日常事务，负责援疆事项的组织协调工作。</w:t>
      </w:r>
      <w:r>
        <w:rPr>
          <w:rFonts w:hint="eastAsia" w:ascii="仿宋_GB2312" w:hAnsi="宋体" w:eastAsia="仿宋_GB2312" w:cs="宋体"/>
          <w:bCs/>
          <w:kern w:val="0"/>
          <w:sz w:val="32"/>
          <w:szCs w:val="32"/>
          <w:highlight w:val="none"/>
        </w:rPr>
        <w:t xml:space="preserve"> </w:t>
      </w:r>
    </w:p>
    <w:p>
      <w:pPr>
        <w:widowControl/>
        <w:spacing w:line="540" w:lineRule="exact"/>
        <w:ind w:firstLine="643" w:firstLineChars="200"/>
        <w:jc w:val="left"/>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二、机构设置及人员情况</w:t>
      </w:r>
    </w:p>
    <w:p>
      <w:pPr>
        <w:widowControl/>
        <w:spacing w:line="56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cs="宋体"/>
          <w:bCs/>
          <w:kern w:val="0"/>
          <w:sz w:val="32"/>
          <w:szCs w:val="32"/>
          <w:highlight w:val="none"/>
          <w:lang w:eastAsia="zh-CN"/>
        </w:rPr>
        <w:t>昌吉州援疆办</w:t>
      </w:r>
      <w:r>
        <w:rPr>
          <w:rFonts w:hint="eastAsia" w:ascii="仿宋_GB2312" w:hAnsi="黑体" w:eastAsia="仿宋_GB2312" w:cs="宋体"/>
          <w:bCs/>
          <w:kern w:val="0"/>
          <w:sz w:val="32"/>
          <w:szCs w:val="32"/>
          <w:highlight w:val="none"/>
        </w:rPr>
        <w:t>无下属预算单位，下设3个科室，分别是：综合业务科、援疆项目科、产业援疆科。</w:t>
      </w:r>
    </w:p>
    <w:p>
      <w:pPr>
        <w:widowControl/>
        <w:spacing w:line="560" w:lineRule="exact"/>
        <w:ind w:firstLine="640"/>
        <w:jc w:val="left"/>
        <w:rPr>
          <w:rFonts w:ascii="仿宋_GB2312" w:hAnsi="宋体" w:eastAsia="仿宋_GB2312" w:cs="宋体"/>
          <w:color w:val="0000FF"/>
          <w:kern w:val="0"/>
          <w:sz w:val="32"/>
          <w:szCs w:val="32"/>
          <w:highlight w:val="none"/>
        </w:rPr>
      </w:pPr>
      <w:r>
        <w:rPr>
          <w:rFonts w:hint="eastAsia" w:ascii="仿宋_GB2312" w:hAnsi="黑体" w:eastAsia="仿宋_GB2312" w:cs="宋体"/>
          <w:bCs/>
          <w:kern w:val="0"/>
          <w:sz w:val="32"/>
          <w:szCs w:val="32"/>
          <w:highlight w:val="none"/>
          <w:lang w:eastAsia="zh-CN"/>
        </w:rPr>
        <w:t>昌吉州援疆办</w:t>
      </w:r>
      <w:r>
        <w:rPr>
          <w:rFonts w:hint="eastAsia" w:ascii="仿宋_GB2312" w:hAnsi="宋体" w:eastAsia="仿宋_GB2312" w:cs="宋体"/>
          <w:kern w:val="0"/>
          <w:sz w:val="32"/>
          <w:szCs w:val="32"/>
          <w:highlight w:val="none"/>
        </w:rPr>
        <w:t>编制数8，实有人数</w:t>
      </w:r>
      <w:r>
        <w:rPr>
          <w:rFonts w:hint="eastAsia" w:ascii="仿宋_GB2312" w:hAnsi="宋体" w:eastAsia="仿宋_GB2312" w:cs="宋体"/>
          <w:kern w:val="0"/>
          <w:sz w:val="32"/>
          <w:szCs w:val="32"/>
          <w:highlight w:val="none"/>
          <w:lang w:val="en-US" w:eastAsia="zh-CN"/>
        </w:rPr>
        <w:t>7</w:t>
      </w:r>
      <w:r>
        <w:rPr>
          <w:rFonts w:hint="eastAsia" w:ascii="仿宋_GB2312" w:hAnsi="宋体" w:eastAsia="仿宋_GB2312" w:cs="宋体"/>
          <w:kern w:val="0"/>
          <w:sz w:val="32"/>
          <w:szCs w:val="32"/>
          <w:highlight w:val="none"/>
        </w:rPr>
        <w:t>人，其中：在职</w:t>
      </w:r>
      <w:r>
        <w:rPr>
          <w:rFonts w:hint="eastAsia" w:ascii="仿宋_GB2312" w:hAnsi="宋体" w:eastAsia="仿宋_GB2312" w:cs="宋体"/>
          <w:kern w:val="0"/>
          <w:sz w:val="32"/>
          <w:szCs w:val="32"/>
          <w:highlight w:val="none"/>
          <w:lang w:val="en-US" w:eastAsia="zh-CN"/>
        </w:rPr>
        <w:t>7</w:t>
      </w:r>
      <w:r>
        <w:rPr>
          <w:rFonts w:hint="eastAsia" w:ascii="仿宋_GB2312" w:hAnsi="宋体" w:eastAsia="仿宋_GB2312" w:cs="宋体"/>
          <w:kern w:val="0"/>
          <w:sz w:val="32"/>
          <w:szCs w:val="32"/>
          <w:highlight w:val="none"/>
        </w:rPr>
        <w:t>人，减少</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人； 退休0人，增加0人；离休0人，增加 0人。</w:t>
      </w:r>
    </w:p>
    <w:p>
      <w:pPr>
        <w:widowControl/>
        <w:spacing w:line="540" w:lineRule="exact"/>
        <w:ind w:firstLine="640"/>
        <w:jc w:val="left"/>
        <w:rPr>
          <w:rFonts w:ascii="仿宋_GB2312" w:hAnsi="宋体" w:eastAsia="仿宋_GB2312" w:cs="宋体"/>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pStyle w:val="2"/>
        <w:rPr>
          <w:rFonts w:hint="eastAsia"/>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 xml:space="preserve">第二部分  </w:t>
      </w:r>
      <w:r>
        <w:rPr>
          <w:rFonts w:ascii="黑体" w:hAnsi="黑体" w:eastAsia="黑体"/>
          <w:kern w:val="0"/>
          <w:sz w:val="32"/>
          <w:szCs w:val="32"/>
          <w:highlight w:val="none"/>
        </w:rPr>
        <w:t>2022</w:t>
      </w:r>
      <w:r>
        <w:rPr>
          <w:rFonts w:hint="eastAsia" w:ascii="黑体" w:hAnsi="黑体" w:eastAsia="黑体"/>
          <w:kern w:val="0"/>
          <w:sz w:val="32"/>
          <w:szCs w:val="32"/>
          <w:highlight w:val="none"/>
        </w:rPr>
        <w:t>年部门（单位）预算公开表</w:t>
      </w:r>
    </w:p>
    <w:p>
      <w:pPr>
        <w:widowControl/>
        <w:spacing w:line="240" w:lineRule="exact"/>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表1</w:t>
      </w:r>
    </w:p>
    <w:p>
      <w:pPr>
        <w:widowControl/>
        <w:spacing w:line="360" w:lineRule="exact"/>
        <w:jc w:val="center"/>
        <w:outlineLvl w:val="1"/>
        <w:rPr>
          <w:rFonts w:hint="eastAsia"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部门（单位）收支总体情况表</w:t>
      </w:r>
    </w:p>
    <w:p>
      <w:pPr>
        <w:widowControl/>
        <w:spacing w:line="360" w:lineRule="exact"/>
        <w:jc w:val="center"/>
        <w:outlineLvl w:val="1"/>
        <w:rPr>
          <w:rFonts w:hint="eastAsia" w:ascii="仿宋_GB2312" w:hAnsi="宋体" w:eastAsia="仿宋_GB2312"/>
          <w:b/>
          <w:kern w:val="0"/>
          <w:sz w:val="32"/>
          <w:szCs w:val="32"/>
          <w:highlight w:val="none"/>
        </w:rPr>
      </w:pPr>
    </w:p>
    <w:p>
      <w:pPr>
        <w:widowControl/>
        <w:spacing w:line="440" w:lineRule="exact"/>
        <w:outlineLvl w:val="1"/>
        <w:rPr>
          <w:rFonts w:ascii="仿宋_GB2312" w:hAnsi="宋体" w:eastAsia="仿宋_GB2312"/>
          <w:b/>
          <w:kern w:val="0"/>
          <w:sz w:val="32"/>
          <w:szCs w:val="32"/>
          <w:highlight w:val="none"/>
        </w:rPr>
      </w:pPr>
      <w:r>
        <w:rPr>
          <w:rFonts w:hint="eastAsia" w:ascii="仿宋_GB2312" w:hAnsi="宋体" w:eastAsia="仿宋_GB2312"/>
          <w:kern w:val="0"/>
          <w:sz w:val="24"/>
          <w:highlight w:val="none"/>
        </w:rPr>
        <w:t>编制部门（单位）： 昌吉州对口援疆工作领导小组办公室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收     入</w:t>
            </w:r>
          </w:p>
        </w:tc>
        <w:tc>
          <w:tcPr>
            <w:tcW w:w="4394" w:type="dxa"/>
            <w:gridSpan w:val="2"/>
            <w:tcBorders>
              <w:top w:val="single" w:color="auto" w:sz="4" w:space="0"/>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198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c>
          <w:tcPr>
            <w:tcW w:w="269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功能分类</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198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宋体" w:hAnsi="宋体" w:cs="宋体"/>
                <w:kern w:val="0"/>
                <w:sz w:val="18"/>
                <w:szCs w:val="18"/>
                <w:highlight w:val="none"/>
              </w:rPr>
              <w:t>190.41</w:t>
            </w: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宋体" w:hAnsi="宋体" w:cs="宋体"/>
                <w:kern w:val="0"/>
                <w:sz w:val="18"/>
                <w:szCs w:val="18"/>
                <w:highlight w:val="none"/>
              </w:rPr>
              <w:t>166.30</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一般公共预算</w:t>
            </w:r>
          </w:p>
        </w:tc>
        <w:tc>
          <w:tcPr>
            <w:tcW w:w="198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政府性基金预算</w:t>
            </w:r>
          </w:p>
        </w:tc>
        <w:tc>
          <w:tcPr>
            <w:tcW w:w="198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国有资本经营预算</w:t>
            </w:r>
          </w:p>
        </w:tc>
        <w:tc>
          <w:tcPr>
            <w:tcW w:w="198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财政专户（教育收费）</w:t>
            </w:r>
          </w:p>
        </w:tc>
        <w:tc>
          <w:tcPr>
            <w:tcW w:w="198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事业收入</w:t>
            </w:r>
          </w:p>
        </w:tc>
        <w:tc>
          <w:tcPr>
            <w:tcW w:w="198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事业单位经营收入</w:t>
            </w:r>
          </w:p>
        </w:tc>
        <w:tc>
          <w:tcPr>
            <w:tcW w:w="198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单位其他资金收入</w:t>
            </w:r>
          </w:p>
        </w:tc>
        <w:tc>
          <w:tcPr>
            <w:tcW w:w="198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宋体" w:hAnsi="宋体" w:cs="宋体"/>
                <w:kern w:val="0"/>
                <w:sz w:val="18"/>
                <w:szCs w:val="18"/>
                <w:highlight w:val="none"/>
              </w:rPr>
              <w:t>8.91</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209 社会保险基金支出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210卫生健康支出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宋体" w:hAnsi="宋体" w:cs="宋体"/>
                <w:kern w:val="0"/>
                <w:sz w:val="18"/>
                <w:szCs w:val="18"/>
                <w:highlight w:val="none"/>
              </w:rPr>
              <w:t>7.00</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211 节能环保支出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资源勘探信息等支出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宋体" w:hAnsi="宋体" w:cs="宋体"/>
                <w:kern w:val="0"/>
                <w:sz w:val="18"/>
                <w:szCs w:val="18"/>
                <w:highlight w:val="none"/>
              </w:rPr>
              <w:t>8.20</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粮油物资储备支出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227 预备费</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230转移性支出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债务发行费用支出</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p>
        </w:tc>
        <w:tc>
          <w:tcPr>
            <w:tcW w:w="198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p>
        </w:tc>
        <w:tc>
          <w:tcPr>
            <w:tcW w:w="269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textAlignment w:val="center"/>
              <w:rPr>
                <w:rFonts w:hint="default" w:ascii="宋体" w:hAnsi="宋体" w:cs="宋体"/>
                <w:color w:val="000000"/>
                <w:sz w:val="18"/>
                <w:szCs w:val="18"/>
                <w:highlight w:val="none"/>
              </w:rPr>
            </w:pPr>
            <w:r>
              <w:rPr>
                <w:rFonts w:hint="eastAsia" w:ascii="仿宋_GB2312" w:hAnsi="宋体" w:eastAsia="仿宋_GB2312" w:cs="宋体"/>
                <w:color w:val="000000"/>
                <w:kern w:val="0"/>
                <w:sz w:val="18"/>
                <w:szCs w:val="18"/>
                <w:highlight w:val="none"/>
                <w:lang w:bidi="ar"/>
              </w:rPr>
              <w:t>234 抗疫特别国债还本支出</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20"/>
                <w:szCs w:val="20"/>
                <w:highlight w:val="none"/>
              </w:rPr>
            </w:pPr>
          </w:p>
        </w:tc>
        <w:tc>
          <w:tcPr>
            <w:tcW w:w="198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p>
        </w:tc>
        <w:tc>
          <w:tcPr>
            <w:tcW w:w="2693"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textAlignment w:val="center"/>
              <w:rPr>
                <w:rFonts w:hint="default" w:ascii="仿宋_GB2312" w:hAnsi="宋体" w:eastAsia="仿宋_GB2312" w:cs="宋体"/>
                <w:kern w:val="0"/>
                <w:sz w:val="18"/>
                <w:szCs w:val="18"/>
                <w:highlight w:val="none"/>
                <w:lang w:bidi="ar"/>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收  入  总  计</w:t>
            </w:r>
          </w:p>
        </w:tc>
        <w:tc>
          <w:tcPr>
            <w:tcW w:w="198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宋体" w:hAnsi="宋体" w:cs="宋体"/>
                <w:kern w:val="0"/>
                <w:sz w:val="18"/>
                <w:szCs w:val="18"/>
                <w:highlight w:val="none"/>
              </w:rPr>
              <w:t>190.41</w:t>
            </w: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总  计</w:t>
            </w:r>
          </w:p>
        </w:tc>
        <w:tc>
          <w:tcPr>
            <w:tcW w:w="170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kern w:val="0"/>
                <w:sz w:val="18"/>
                <w:szCs w:val="18"/>
                <w:highlight w:val="none"/>
              </w:rPr>
            </w:pPr>
            <w:r>
              <w:rPr>
                <w:rFonts w:hint="eastAsia" w:ascii="宋体" w:hAnsi="宋体" w:cs="宋体"/>
                <w:kern w:val="0"/>
                <w:sz w:val="18"/>
                <w:szCs w:val="18"/>
                <w:highlight w:val="none"/>
              </w:rPr>
              <w:t>190.41</w:t>
            </w:r>
            <w:r>
              <w:rPr>
                <w:rFonts w:hint="eastAsia" w:ascii="仿宋_GB2312" w:hAnsi="宋体" w:eastAsia="仿宋_GB2312" w:cs="宋体"/>
                <w:kern w:val="0"/>
                <w:sz w:val="18"/>
                <w:szCs w:val="18"/>
                <w:highlight w:val="none"/>
              </w:rPr>
              <w:t>　</w:t>
            </w:r>
          </w:p>
        </w:tc>
      </w:tr>
    </w:tbl>
    <w:p>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表2</w:t>
      </w:r>
    </w:p>
    <w:p>
      <w:pPr>
        <w:widowControl/>
        <w:spacing w:line="440" w:lineRule="exact"/>
        <w:jc w:val="center"/>
        <w:outlineLvl w:val="1"/>
        <w:rPr>
          <w:rFonts w:hint="eastAsia" w:ascii="方正小标宋_GBK" w:hAnsi="方正小标宋_GBK" w:eastAsia="方正小标宋_GBK" w:cs="方正小标宋_GBK"/>
          <w:bCs/>
          <w:kern w:val="0"/>
          <w:sz w:val="36"/>
          <w:szCs w:val="36"/>
          <w:highlight w:val="none"/>
        </w:rPr>
      </w:pPr>
      <w:r>
        <w:rPr>
          <w:rFonts w:hint="eastAsia" w:ascii="方正小标宋_GBK" w:hAnsi="方正小标宋_GBK" w:eastAsia="方正小标宋_GBK" w:cs="方正小标宋_GBK"/>
          <w:bCs/>
          <w:kern w:val="0"/>
          <w:sz w:val="36"/>
          <w:szCs w:val="36"/>
          <w:highlight w:val="none"/>
        </w:rPr>
        <w:t>部门（单位）收入总体情况表</w:t>
      </w:r>
    </w:p>
    <w:p>
      <w:pPr>
        <w:widowControl/>
        <w:spacing w:line="440" w:lineRule="exact"/>
        <w:jc w:val="center"/>
        <w:outlineLvl w:val="1"/>
        <w:rPr>
          <w:rFonts w:hint="eastAsia" w:ascii="方正小标宋_GBK" w:hAnsi="方正小标宋_GBK" w:eastAsia="方正小标宋_GBK" w:cs="方正小标宋_GBK"/>
          <w:bCs/>
          <w:kern w:val="0"/>
          <w:sz w:val="36"/>
          <w:szCs w:val="36"/>
          <w:highlight w:val="none"/>
        </w:rPr>
      </w:pPr>
    </w:p>
    <w:p>
      <w:pPr>
        <w:widowControl/>
        <w:spacing w:line="44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 昌吉州对口援疆工作领导小组办公室           单位：万元</w:t>
      </w:r>
    </w:p>
    <w:tbl>
      <w:tblPr>
        <w:tblStyle w:val="6"/>
        <w:tblW w:w="9741" w:type="dxa"/>
        <w:tblInd w:w="-450" w:type="dxa"/>
        <w:tblLayout w:type="fixed"/>
        <w:tblCellMar>
          <w:top w:w="0" w:type="dxa"/>
          <w:left w:w="108" w:type="dxa"/>
          <w:bottom w:w="0" w:type="dxa"/>
          <w:right w:w="108" w:type="dxa"/>
        </w:tblCellMar>
      </w:tblPr>
      <w:tblGrid>
        <w:gridCol w:w="580"/>
        <w:gridCol w:w="450"/>
        <w:gridCol w:w="462"/>
        <w:gridCol w:w="1904"/>
        <w:gridCol w:w="1018"/>
        <w:gridCol w:w="850"/>
        <w:gridCol w:w="709"/>
        <w:gridCol w:w="795"/>
        <w:gridCol w:w="921"/>
        <w:gridCol w:w="660"/>
        <w:gridCol w:w="708"/>
        <w:gridCol w:w="684"/>
      </w:tblGrid>
      <w:tr>
        <w:tblPrEx>
          <w:tblCellMar>
            <w:top w:w="0" w:type="dxa"/>
            <w:left w:w="108" w:type="dxa"/>
            <w:bottom w:w="0" w:type="dxa"/>
            <w:right w:w="108" w:type="dxa"/>
          </w:tblCellMar>
        </w:tblPrEx>
        <w:trPr>
          <w:trHeight w:val="510" w:hRule="atLeast"/>
        </w:trPr>
        <w:tc>
          <w:tcPr>
            <w:tcW w:w="1492"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功能分类科目编码</w:t>
            </w:r>
          </w:p>
        </w:tc>
        <w:tc>
          <w:tcPr>
            <w:tcW w:w="1904" w:type="dxa"/>
            <w:vMerge w:val="restart"/>
            <w:tcBorders>
              <w:top w:val="single" w:color="auto" w:sz="4" w:space="0"/>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单位其他资金收入</w:t>
            </w:r>
          </w:p>
        </w:tc>
      </w:tr>
      <w:tr>
        <w:tblPrEx>
          <w:tblCellMar>
            <w:top w:w="0" w:type="dxa"/>
            <w:left w:w="108" w:type="dxa"/>
            <w:bottom w:w="0" w:type="dxa"/>
            <w:right w:w="108" w:type="dxa"/>
          </w:tblCellMar>
        </w:tblPrEx>
        <w:trPr>
          <w:trHeight w:val="1870" w:hRule="atLeast"/>
        </w:trPr>
        <w:tc>
          <w:tcPr>
            <w:tcW w:w="580" w:type="dxa"/>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right"/>
              <w:rPr>
                <w:rFonts w:hint="default"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类</w:t>
            </w:r>
          </w:p>
        </w:tc>
        <w:tc>
          <w:tcPr>
            <w:tcW w:w="450"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right"/>
              <w:rPr>
                <w:rFonts w:hint="default"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款</w:t>
            </w:r>
          </w:p>
        </w:tc>
        <w:tc>
          <w:tcPr>
            <w:tcW w:w="462"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right"/>
              <w:rPr>
                <w:rFonts w:hint="default"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项</w:t>
            </w:r>
          </w:p>
        </w:tc>
        <w:tc>
          <w:tcPr>
            <w:tcW w:w="1904" w:type="dxa"/>
            <w:vMerge w:val="continue"/>
            <w:tcBorders>
              <w:top w:val="single" w:color="auto" w:sz="4" w:space="0"/>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rPr>
                <w:rFonts w:hint="default" w:ascii="仿宋_GB2312" w:hAnsi="宋体" w:eastAsia="仿宋_GB2312" w:cs="宋体"/>
                <w:color w:val="000000"/>
                <w:sz w:val="20"/>
                <w:szCs w:val="20"/>
                <w:highlight w:val="none"/>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rPr>
                <w:rFonts w:hint="default" w:ascii="仿宋_GB2312" w:hAnsi="宋体" w:eastAsia="仿宋_GB2312" w:cs="宋体"/>
                <w:color w:val="000000"/>
                <w:sz w:val="20"/>
                <w:szCs w:val="20"/>
                <w:highlight w:val="none"/>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rPr>
                <w:rFonts w:hint="default" w:ascii="仿宋_GB2312" w:hAnsi="宋体" w:eastAsia="仿宋_GB2312" w:cs="宋体"/>
                <w:color w:val="000000"/>
                <w:sz w:val="20"/>
                <w:szCs w:val="20"/>
                <w:highlight w:val="none"/>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rPr>
                <w:rFonts w:hint="default" w:ascii="仿宋_GB2312" w:hAnsi="宋体" w:eastAsia="仿宋_GB2312" w:cs="宋体"/>
                <w:color w:val="000000"/>
                <w:sz w:val="20"/>
                <w:szCs w:val="20"/>
                <w:highlight w:val="none"/>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rPr>
                <w:rFonts w:hint="default" w:ascii="仿宋_GB2312" w:hAnsi="宋体" w:eastAsia="仿宋_GB2312" w:cs="宋体"/>
                <w:color w:val="000000"/>
                <w:sz w:val="20"/>
                <w:szCs w:val="20"/>
                <w:highlight w:val="none"/>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rPr>
                <w:rFonts w:hint="default" w:ascii="仿宋_GB2312" w:hAnsi="宋体" w:eastAsia="仿宋_GB2312" w:cs="宋体"/>
                <w:color w:val="000000"/>
                <w:sz w:val="20"/>
                <w:szCs w:val="20"/>
                <w:highlight w:val="none"/>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rPr>
                <w:rFonts w:hint="default" w:ascii="仿宋_GB2312" w:hAnsi="宋体" w:eastAsia="仿宋_GB2312" w:cs="宋体"/>
                <w:color w:val="000000"/>
                <w:sz w:val="20"/>
                <w:szCs w:val="20"/>
                <w:highlight w:val="none"/>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rPr>
                <w:rFonts w:hint="default" w:ascii="仿宋_GB2312" w:hAnsi="宋体" w:eastAsia="仿宋_GB2312" w:cs="宋体"/>
                <w:color w:val="000000"/>
                <w:sz w:val="20"/>
                <w:szCs w:val="20"/>
                <w:highlight w:val="none"/>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rPr>
                <w:rFonts w:hint="default" w:ascii="仿宋_GB2312" w:hAnsi="宋体" w:eastAsia="仿宋_GB2312" w:cs="宋体"/>
                <w:color w:val="000000"/>
                <w:sz w:val="20"/>
                <w:szCs w:val="20"/>
                <w:highlight w:val="none"/>
              </w:rPr>
            </w:pPr>
          </w:p>
        </w:tc>
      </w:tr>
      <w:tr>
        <w:tblPrEx>
          <w:tblCellMar>
            <w:top w:w="0" w:type="dxa"/>
            <w:left w:w="108" w:type="dxa"/>
            <w:bottom w:w="0" w:type="dxa"/>
            <w:right w:w="108" w:type="dxa"/>
          </w:tblCellMar>
        </w:tblPrEx>
        <w:trPr>
          <w:trHeight w:val="465" w:hRule="atLeast"/>
        </w:trPr>
        <w:tc>
          <w:tcPr>
            <w:tcW w:w="580" w:type="dxa"/>
            <w:tcBorders>
              <w:top w:val="nil"/>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201</w:t>
            </w:r>
          </w:p>
        </w:tc>
        <w:tc>
          <w:tcPr>
            <w:tcW w:w="4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p>
        </w:tc>
        <w:tc>
          <w:tcPr>
            <w:tcW w:w="46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p>
        </w:tc>
        <w:tc>
          <w:tcPr>
            <w:tcW w:w="1904" w:type="dxa"/>
            <w:tcBorders>
              <w:top w:val="nil"/>
              <w:left w:val="nil"/>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一般公共服务支出</w:t>
            </w:r>
          </w:p>
        </w:tc>
        <w:tc>
          <w:tcPr>
            <w:tcW w:w="1018" w:type="dxa"/>
            <w:tcBorders>
              <w:top w:val="nil"/>
              <w:left w:val="nil"/>
              <w:bottom w:val="single" w:color="auto" w:sz="4" w:space="0"/>
              <w:right w:val="single" w:color="auto" w:sz="4" w:space="0"/>
            </w:tcBorders>
            <w:shd w:val="clear" w:color="000000" w:fill="FFFFFF"/>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166.30</w:t>
            </w:r>
          </w:p>
        </w:tc>
        <w:tc>
          <w:tcPr>
            <w:tcW w:w="850" w:type="dxa"/>
            <w:tcBorders>
              <w:top w:val="nil"/>
              <w:left w:val="nil"/>
              <w:bottom w:val="single" w:color="auto" w:sz="4" w:space="0"/>
              <w:right w:val="single" w:color="auto" w:sz="4" w:space="0"/>
            </w:tcBorders>
            <w:shd w:val="clear" w:color="000000" w:fill="FFFFFF"/>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166.30</w:t>
            </w:r>
          </w:p>
        </w:tc>
        <w:tc>
          <w:tcPr>
            <w:tcW w:w="709"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shd w:val="clear" w:color="000000" w:fill="FFFFFF"/>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80"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201</w:t>
            </w:r>
          </w:p>
        </w:tc>
        <w:tc>
          <w:tcPr>
            <w:tcW w:w="45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04</w:t>
            </w:r>
          </w:p>
        </w:tc>
        <w:tc>
          <w:tcPr>
            <w:tcW w:w="46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p>
        </w:tc>
        <w:tc>
          <w:tcPr>
            <w:tcW w:w="19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发展与改革事务</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166.30</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166.30</w:t>
            </w:r>
          </w:p>
        </w:tc>
        <w:tc>
          <w:tcPr>
            <w:tcW w:w="70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90" w:hRule="atLeast"/>
        </w:trPr>
        <w:tc>
          <w:tcPr>
            <w:tcW w:w="580"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201</w:t>
            </w:r>
          </w:p>
        </w:tc>
        <w:tc>
          <w:tcPr>
            <w:tcW w:w="45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04</w:t>
            </w:r>
          </w:p>
        </w:tc>
        <w:tc>
          <w:tcPr>
            <w:tcW w:w="46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50</w:t>
            </w:r>
          </w:p>
        </w:tc>
        <w:tc>
          <w:tcPr>
            <w:tcW w:w="19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事业运行</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66.30</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66.30</w:t>
            </w:r>
          </w:p>
        </w:tc>
        <w:tc>
          <w:tcPr>
            <w:tcW w:w="70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80"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201</w:t>
            </w:r>
          </w:p>
        </w:tc>
        <w:tc>
          <w:tcPr>
            <w:tcW w:w="45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04</w:t>
            </w:r>
          </w:p>
        </w:tc>
        <w:tc>
          <w:tcPr>
            <w:tcW w:w="46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99</w:t>
            </w:r>
          </w:p>
        </w:tc>
        <w:tc>
          <w:tcPr>
            <w:tcW w:w="19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其他发展与改革事务支出</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100.00</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100.00</w:t>
            </w:r>
          </w:p>
        </w:tc>
        <w:tc>
          <w:tcPr>
            <w:tcW w:w="70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80"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208</w:t>
            </w:r>
          </w:p>
        </w:tc>
        <w:tc>
          <w:tcPr>
            <w:tcW w:w="45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p>
        </w:tc>
        <w:tc>
          <w:tcPr>
            <w:tcW w:w="46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p>
        </w:tc>
        <w:tc>
          <w:tcPr>
            <w:tcW w:w="19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社会保障和就业支出</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8.91</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8.91</w:t>
            </w:r>
          </w:p>
        </w:tc>
        <w:tc>
          <w:tcPr>
            <w:tcW w:w="70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80"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208</w:t>
            </w:r>
          </w:p>
        </w:tc>
        <w:tc>
          <w:tcPr>
            <w:tcW w:w="45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05</w:t>
            </w:r>
          </w:p>
        </w:tc>
        <w:tc>
          <w:tcPr>
            <w:tcW w:w="46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p>
        </w:tc>
        <w:tc>
          <w:tcPr>
            <w:tcW w:w="19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行政事业单位养老支出</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8.91</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8.91</w:t>
            </w:r>
          </w:p>
        </w:tc>
        <w:tc>
          <w:tcPr>
            <w:tcW w:w="70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80"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208</w:t>
            </w:r>
          </w:p>
        </w:tc>
        <w:tc>
          <w:tcPr>
            <w:tcW w:w="45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05</w:t>
            </w:r>
          </w:p>
        </w:tc>
        <w:tc>
          <w:tcPr>
            <w:tcW w:w="46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05</w:t>
            </w:r>
          </w:p>
        </w:tc>
        <w:tc>
          <w:tcPr>
            <w:tcW w:w="19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机关事业单位基本养老保险缴费支出</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8.91</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8.91</w:t>
            </w:r>
          </w:p>
        </w:tc>
        <w:tc>
          <w:tcPr>
            <w:tcW w:w="70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80"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210</w:t>
            </w:r>
          </w:p>
        </w:tc>
        <w:tc>
          <w:tcPr>
            <w:tcW w:w="45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p>
        </w:tc>
        <w:tc>
          <w:tcPr>
            <w:tcW w:w="46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p>
        </w:tc>
        <w:tc>
          <w:tcPr>
            <w:tcW w:w="19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卫生健康支出</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7.00</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7.00</w:t>
            </w:r>
          </w:p>
        </w:tc>
        <w:tc>
          <w:tcPr>
            <w:tcW w:w="70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80"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210</w:t>
            </w:r>
          </w:p>
        </w:tc>
        <w:tc>
          <w:tcPr>
            <w:tcW w:w="45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11</w:t>
            </w:r>
          </w:p>
        </w:tc>
        <w:tc>
          <w:tcPr>
            <w:tcW w:w="46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p>
        </w:tc>
        <w:tc>
          <w:tcPr>
            <w:tcW w:w="19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行政事业单位医疗</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7.00</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7.00</w:t>
            </w:r>
          </w:p>
        </w:tc>
        <w:tc>
          <w:tcPr>
            <w:tcW w:w="70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80"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210</w:t>
            </w:r>
          </w:p>
        </w:tc>
        <w:tc>
          <w:tcPr>
            <w:tcW w:w="45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11</w:t>
            </w:r>
          </w:p>
        </w:tc>
        <w:tc>
          <w:tcPr>
            <w:tcW w:w="46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02</w:t>
            </w:r>
          </w:p>
        </w:tc>
        <w:tc>
          <w:tcPr>
            <w:tcW w:w="19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事业单位医疗</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5.29</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5.29</w:t>
            </w:r>
          </w:p>
        </w:tc>
        <w:tc>
          <w:tcPr>
            <w:tcW w:w="70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80"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210</w:t>
            </w:r>
          </w:p>
        </w:tc>
        <w:tc>
          <w:tcPr>
            <w:tcW w:w="45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11</w:t>
            </w:r>
          </w:p>
        </w:tc>
        <w:tc>
          <w:tcPr>
            <w:tcW w:w="46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03</w:t>
            </w:r>
          </w:p>
        </w:tc>
        <w:tc>
          <w:tcPr>
            <w:tcW w:w="19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公务员医疗补助</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1.67</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1.67</w:t>
            </w:r>
          </w:p>
        </w:tc>
        <w:tc>
          <w:tcPr>
            <w:tcW w:w="70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80"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210</w:t>
            </w:r>
          </w:p>
        </w:tc>
        <w:tc>
          <w:tcPr>
            <w:tcW w:w="45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11</w:t>
            </w:r>
          </w:p>
        </w:tc>
        <w:tc>
          <w:tcPr>
            <w:tcW w:w="46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99</w:t>
            </w:r>
          </w:p>
        </w:tc>
        <w:tc>
          <w:tcPr>
            <w:tcW w:w="19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其他行政事业单位医疗支出</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0.04</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0.04</w:t>
            </w:r>
          </w:p>
        </w:tc>
        <w:tc>
          <w:tcPr>
            <w:tcW w:w="70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80"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221</w:t>
            </w:r>
          </w:p>
        </w:tc>
        <w:tc>
          <w:tcPr>
            <w:tcW w:w="45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p>
        </w:tc>
        <w:tc>
          <w:tcPr>
            <w:tcW w:w="46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p>
        </w:tc>
        <w:tc>
          <w:tcPr>
            <w:tcW w:w="19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住房保障支出</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8.20</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8.20</w:t>
            </w:r>
          </w:p>
        </w:tc>
        <w:tc>
          <w:tcPr>
            <w:tcW w:w="70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80"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221</w:t>
            </w:r>
          </w:p>
        </w:tc>
        <w:tc>
          <w:tcPr>
            <w:tcW w:w="45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02</w:t>
            </w:r>
          </w:p>
        </w:tc>
        <w:tc>
          <w:tcPr>
            <w:tcW w:w="46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p>
        </w:tc>
        <w:tc>
          <w:tcPr>
            <w:tcW w:w="19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住房改革支出</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8.20</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8.20</w:t>
            </w:r>
          </w:p>
        </w:tc>
        <w:tc>
          <w:tcPr>
            <w:tcW w:w="70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80"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221</w:t>
            </w:r>
          </w:p>
        </w:tc>
        <w:tc>
          <w:tcPr>
            <w:tcW w:w="45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02</w:t>
            </w:r>
          </w:p>
        </w:tc>
        <w:tc>
          <w:tcPr>
            <w:tcW w:w="46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lang w:val="en-US" w:eastAsia="zh-CN"/>
              </w:rPr>
              <w:t>01</w:t>
            </w:r>
          </w:p>
        </w:tc>
        <w:tc>
          <w:tcPr>
            <w:tcW w:w="19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仿宋_GB2312" w:hAnsi="宋体" w:eastAsia="仿宋_GB2312" w:cs="宋体"/>
                <w:color w:val="000000"/>
                <w:sz w:val="20"/>
                <w:szCs w:val="20"/>
                <w:highlight w:val="none"/>
              </w:rPr>
            </w:pPr>
            <w:r>
              <w:rPr>
                <w:rFonts w:hint="eastAsia" w:ascii="仿宋_GB2312" w:hAnsi="宋体" w:eastAsia="仿宋_GB2312" w:cs="宋体"/>
                <w:b/>
                <w:color w:val="000000"/>
                <w:kern w:val="0"/>
                <w:sz w:val="20"/>
                <w:szCs w:val="20"/>
                <w:highlight w:val="none"/>
              </w:rPr>
              <w:t>住房公积金</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8.20</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8.20</w:t>
            </w:r>
          </w:p>
        </w:tc>
        <w:tc>
          <w:tcPr>
            <w:tcW w:w="70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80" w:type="dxa"/>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right"/>
              <w:rPr>
                <w:rFonts w:hint="default"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50"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right"/>
              <w:rPr>
                <w:rFonts w:hint="default"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62"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right"/>
              <w:rPr>
                <w:rFonts w:hint="default"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1904"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仿宋_GB2312" w:hAnsi="宋体" w:eastAsia="仿宋_GB2312" w:cs="宋体"/>
                <w:color w:val="000000"/>
                <w:sz w:val="20"/>
                <w:szCs w:val="20"/>
                <w:highlight w:val="none"/>
              </w:rPr>
            </w:pPr>
            <w:r>
              <w:rPr>
                <w:rFonts w:hint="eastAsia" w:ascii="仿宋_GB2312" w:eastAsia="仿宋_GB2312"/>
                <w:b/>
                <w:bCs/>
                <w:color w:val="000000"/>
                <w:sz w:val="20"/>
                <w:szCs w:val="20"/>
                <w:highlight w:val="none"/>
              </w:rPr>
              <w:t>合  计</w:t>
            </w:r>
            <w:r>
              <w:rPr>
                <w:rFonts w:hint="eastAsia" w:ascii="仿宋_GB2312" w:eastAsia="仿宋_GB2312"/>
                <w:color w:val="000000"/>
                <w:sz w:val="20"/>
                <w:szCs w:val="20"/>
                <w:highlight w:val="none"/>
              </w:rPr>
              <w:t>　</w:t>
            </w:r>
          </w:p>
        </w:tc>
        <w:tc>
          <w:tcPr>
            <w:tcW w:w="10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eastAsia="宋体" w:cs="宋体"/>
                <w:b/>
                <w:bCs/>
                <w:color w:val="000000"/>
                <w:kern w:val="0"/>
                <w:sz w:val="22"/>
                <w:szCs w:val="22"/>
                <w:highlight w:val="none"/>
                <w:lang w:val="en-US" w:eastAsia="zh-CN"/>
              </w:rPr>
            </w:pPr>
            <w:r>
              <w:rPr>
                <w:rFonts w:hint="eastAsia" w:ascii="宋体" w:hAnsi="宋体" w:cs="宋体"/>
                <w:b/>
                <w:bCs/>
                <w:color w:val="000000"/>
                <w:kern w:val="0"/>
                <w:sz w:val="22"/>
                <w:szCs w:val="22"/>
                <w:highlight w:val="none"/>
                <w:lang w:val="en-US" w:eastAsia="zh-CN"/>
              </w:rPr>
              <w:t>190.41</w:t>
            </w:r>
          </w:p>
        </w:tc>
        <w:tc>
          <w:tcPr>
            <w:tcW w:w="85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eastAsia="宋体" w:cs="宋体"/>
                <w:b/>
                <w:bCs/>
                <w:color w:val="000000"/>
                <w:kern w:val="0"/>
                <w:sz w:val="22"/>
                <w:szCs w:val="22"/>
                <w:highlight w:val="none"/>
                <w:lang w:val="en-US" w:eastAsia="zh-CN"/>
              </w:rPr>
            </w:pPr>
            <w:r>
              <w:rPr>
                <w:rFonts w:hint="eastAsia" w:ascii="宋体" w:hAnsi="宋体" w:cs="宋体"/>
                <w:b/>
                <w:bCs/>
                <w:color w:val="000000"/>
                <w:kern w:val="0"/>
                <w:sz w:val="22"/>
                <w:szCs w:val="22"/>
                <w:highlight w:val="none"/>
                <w:lang w:val="en-US" w:eastAsia="zh-CN"/>
              </w:rPr>
              <w:t>190.41</w:t>
            </w:r>
          </w:p>
        </w:tc>
        <w:tc>
          <w:tcPr>
            <w:tcW w:w="70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r>
    </w:tbl>
    <w:p>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表3</w:t>
      </w:r>
    </w:p>
    <w:p>
      <w:pPr>
        <w:widowControl/>
        <w:spacing w:line="360" w:lineRule="exact"/>
        <w:jc w:val="center"/>
        <w:outlineLvl w:val="1"/>
        <w:rPr>
          <w:rFonts w:hint="eastAsia" w:ascii="方正小标宋_GBK" w:hAnsi="方正小标宋_GBK" w:eastAsia="方正小标宋_GBK" w:cs="方正小标宋_GBK"/>
          <w:bCs/>
          <w:kern w:val="0"/>
          <w:sz w:val="36"/>
          <w:szCs w:val="36"/>
          <w:highlight w:val="none"/>
        </w:rPr>
      </w:pPr>
      <w:r>
        <w:rPr>
          <w:rFonts w:hint="eastAsia" w:ascii="方正小标宋_GBK" w:hAnsi="方正小标宋_GBK" w:eastAsia="方正小标宋_GBK" w:cs="方正小标宋_GBK"/>
          <w:bCs/>
          <w:kern w:val="0"/>
          <w:sz w:val="36"/>
          <w:szCs w:val="36"/>
          <w:highlight w:val="none"/>
        </w:rPr>
        <w:t>部门（单位）支出总体情况表</w:t>
      </w:r>
    </w:p>
    <w:p>
      <w:pPr>
        <w:widowControl/>
        <w:spacing w:line="360" w:lineRule="exact"/>
        <w:jc w:val="center"/>
        <w:outlineLvl w:val="1"/>
        <w:rPr>
          <w:rFonts w:hint="eastAsia" w:ascii="方正小标宋_GBK" w:hAnsi="方正小标宋_GBK" w:eastAsia="方正小标宋_GBK" w:cs="方正小标宋_GBK"/>
          <w:bCs/>
          <w:kern w:val="0"/>
          <w:sz w:val="36"/>
          <w:szCs w:val="36"/>
          <w:highlight w:val="none"/>
        </w:rPr>
      </w:pPr>
    </w:p>
    <w:p>
      <w:pPr>
        <w:widowControl/>
        <w:spacing w:line="44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 昌吉州对口援疆工作领导小组办公室           单位：万元</w:t>
      </w:r>
    </w:p>
    <w:tbl>
      <w:tblPr>
        <w:tblStyle w:val="6"/>
        <w:tblW w:w="9420" w:type="dxa"/>
        <w:tblInd w:w="-240" w:type="dxa"/>
        <w:tblLayout w:type="fixed"/>
        <w:tblCellMar>
          <w:top w:w="0" w:type="dxa"/>
          <w:left w:w="108" w:type="dxa"/>
          <w:bottom w:w="0" w:type="dxa"/>
          <w:right w:w="108" w:type="dxa"/>
        </w:tblCellMar>
      </w:tblPr>
      <w:tblGrid>
        <w:gridCol w:w="457"/>
        <w:gridCol w:w="344"/>
        <w:gridCol w:w="400"/>
        <w:gridCol w:w="2604"/>
        <w:gridCol w:w="1855"/>
        <w:gridCol w:w="1856"/>
        <w:gridCol w:w="1904"/>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    目</w:t>
            </w:r>
          </w:p>
        </w:tc>
        <w:tc>
          <w:tcPr>
            <w:tcW w:w="5615" w:type="dxa"/>
            <w:gridSpan w:val="3"/>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支出预算</w:t>
            </w:r>
          </w:p>
        </w:tc>
      </w:tr>
      <w:tr>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合  计</w:t>
            </w:r>
          </w:p>
        </w:tc>
        <w:tc>
          <w:tcPr>
            <w:tcW w:w="1856" w:type="dxa"/>
            <w:vMerge w:val="restart"/>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项目支出</w:t>
            </w:r>
          </w:p>
        </w:tc>
      </w:tr>
      <w:tr>
        <w:tblPrEx>
          <w:tblCellMar>
            <w:top w:w="0" w:type="dxa"/>
            <w:left w:w="108" w:type="dxa"/>
            <w:bottom w:w="0" w:type="dxa"/>
            <w:right w:w="108" w:type="dxa"/>
          </w:tblCellMar>
        </w:tblPrEx>
        <w:trPr>
          <w:trHeight w:val="270" w:hRule="atLeast"/>
        </w:trPr>
        <w:tc>
          <w:tcPr>
            <w:tcW w:w="4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类</w:t>
            </w:r>
          </w:p>
        </w:tc>
        <w:tc>
          <w:tcPr>
            <w:tcW w:w="3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款</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项</w:t>
            </w:r>
          </w:p>
        </w:tc>
        <w:tc>
          <w:tcPr>
            <w:tcW w:w="2604"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宋体" w:hAnsi="宋体" w:cs="宋体"/>
                <w:b/>
                <w:bCs/>
                <w:color w:val="000000"/>
                <w:kern w:val="0"/>
                <w:sz w:val="20"/>
                <w:szCs w:val="20"/>
                <w:highlight w:val="none"/>
              </w:rPr>
            </w:pPr>
          </w:p>
        </w:tc>
        <w:tc>
          <w:tcPr>
            <w:tcW w:w="1855"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宋体" w:hAnsi="宋体" w:cs="宋体"/>
                <w:b/>
                <w:bCs/>
                <w:color w:val="000000"/>
                <w:kern w:val="0"/>
                <w:sz w:val="20"/>
                <w:szCs w:val="20"/>
                <w:highlight w:val="none"/>
              </w:rPr>
            </w:pPr>
          </w:p>
        </w:tc>
        <w:tc>
          <w:tcPr>
            <w:tcW w:w="1856"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宋体" w:hAnsi="宋体" w:cs="宋体"/>
                <w:b/>
                <w:bCs/>
                <w:color w:val="000000"/>
                <w:kern w:val="0"/>
                <w:sz w:val="20"/>
                <w:szCs w:val="20"/>
                <w:highlight w:val="none"/>
              </w:rPr>
            </w:pPr>
          </w:p>
        </w:tc>
        <w:tc>
          <w:tcPr>
            <w:tcW w:w="1904"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宋体" w:hAnsi="宋体" w:cs="宋体"/>
                <w:b/>
                <w:bCs/>
                <w:color w:val="000000"/>
                <w:kern w:val="0"/>
                <w:sz w:val="20"/>
                <w:szCs w:val="20"/>
                <w:highlight w:val="none"/>
              </w:rPr>
            </w:pPr>
          </w:p>
        </w:tc>
      </w:tr>
      <w:tr>
        <w:tblPrEx>
          <w:tblCellMar>
            <w:top w:w="0" w:type="dxa"/>
            <w:left w:w="108" w:type="dxa"/>
            <w:bottom w:w="0" w:type="dxa"/>
            <w:right w:w="108" w:type="dxa"/>
          </w:tblCellMar>
        </w:tblPrEx>
        <w:trPr>
          <w:trHeight w:val="405" w:hRule="atLeast"/>
        </w:trPr>
        <w:tc>
          <w:tcPr>
            <w:tcW w:w="4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rPr>
              <w:t>201</w:t>
            </w:r>
          </w:p>
        </w:tc>
        <w:tc>
          <w:tcPr>
            <w:tcW w:w="3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一般公共服务支出</w:t>
            </w:r>
          </w:p>
        </w:tc>
        <w:tc>
          <w:tcPr>
            <w:tcW w:w="1855"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166.30</w:t>
            </w:r>
          </w:p>
        </w:tc>
        <w:tc>
          <w:tcPr>
            <w:tcW w:w="1856"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66.30</w:t>
            </w:r>
          </w:p>
        </w:tc>
        <w:tc>
          <w:tcPr>
            <w:tcW w:w="19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100.00</w:t>
            </w:r>
          </w:p>
        </w:tc>
      </w:tr>
      <w:tr>
        <w:tblPrEx>
          <w:tblCellMar>
            <w:top w:w="0" w:type="dxa"/>
            <w:left w:w="108" w:type="dxa"/>
            <w:bottom w:w="0" w:type="dxa"/>
            <w:right w:w="108" w:type="dxa"/>
          </w:tblCellMar>
        </w:tblPrEx>
        <w:trPr>
          <w:trHeight w:val="405" w:hRule="atLeast"/>
        </w:trPr>
        <w:tc>
          <w:tcPr>
            <w:tcW w:w="4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rPr>
              <w:t>201</w:t>
            </w:r>
          </w:p>
        </w:tc>
        <w:tc>
          <w:tcPr>
            <w:tcW w:w="3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04</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发展与改革事务</w:t>
            </w:r>
          </w:p>
        </w:tc>
        <w:tc>
          <w:tcPr>
            <w:tcW w:w="1855"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166.30</w:t>
            </w:r>
          </w:p>
        </w:tc>
        <w:tc>
          <w:tcPr>
            <w:tcW w:w="1856"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66.30</w:t>
            </w:r>
          </w:p>
        </w:tc>
        <w:tc>
          <w:tcPr>
            <w:tcW w:w="19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eastAsia="宋体" w:cs="宋体"/>
                <w:b/>
                <w:bCs/>
                <w:color w:val="000000"/>
                <w:kern w:val="0"/>
                <w:sz w:val="22"/>
                <w:szCs w:val="22"/>
                <w:highlight w:val="none"/>
                <w:lang w:val="en-US" w:eastAsia="zh-CN"/>
              </w:rPr>
            </w:pPr>
            <w:r>
              <w:rPr>
                <w:rFonts w:hint="eastAsia" w:ascii="仿宋_GB2312" w:hAnsi="宋体" w:eastAsia="仿宋_GB2312" w:cs="宋体"/>
                <w:b/>
                <w:color w:val="000000"/>
                <w:kern w:val="0"/>
                <w:sz w:val="20"/>
                <w:szCs w:val="20"/>
                <w:highlight w:val="none"/>
              </w:rPr>
              <w:t>100.00</w:t>
            </w:r>
          </w:p>
        </w:tc>
      </w:tr>
      <w:tr>
        <w:tblPrEx>
          <w:tblCellMar>
            <w:top w:w="0" w:type="dxa"/>
            <w:left w:w="108" w:type="dxa"/>
            <w:bottom w:w="0" w:type="dxa"/>
            <w:right w:w="108" w:type="dxa"/>
          </w:tblCellMar>
        </w:tblPrEx>
        <w:trPr>
          <w:trHeight w:val="405" w:hRule="atLeast"/>
        </w:trPr>
        <w:tc>
          <w:tcPr>
            <w:tcW w:w="4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rPr>
              <w:t>201</w:t>
            </w:r>
          </w:p>
        </w:tc>
        <w:tc>
          <w:tcPr>
            <w:tcW w:w="3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04</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50</w:t>
            </w:r>
          </w:p>
        </w:tc>
        <w:tc>
          <w:tcPr>
            <w:tcW w:w="26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事业运行</w:t>
            </w:r>
          </w:p>
        </w:tc>
        <w:tc>
          <w:tcPr>
            <w:tcW w:w="1855"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66.30</w:t>
            </w:r>
          </w:p>
        </w:tc>
        <w:tc>
          <w:tcPr>
            <w:tcW w:w="1856"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66.30</w:t>
            </w:r>
          </w:p>
        </w:tc>
        <w:tc>
          <w:tcPr>
            <w:tcW w:w="19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rPr>
              <w:t>201</w:t>
            </w:r>
          </w:p>
        </w:tc>
        <w:tc>
          <w:tcPr>
            <w:tcW w:w="3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04</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99</w:t>
            </w:r>
          </w:p>
        </w:tc>
        <w:tc>
          <w:tcPr>
            <w:tcW w:w="26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其他发展与改革事务支出</w:t>
            </w:r>
          </w:p>
        </w:tc>
        <w:tc>
          <w:tcPr>
            <w:tcW w:w="1855"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100.00</w:t>
            </w:r>
          </w:p>
        </w:tc>
        <w:tc>
          <w:tcPr>
            <w:tcW w:w="1856"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100.00</w:t>
            </w:r>
          </w:p>
        </w:tc>
      </w:tr>
      <w:tr>
        <w:tblPrEx>
          <w:tblCellMar>
            <w:top w:w="0" w:type="dxa"/>
            <w:left w:w="108" w:type="dxa"/>
            <w:bottom w:w="0" w:type="dxa"/>
            <w:right w:w="108" w:type="dxa"/>
          </w:tblCellMar>
        </w:tblPrEx>
        <w:trPr>
          <w:trHeight w:val="405" w:hRule="atLeast"/>
        </w:trPr>
        <w:tc>
          <w:tcPr>
            <w:tcW w:w="4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rPr>
              <w:t>208</w:t>
            </w:r>
          </w:p>
        </w:tc>
        <w:tc>
          <w:tcPr>
            <w:tcW w:w="3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社会保障和就业支出</w:t>
            </w:r>
          </w:p>
        </w:tc>
        <w:tc>
          <w:tcPr>
            <w:tcW w:w="1855"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8.91</w:t>
            </w:r>
          </w:p>
        </w:tc>
        <w:tc>
          <w:tcPr>
            <w:tcW w:w="1856"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8.91</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rPr>
              <w:t>208</w:t>
            </w:r>
          </w:p>
        </w:tc>
        <w:tc>
          <w:tcPr>
            <w:tcW w:w="3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05</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行政事业单位养老支出</w:t>
            </w:r>
          </w:p>
        </w:tc>
        <w:tc>
          <w:tcPr>
            <w:tcW w:w="1855"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8.91</w:t>
            </w:r>
          </w:p>
        </w:tc>
        <w:tc>
          <w:tcPr>
            <w:tcW w:w="1856"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8.91</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rPr>
              <w:t>208</w:t>
            </w:r>
          </w:p>
        </w:tc>
        <w:tc>
          <w:tcPr>
            <w:tcW w:w="3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05</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05</w:t>
            </w:r>
          </w:p>
        </w:tc>
        <w:tc>
          <w:tcPr>
            <w:tcW w:w="26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机关事业单位基本养老保险缴费支出</w:t>
            </w:r>
          </w:p>
        </w:tc>
        <w:tc>
          <w:tcPr>
            <w:tcW w:w="1855"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8.91</w:t>
            </w:r>
          </w:p>
        </w:tc>
        <w:tc>
          <w:tcPr>
            <w:tcW w:w="1856"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8.91</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rPr>
              <w:t>210</w:t>
            </w:r>
          </w:p>
        </w:tc>
        <w:tc>
          <w:tcPr>
            <w:tcW w:w="3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卫生健康支出</w:t>
            </w:r>
          </w:p>
        </w:tc>
        <w:tc>
          <w:tcPr>
            <w:tcW w:w="1855"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7.00</w:t>
            </w:r>
          </w:p>
        </w:tc>
        <w:tc>
          <w:tcPr>
            <w:tcW w:w="1856"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7.00</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rPr>
              <w:t>210</w:t>
            </w:r>
          </w:p>
        </w:tc>
        <w:tc>
          <w:tcPr>
            <w:tcW w:w="3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11</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行政事业单位医疗</w:t>
            </w:r>
          </w:p>
        </w:tc>
        <w:tc>
          <w:tcPr>
            <w:tcW w:w="1855"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7.00</w:t>
            </w:r>
          </w:p>
        </w:tc>
        <w:tc>
          <w:tcPr>
            <w:tcW w:w="1856"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7.00</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rPr>
              <w:t>210</w:t>
            </w:r>
          </w:p>
        </w:tc>
        <w:tc>
          <w:tcPr>
            <w:tcW w:w="3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11</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02</w:t>
            </w:r>
          </w:p>
        </w:tc>
        <w:tc>
          <w:tcPr>
            <w:tcW w:w="26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事业单位医疗</w:t>
            </w:r>
          </w:p>
        </w:tc>
        <w:tc>
          <w:tcPr>
            <w:tcW w:w="1855"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5.29</w:t>
            </w:r>
          </w:p>
        </w:tc>
        <w:tc>
          <w:tcPr>
            <w:tcW w:w="1856"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5.29</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rPr>
              <w:t>210</w:t>
            </w:r>
          </w:p>
        </w:tc>
        <w:tc>
          <w:tcPr>
            <w:tcW w:w="3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11</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03</w:t>
            </w:r>
          </w:p>
        </w:tc>
        <w:tc>
          <w:tcPr>
            <w:tcW w:w="26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公务员医疗补助</w:t>
            </w:r>
          </w:p>
        </w:tc>
        <w:tc>
          <w:tcPr>
            <w:tcW w:w="1855"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1.67</w:t>
            </w:r>
          </w:p>
        </w:tc>
        <w:tc>
          <w:tcPr>
            <w:tcW w:w="1856"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1.67</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rPr>
              <w:t>210</w:t>
            </w:r>
          </w:p>
        </w:tc>
        <w:tc>
          <w:tcPr>
            <w:tcW w:w="3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11</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99</w:t>
            </w:r>
          </w:p>
        </w:tc>
        <w:tc>
          <w:tcPr>
            <w:tcW w:w="26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其他行政事业单位医疗支出</w:t>
            </w:r>
          </w:p>
        </w:tc>
        <w:tc>
          <w:tcPr>
            <w:tcW w:w="1855"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0.04</w:t>
            </w:r>
          </w:p>
        </w:tc>
        <w:tc>
          <w:tcPr>
            <w:tcW w:w="1856"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0.04</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rPr>
              <w:t>221</w:t>
            </w:r>
          </w:p>
        </w:tc>
        <w:tc>
          <w:tcPr>
            <w:tcW w:w="3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住房保障支出</w:t>
            </w:r>
          </w:p>
        </w:tc>
        <w:tc>
          <w:tcPr>
            <w:tcW w:w="1855"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8.20</w:t>
            </w:r>
          </w:p>
        </w:tc>
        <w:tc>
          <w:tcPr>
            <w:tcW w:w="1856"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8.20</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rPr>
              <w:t>221</w:t>
            </w:r>
          </w:p>
        </w:tc>
        <w:tc>
          <w:tcPr>
            <w:tcW w:w="3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02</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住房改革支出</w:t>
            </w:r>
          </w:p>
        </w:tc>
        <w:tc>
          <w:tcPr>
            <w:tcW w:w="1855"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8.20</w:t>
            </w:r>
          </w:p>
        </w:tc>
        <w:tc>
          <w:tcPr>
            <w:tcW w:w="1856"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8.20</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rPr>
              <w:t>221</w:t>
            </w:r>
          </w:p>
        </w:tc>
        <w:tc>
          <w:tcPr>
            <w:tcW w:w="3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02</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r>
              <w:rPr>
                <w:rFonts w:hint="eastAsia" w:ascii="仿宋_GB2312" w:hAnsi="宋体" w:eastAsia="仿宋_GB2312" w:cs="宋体"/>
                <w:b/>
                <w:color w:val="000000"/>
                <w:kern w:val="0"/>
                <w:sz w:val="20"/>
                <w:szCs w:val="20"/>
                <w:highlight w:val="none"/>
                <w:lang w:val="en-US" w:eastAsia="zh-CN"/>
              </w:rPr>
              <w:t>01</w:t>
            </w:r>
          </w:p>
        </w:tc>
        <w:tc>
          <w:tcPr>
            <w:tcW w:w="260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住房公积金</w:t>
            </w:r>
          </w:p>
        </w:tc>
        <w:tc>
          <w:tcPr>
            <w:tcW w:w="1855"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8.20</w:t>
            </w:r>
          </w:p>
        </w:tc>
        <w:tc>
          <w:tcPr>
            <w:tcW w:w="1856"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r>
              <w:rPr>
                <w:rFonts w:hint="eastAsia" w:ascii="仿宋_GB2312" w:hAnsi="宋体" w:eastAsia="仿宋_GB2312" w:cs="宋体"/>
                <w:b/>
                <w:color w:val="000000"/>
                <w:kern w:val="0"/>
                <w:sz w:val="20"/>
                <w:szCs w:val="20"/>
                <w:highlight w:val="none"/>
              </w:rPr>
              <w:t>8.20</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p>
        </w:tc>
        <w:tc>
          <w:tcPr>
            <w:tcW w:w="3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宋体" w:hAns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right"/>
              <w:rPr>
                <w:rFonts w:hint="default"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right"/>
              <w:rPr>
                <w:rFonts w:hint="default"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leftChars="0" w:right="0" w:rightChars="0"/>
              <w:jc w:val="right"/>
              <w:rPr>
                <w:rFonts w:hint="default"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57" w:type="dxa"/>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highlight w:val="none"/>
              </w:rPr>
            </w:pPr>
          </w:p>
        </w:tc>
        <w:tc>
          <w:tcPr>
            <w:tcW w:w="344"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highlight w:val="none"/>
              </w:rPr>
            </w:pPr>
          </w:p>
        </w:tc>
        <w:tc>
          <w:tcPr>
            <w:tcW w:w="400"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highlight w:val="none"/>
              </w:rPr>
            </w:pPr>
          </w:p>
        </w:tc>
        <w:tc>
          <w:tcPr>
            <w:tcW w:w="2604"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highlight w:val="none"/>
              </w:rPr>
            </w:pP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3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4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宋体" w:hAnsi="宋体" w:cs="宋体"/>
                <w:color w:val="000000"/>
                <w:kern w:val="0"/>
                <w:sz w:val="24"/>
                <w:highlight w:val="none"/>
              </w:rPr>
            </w:pPr>
            <w:r>
              <w:rPr>
                <w:rFonts w:hint="eastAsia" w:ascii="宋体" w:hAnsi="宋体" w:cs="宋体"/>
                <w:color w:val="000000"/>
                <w:kern w:val="0"/>
                <w:sz w:val="24"/>
                <w:highlight w:val="none"/>
              </w:rPr>
              <w:t>　</w:t>
            </w:r>
          </w:p>
        </w:tc>
        <w:tc>
          <w:tcPr>
            <w:tcW w:w="260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宋体" w:hAnsi="宋体" w:cs="宋体"/>
                <w:color w:val="000000"/>
                <w:kern w:val="0"/>
                <w:sz w:val="22"/>
                <w:szCs w:val="22"/>
                <w:highlight w:val="none"/>
              </w:rPr>
            </w:pPr>
            <w:r>
              <w:rPr>
                <w:rFonts w:hint="eastAsia" w:ascii="宋体" w:hAnsi="宋体" w:cs="宋体"/>
                <w:b/>
                <w:bCs/>
                <w:color w:val="000000"/>
                <w:kern w:val="0"/>
                <w:sz w:val="22"/>
                <w:szCs w:val="22"/>
                <w:highlight w:val="none"/>
              </w:rPr>
              <w:t>合  计</w:t>
            </w:r>
          </w:p>
        </w:tc>
        <w:tc>
          <w:tcPr>
            <w:tcW w:w="1855"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eastAsia="宋体" w:cs="宋体"/>
                <w:b/>
                <w:bCs/>
                <w:color w:val="000000"/>
                <w:kern w:val="0"/>
                <w:sz w:val="22"/>
                <w:szCs w:val="22"/>
                <w:highlight w:val="none"/>
                <w:lang w:val="en-US" w:eastAsia="zh-CN"/>
              </w:rPr>
            </w:pPr>
            <w:r>
              <w:rPr>
                <w:rFonts w:hint="eastAsia" w:ascii="宋体" w:hAnsi="宋体" w:cs="宋体"/>
                <w:b/>
                <w:bCs/>
                <w:color w:val="000000"/>
                <w:kern w:val="0"/>
                <w:sz w:val="22"/>
                <w:szCs w:val="22"/>
                <w:highlight w:val="none"/>
                <w:lang w:val="en-US" w:eastAsia="zh-CN"/>
              </w:rPr>
              <w:t>190.41</w:t>
            </w:r>
          </w:p>
        </w:tc>
        <w:tc>
          <w:tcPr>
            <w:tcW w:w="1856"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eastAsia="宋体" w:cs="宋体"/>
                <w:b/>
                <w:bCs/>
                <w:color w:val="000000"/>
                <w:kern w:val="0"/>
                <w:sz w:val="22"/>
                <w:szCs w:val="22"/>
                <w:highlight w:val="none"/>
                <w:lang w:val="en-US" w:eastAsia="zh-CN"/>
              </w:rPr>
            </w:pPr>
            <w:r>
              <w:rPr>
                <w:rFonts w:hint="eastAsia" w:ascii="宋体" w:hAnsi="宋体" w:cs="宋体"/>
                <w:b/>
                <w:bCs/>
                <w:color w:val="000000"/>
                <w:kern w:val="0"/>
                <w:sz w:val="22"/>
                <w:szCs w:val="22"/>
                <w:highlight w:val="none"/>
                <w:lang w:val="en-US" w:eastAsia="zh-CN"/>
              </w:rPr>
              <w:t>90.41</w:t>
            </w:r>
          </w:p>
        </w:tc>
        <w:tc>
          <w:tcPr>
            <w:tcW w:w="190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eastAsia="宋体" w:cs="宋体"/>
                <w:b/>
                <w:bCs/>
                <w:color w:val="000000"/>
                <w:kern w:val="0"/>
                <w:sz w:val="22"/>
                <w:szCs w:val="22"/>
                <w:highlight w:val="none"/>
                <w:lang w:val="en-US" w:eastAsia="zh-CN"/>
              </w:rPr>
            </w:pPr>
            <w:r>
              <w:rPr>
                <w:rFonts w:hint="eastAsia" w:ascii="宋体" w:hAnsi="宋体" w:cs="宋体"/>
                <w:b/>
                <w:bCs/>
                <w:color w:val="000000"/>
                <w:kern w:val="0"/>
                <w:sz w:val="22"/>
                <w:szCs w:val="22"/>
                <w:highlight w:val="none"/>
                <w:lang w:val="en-US" w:eastAsia="zh-CN"/>
              </w:rPr>
              <w:t>100</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表4</w:t>
      </w:r>
    </w:p>
    <w:p>
      <w:pPr>
        <w:widowControl/>
        <w:spacing w:before="120" w:beforeLines="50" w:line="280" w:lineRule="exact"/>
        <w:jc w:val="center"/>
        <w:outlineLvl w:val="1"/>
        <w:rPr>
          <w:rFonts w:hint="eastAsia" w:ascii="仿宋_GB2312" w:hAnsi="宋体" w:eastAsia="仿宋_GB2312"/>
          <w:b/>
          <w:kern w:val="0"/>
          <w:sz w:val="32"/>
          <w:szCs w:val="32"/>
          <w:highlight w:val="none"/>
        </w:rPr>
      </w:pPr>
      <w:r>
        <w:rPr>
          <w:rFonts w:hint="eastAsia" w:ascii="仿宋_GB2312" w:hAnsi="宋体" w:eastAsia="仿宋_GB2312"/>
          <w:b/>
          <w:kern w:val="0"/>
          <w:sz w:val="32"/>
          <w:szCs w:val="32"/>
          <w:highlight w:val="none"/>
        </w:rPr>
        <w:t>财政拨款收支预算总体情况表</w:t>
      </w:r>
    </w:p>
    <w:p>
      <w:pPr>
        <w:widowControl/>
        <w:spacing w:before="120" w:beforeLines="50" w:line="280" w:lineRule="exact"/>
        <w:jc w:val="center"/>
        <w:outlineLvl w:val="1"/>
        <w:rPr>
          <w:rFonts w:hint="eastAsia" w:ascii="仿宋_GB2312" w:hAnsi="宋体" w:eastAsia="仿宋_GB2312"/>
          <w:b/>
          <w:kern w:val="0"/>
          <w:sz w:val="32"/>
          <w:szCs w:val="32"/>
          <w:highlight w:val="none"/>
        </w:rPr>
      </w:pPr>
    </w:p>
    <w:p>
      <w:pPr>
        <w:widowControl/>
        <w:spacing w:line="44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 昌吉州对口援疆工作领导小组办公室           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财政拨款支出</w:t>
            </w:r>
          </w:p>
        </w:tc>
      </w:tr>
      <w:tr>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00" w:lineRule="exact"/>
              <w:ind w:left="0" w:right="0"/>
              <w:jc w:val="center"/>
              <w:rPr>
                <w:rFonts w:hint="default"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91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00" w:lineRule="exact"/>
              <w:ind w:left="0" w:right="0"/>
              <w:jc w:val="center"/>
              <w:rPr>
                <w:rFonts w:hint="default"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00" w:lineRule="exact"/>
              <w:ind w:left="0" w:right="0"/>
              <w:jc w:val="center"/>
              <w:rPr>
                <w:rFonts w:hint="default"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  能  分  类</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00" w:lineRule="exact"/>
              <w:ind w:left="0" w:right="0"/>
              <w:jc w:val="center"/>
              <w:rPr>
                <w:rFonts w:hint="default"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00" w:lineRule="exact"/>
              <w:ind w:left="0" w:right="0"/>
              <w:jc w:val="center"/>
              <w:rPr>
                <w:rFonts w:hint="default"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一般公共预算</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00" w:lineRule="exact"/>
              <w:ind w:left="0" w:right="0"/>
              <w:jc w:val="center"/>
              <w:rPr>
                <w:rFonts w:hint="default"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政府性基金预算</w:t>
            </w:r>
          </w:p>
        </w:tc>
        <w:tc>
          <w:tcPr>
            <w:tcW w:w="1134" w:type="dxa"/>
            <w:tcBorders>
              <w:top w:val="nil"/>
              <w:left w:val="nil"/>
              <w:bottom w:val="single" w:color="auto" w:sz="4" w:space="0"/>
              <w:right w:val="single" w:color="auto" w:sz="4" w:space="0"/>
            </w:tcBorders>
            <w:vAlign w:val="center"/>
          </w:tcPr>
          <w:p>
            <w:pPr>
              <w:keepNext w:val="0"/>
              <w:keepLines w:val="0"/>
              <w:suppressLineNumbers w:val="0"/>
              <w:spacing w:before="0" w:beforeAutospacing="0" w:after="0" w:afterAutospacing="0" w:line="200" w:lineRule="exact"/>
              <w:ind w:left="0" w:right="0"/>
              <w:rPr>
                <w:rFonts w:hint="default"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国有资本经营预算</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91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190.41</w:t>
            </w: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r>
              <w:rPr>
                <w:rFonts w:hint="eastAsia" w:ascii="宋体" w:hAnsi="宋体" w:cs="宋体"/>
                <w:kern w:val="0"/>
                <w:sz w:val="18"/>
                <w:szCs w:val="18"/>
                <w:highlight w:val="none"/>
              </w:rPr>
              <w:t>166.30</w:t>
            </w: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r>
              <w:rPr>
                <w:rFonts w:hint="eastAsia" w:ascii="宋体" w:hAnsi="宋体" w:cs="宋体"/>
                <w:kern w:val="0"/>
                <w:sz w:val="18"/>
                <w:szCs w:val="18"/>
                <w:highlight w:val="none"/>
              </w:rPr>
              <w:t>166.30</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一般公共预算</w:t>
            </w:r>
          </w:p>
        </w:tc>
        <w:tc>
          <w:tcPr>
            <w:tcW w:w="91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政府性基金预算</w:t>
            </w:r>
          </w:p>
        </w:tc>
        <w:tc>
          <w:tcPr>
            <w:tcW w:w="91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国有资本经营预算</w:t>
            </w:r>
          </w:p>
        </w:tc>
        <w:tc>
          <w:tcPr>
            <w:tcW w:w="91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b/>
                <w:bCs/>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文化旅游体育与传媒支出</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r>
              <w:rPr>
                <w:rFonts w:hint="eastAsia" w:ascii="宋体" w:hAnsi="宋体" w:cs="宋体"/>
                <w:kern w:val="0"/>
                <w:sz w:val="18"/>
                <w:szCs w:val="18"/>
                <w:highlight w:val="none"/>
              </w:rPr>
              <w:t>8.91</w:t>
            </w: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r>
              <w:rPr>
                <w:rFonts w:hint="eastAsia" w:ascii="宋体" w:hAnsi="宋体" w:cs="宋体"/>
                <w:kern w:val="0"/>
                <w:sz w:val="18"/>
                <w:szCs w:val="18"/>
                <w:highlight w:val="none"/>
              </w:rPr>
              <w:t>8.91</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w:t>
            </w:r>
          </w:p>
        </w:tc>
        <w:tc>
          <w:tcPr>
            <w:tcW w:w="914"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209 社会保险基金支出</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210卫生健康支出</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r>
              <w:rPr>
                <w:rFonts w:hint="eastAsia" w:ascii="宋体" w:hAnsi="宋体" w:cs="宋体"/>
                <w:kern w:val="0"/>
                <w:sz w:val="18"/>
                <w:szCs w:val="18"/>
                <w:highlight w:val="none"/>
              </w:rPr>
              <w:t>7.00</w:t>
            </w: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r>
              <w:rPr>
                <w:rFonts w:hint="eastAsia" w:ascii="宋体" w:hAnsi="宋体" w:cs="宋体"/>
                <w:kern w:val="0"/>
                <w:sz w:val="18"/>
                <w:szCs w:val="18"/>
                <w:highlight w:val="none"/>
              </w:rPr>
              <w:t>7.00</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211 节能环保支出</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资源勘探信息等支出</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r>
              <w:rPr>
                <w:rFonts w:hint="eastAsia" w:ascii="宋体" w:hAnsi="宋体" w:cs="宋体"/>
                <w:kern w:val="0"/>
                <w:sz w:val="18"/>
                <w:szCs w:val="18"/>
                <w:highlight w:val="none"/>
              </w:rPr>
              <w:t>8.20</w:t>
            </w: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r>
              <w:rPr>
                <w:rFonts w:hint="eastAsia" w:ascii="宋体" w:hAnsi="宋体" w:cs="宋体"/>
                <w:kern w:val="0"/>
                <w:sz w:val="18"/>
                <w:szCs w:val="18"/>
                <w:highlight w:val="none"/>
              </w:rPr>
              <w:t>8.20</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粮油物资储备支出</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p>
        </w:tc>
        <w:tc>
          <w:tcPr>
            <w:tcW w:w="914"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 国有资本经营预算支出</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224灾害防治及应急管理支出</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227 预备费</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230转移性支出</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债务发行费用支出</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p>
        </w:tc>
        <w:tc>
          <w:tcPr>
            <w:tcW w:w="914"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234 抗疫特别国债还本支出</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p>
        </w:tc>
        <w:tc>
          <w:tcPr>
            <w:tcW w:w="914"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18"/>
                <w:szCs w:val="18"/>
                <w:highlight w:val="none"/>
              </w:rPr>
            </w:pP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收  入  总  计</w:t>
            </w:r>
          </w:p>
        </w:tc>
        <w:tc>
          <w:tcPr>
            <w:tcW w:w="91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190.41　</w:t>
            </w:r>
          </w:p>
        </w:tc>
        <w:tc>
          <w:tcPr>
            <w:tcW w:w="258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总  计</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r>
              <w:rPr>
                <w:rFonts w:hint="eastAsia" w:ascii="宋体" w:hAnsi="宋体" w:cs="宋体"/>
                <w:kern w:val="0"/>
                <w:sz w:val="18"/>
                <w:szCs w:val="18"/>
                <w:highlight w:val="none"/>
              </w:rPr>
              <w:t>190.41</w:t>
            </w:r>
          </w:p>
        </w:tc>
        <w:tc>
          <w:tcPr>
            <w:tcW w:w="85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r>
              <w:rPr>
                <w:rFonts w:hint="eastAsia" w:ascii="宋体" w:hAnsi="宋体" w:cs="宋体"/>
                <w:kern w:val="0"/>
                <w:sz w:val="18"/>
                <w:szCs w:val="18"/>
                <w:highlight w:val="none"/>
              </w:rPr>
              <w:t>190.41</w:t>
            </w: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宋体" w:hAnsi="宋体" w:cs="宋体"/>
                <w:kern w:val="0"/>
                <w:sz w:val="18"/>
                <w:szCs w:val="18"/>
                <w:highlight w:val="none"/>
              </w:rPr>
            </w:pPr>
          </w:p>
        </w:tc>
      </w:tr>
    </w:tbl>
    <w:p>
      <w:pPr>
        <w:widowControl/>
        <w:spacing w:line="32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r>
        <w:rPr>
          <w:rFonts w:ascii="仿宋_GB2312" w:hAnsi="宋体" w:eastAsia="仿宋_GB2312"/>
          <w:b/>
          <w:kern w:val="0"/>
          <w:sz w:val="28"/>
          <w:szCs w:val="32"/>
          <w:highlight w:val="none"/>
        </w:rPr>
        <w:t xml:space="preserve"> </w:t>
      </w: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表5</w:t>
      </w:r>
    </w:p>
    <w:tbl>
      <w:tblPr>
        <w:tblStyle w:val="6"/>
        <w:tblW w:w="9214" w:type="dxa"/>
        <w:tblInd w:w="-34" w:type="dxa"/>
        <w:tblLayout w:type="fixed"/>
        <w:tblCellMar>
          <w:top w:w="0" w:type="dxa"/>
          <w:left w:w="108" w:type="dxa"/>
          <w:bottom w:w="0" w:type="dxa"/>
          <w:right w:w="108" w:type="dxa"/>
        </w:tblCellMar>
      </w:tblPr>
      <w:tblGrid>
        <w:gridCol w:w="568"/>
        <w:gridCol w:w="492"/>
        <w:gridCol w:w="479"/>
        <w:gridCol w:w="2448"/>
        <w:gridCol w:w="1684"/>
        <w:gridCol w:w="1842"/>
        <w:gridCol w:w="1701"/>
      </w:tblGrid>
      <w:tr>
        <w:tblPrEx>
          <w:tblCellMar>
            <w:top w:w="0" w:type="dxa"/>
            <w:left w:w="108" w:type="dxa"/>
            <w:bottom w:w="0" w:type="dxa"/>
            <w:right w:w="108" w:type="dxa"/>
          </w:tblCellMar>
        </w:tblPrEx>
        <w:trPr>
          <w:trHeight w:val="450" w:hRule="atLeast"/>
        </w:trPr>
        <w:tc>
          <w:tcPr>
            <w:tcW w:w="9214" w:type="dxa"/>
            <w:gridSpan w:val="7"/>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center"/>
              <w:rPr>
                <w:rFonts w:hint="eastAsia" w:ascii="方正小标宋_GBK" w:hAnsi="方正小标宋_GBK" w:eastAsia="方正小标宋_GBK" w:cs="方正小标宋_GBK"/>
                <w:color w:val="000000"/>
                <w:kern w:val="0"/>
                <w:sz w:val="32"/>
                <w:szCs w:val="32"/>
                <w:highlight w:val="none"/>
              </w:rPr>
            </w:pPr>
            <w:r>
              <w:rPr>
                <w:rFonts w:hint="eastAsia" w:ascii="方正小标宋_GBK" w:hAnsi="方正小标宋_GBK" w:eastAsia="方正小标宋_GBK" w:cs="方正小标宋_GBK"/>
                <w:color w:val="000000"/>
                <w:kern w:val="0"/>
                <w:sz w:val="32"/>
                <w:szCs w:val="32"/>
                <w:highlight w:val="none"/>
              </w:rPr>
              <w:t>一般公共预算支出情况表</w:t>
            </w:r>
          </w:p>
          <w:p>
            <w:pPr>
              <w:keepNext w:val="0"/>
              <w:keepLines w:val="0"/>
              <w:widowControl/>
              <w:suppressLineNumbers w:val="0"/>
              <w:spacing w:before="0" w:beforeAutospacing="0" w:after="0" w:afterAutospacing="0" w:line="440" w:lineRule="exact"/>
              <w:ind w:left="0" w:right="0"/>
              <w:outlineLvl w:val="1"/>
              <w:rPr>
                <w:rFonts w:hint="eastAsia" w:ascii="方正小标宋_GBK" w:hAnsi="方正小标宋_GBK" w:eastAsia="方正小标宋_GBK" w:cs="方正小标宋_GBK"/>
                <w:color w:val="000000"/>
                <w:kern w:val="0"/>
                <w:sz w:val="32"/>
                <w:szCs w:val="32"/>
                <w:highlight w:val="none"/>
              </w:rPr>
            </w:pPr>
            <w:r>
              <w:rPr>
                <w:rFonts w:hint="eastAsia" w:ascii="仿宋_GB2312" w:hAnsi="宋体" w:eastAsia="仿宋_GB2312"/>
                <w:kern w:val="0"/>
                <w:sz w:val="24"/>
                <w:highlight w:val="none"/>
              </w:rPr>
              <w:t>编制部门（单位）： 昌吉州对口援疆工作领导小组办公室           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项   目</w:t>
            </w:r>
          </w:p>
        </w:tc>
        <w:tc>
          <w:tcPr>
            <w:tcW w:w="5227" w:type="dxa"/>
            <w:gridSpan w:val="3"/>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一般公共预算支出</w:t>
            </w:r>
          </w:p>
        </w:tc>
      </w:tr>
      <w:tr>
        <w:tblPrEx>
          <w:tblCellMar>
            <w:top w:w="0" w:type="dxa"/>
            <w:left w:w="108" w:type="dxa"/>
            <w:bottom w:w="0" w:type="dxa"/>
            <w:right w:w="108" w:type="dxa"/>
          </w:tblCellMar>
        </w:tblPrEx>
        <w:trPr>
          <w:trHeight w:val="465" w:hRule="atLeast"/>
        </w:trPr>
        <w:tc>
          <w:tcPr>
            <w:tcW w:w="1539" w:type="dxa"/>
            <w:gridSpan w:val="3"/>
            <w:tcBorders>
              <w:top w:val="single" w:color="auto" w:sz="4" w:space="0"/>
              <w:left w:val="single" w:color="auto"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功能分类科目编码</w:t>
            </w:r>
          </w:p>
        </w:tc>
        <w:tc>
          <w:tcPr>
            <w:tcW w:w="2448" w:type="dxa"/>
            <w:vMerge w:val="restart"/>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合  计</w:t>
            </w:r>
          </w:p>
        </w:tc>
        <w:tc>
          <w:tcPr>
            <w:tcW w:w="1842" w:type="dxa"/>
            <w:vMerge w:val="restart"/>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47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w:t>
            </w:r>
          </w:p>
        </w:tc>
        <w:tc>
          <w:tcPr>
            <w:tcW w:w="2448"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仿宋_GB2312" w:hAnsi="宋体" w:eastAsia="仿宋_GB2312" w:cs="宋体"/>
                <w:b/>
                <w:bCs/>
                <w:color w:val="000000"/>
                <w:kern w:val="0"/>
                <w:sz w:val="20"/>
                <w:szCs w:val="20"/>
                <w:highlight w:val="none"/>
              </w:rPr>
            </w:pPr>
          </w:p>
        </w:tc>
        <w:tc>
          <w:tcPr>
            <w:tcW w:w="1684"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仿宋_GB2312" w:hAnsi="宋体" w:eastAsia="仿宋_GB2312" w:cs="宋体"/>
                <w:b/>
                <w:bCs/>
                <w:color w:val="000000"/>
                <w:kern w:val="0"/>
                <w:sz w:val="20"/>
                <w:szCs w:val="20"/>
                <w:highlight w:val="none"/>
              </w:rPr>
            </w:pPr>
          </w:p>
        </w:tc>
        <w:tc>
          <w:tcPr>
            <w:tcW w:w="1842"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仿宋_GB2312" w:hAnsi="宋体" w:eastAsia="仿宋_GB2312"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仿宋_GB2312" w:hAnsi="宋体" w:eastAsia="仿宋_GB2312" w:cs="宋体"/>
                <w:b/>
                <w:bCs/>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rPr>
              <w:t>201</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p>
        </w:tc>
        <w:tc>
          <w:tcPr>
            <w:tcW w:w="47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p>
        </w:tc>
        <w:tc>
          <w:tcPr>
            <w:tcW w:w="244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一般公共服务支出</w:t>
            </w:r>
          </w:p>
        </w:tc>
        <w:tc>
          <w:tcPr>
            <w:tcW w:w="168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166.30</w:t>
            </w:r>
          </w:p>
        </w:tc>
        <w:tc>
          <w:tcPr>
            <w:tcW w:w="1842"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66.30</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100.00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rPr>
              <w:t>201</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04</w:t>
            </w:r>
          </w:p>
        </w:tc>
        <w:tc>
          <w:tcPr>
            <w:tcW w:w="47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p>
        </w:tc>
        <w:tc>
          <w:tcPr>
            <w:tcW w:w="244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发展与改革事务</w:t>
            </w:r>
          </w:p>
        </w:tc>
        <w:tc>
          <w:tcPr>
            <w:tcW w:w="168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rPr>
              <w:t>166.30</w:t>
            </w:r>
          </w:p>
        </w:tc>
        <w:tc>
          <w:tcPr>
            <w:tcW w:w="1842"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66.30</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rPr>
              <w:t>100.00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rPr>
              <w:t>201</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04</w:t>
            </w:r>
          </w:p>
        </w:tc>
        <w:tc>
          <w:tcPr>
            <w:tcW w:w="47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50</w:t>
            </w:r>
          </w:p>
        </w:tc>
        <w:tc>
          <w:tcPr>
            <w:tcW w:w="244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事业运行</w:t>
            </w:r>
          </w:p>
        </w:tc>
        <w:tc>
          <w:tcPr>
            <w:tcW w:w="168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66.30</w:t>
            </w:r>
          </w:p>
        </w:tc>
        <w:tc>
          <w:tcPr>
            <w:tcW w:w="1842"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66.30</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rPr>
              <w:t>201</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04</w:t>
            </w:r>
          </w:p>
        </w:tc>
        <w:tc>
          <w:tcPr>
            <w:tcW w:w="47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99</w:t>
            </w:r>
          </w:p>
        </w:tc>
        <w:tc>
          <w:tcPr>
            <w:tcW w:w="244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其他发展与改革事务支出</w:t>
            </w:r>
          </w:p>
        </w:tc>
        <w:tc>
          <w:tcPr>
            <w:tcW w:w="168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100.00</w:t>
            </w:r>
          </w:p>
        </w:tc>
        <w:tc>
          <w:tcPr>
            <w:tcW w:w="1842"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100.00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rPr>
              <w:t>208</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p>
        </w:tc>
        <w:tc>
          <w:tcPr>
            <w:tcW w:w="47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p>
        </w:tc>
        <w:tc>
          <w:tcPr>
            <w:tcW w:w="244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社会保障和就业支出</w:t>
            </w:r>
          </w:p>
        </w:tc>
        <w:tc>
          <w:tcPr>
            <w:tcW w:w="168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8.91</w:t>
            </w:r>
          </w:p>
        </w:tc>
        <w:tc>
          <w:tcPr>
            <w:tcW w:w="1842"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8.91</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rPr>
              <w:t>208</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05</w:t>
            </w:r>
          </w:p>
        </w:tc>
        <w:tc>
          <w:tcPr>
            <w:tcW w:w="47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p>
        </w:tc>
        <w:tc>
          <w:tcPr>
            <w:tcW w:w="244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行政事业单位养老支出</w:t>
            </w:r>
          </w:p>
        </w:tc>
        <w:tc>
          <w:tcPr>
            <w:tcW w:w="168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8.91</w:t>
            </w:r>
          </w:p>
        </w:tc>
        <w:tc>
          <w:tcPr>
            <w:tcW w:w="1842"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8.91</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rPr>
              <w:t>208</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05</w:t>
            </w:r>
          </w:p>
        </w:tc>
        <w:tc>
          <w:tcPr>
            <w:tcW w:w="47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05</w:t>
            </w:r>
          </w:p>
        </w:tc>
        <w:tc>
          <w:tcPr>
            <w:tcW w:w="244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机关事业单位基本养老保险缴费支出</w:t>
            </w:r>
          </w:p>
        </w:tc>
        <w:tc>
          <w:tcPr>
            <w:tcW w:w="168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8.91</w:t>
            </w:r>
          </w:p>
        </w:tc>
        <w:tc>
          <w:tcPr>
            <w:tcW w:w="1842"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8.91</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b/>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210</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c>
          <w:tcPr>
            <w:tcW w:w="47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c>
          <w:tcPr>
            <w:tcW w:w="244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卫生健康支出</w:t>
            </w:r>
          </w:p>
        </w:tc>
        <w:tc>
          <w:tcPr>
            <w:tcW w:w="168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7.00</w:t>
            </w:r>
          </w:p>
        </w:tc>
        <w:tc>
          <w:tcPr>
            <w:tcW w:w="1842"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7.00</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210</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11</w:t>
            </w:r>
          </w:p>
        </w:tc>
        <w:tc>
          <w:tcPr>
            <w:tcW w:w="47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c>
          <w:tcPr>
            <w:tcW w:w="244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行政事业单位医疗</w:t>
            </w:r>
          </w:p>
        </w:tc>
        <w:tc>
          <w:tcPr>
            <w:tcW w:w="168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7.00</w:t>
            </w:r>
          </w:p>
        </w:tc>
        <w:tc>
          <w:tcPr>
            <w:tcW w:w="1842"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7.00</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210</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11</w:t>
            </w:r>
          </w:p>
        </w:tc>
        <w:tc>
          <w:tcPr>
            <w:tcW w:w="47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02</w:t>
            </w:r>
          </w:p>
        </w:tc>
        <w:tc>
          <w:tcPr>
            <w:tcW w:w="244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事业单位医疗</w:t>
            </w:r>
          </w:p>
        </w:tc>
        <w:tc>
          <w:tcPr>
            <w:tcW w:w="168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5.29</w:t>
            </w:r>
          </w:p>
        </w:tc>
        <w:tc>
          <w:tcPr>
            <w:tcW w:w="1842"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5.29</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210</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11</w:t>
            </w:r>
          </w:p>
        </w:tc>
        <w:tc>
          <w:tcPr>
            <w:tcW w:w="47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03</w:t>
            </w:r>
          </w:p>
        </w:tc>
        <w:tc>
          <w:tcPr>
            <w:tcW w:w="244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公务员医疗补助</w:t>
            </w:r>
          </w:p>
        </w:tc>
        <w:tc>
          <w:tcPr>
            <w:tcW w:w="168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1.67</w:t>
            </w:r>
          </w:p>
        </w:tc>
        <w:tc>
          <w:tcPr>
            <w:tcW w:w="1842"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1.67</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210</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11</w:t>
            </w:r>
          </w:p>
        </w:tc>
        <w:tc>
          <w:tcPr>
            <w:tcW w:w="47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99</w:t>
            </w:r>
          </w:p>
        </w:tc>
        <w:tc>
          <w:tcPr>
            <w:tcW w:w="244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其他行政事业单位医疗支出</w:t>
            </w:r>
          </w:p>
        </w:tc>
        <w:tc>
          <w:tcPr>
            <w:tcW w:w="168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0.04</w:t>
            </w:r>
          </w:p>
        </w:tc>
        <w:tc>
          <w:tcPr>
            <w:tcW w:w="1842"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0.04</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221</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c>
          <w:tcPr>
            <w:tcW w:w="47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c>
          <w:tcPr>
            <w:tcW w:w="244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住房保障支出</w:t>
            </w:r>
          </w:p>
        </w:tc>
        <w:tc>
          <w:tcPr>
            <w:tcW w:w="168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8.20</w:t>
            </w:r>
          </w:p>
        </w:tc>
        <w:tc>
          <w:tcPr>
            <w:tcW w:w="1842"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8.20</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221</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02</w:t>
            </w:r>
          </w:p>
        </w:tc>
        <w:tc>
          <w:tcPr>
            <w:tcW w:w="47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c>
          <w:tcPr>
            <w:tcW w:w="244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住房改革支出</w:t>
            </w:r>
          </w:p>
        </w:tc>
        <w:tc>
          <w:tcPr>
            <w:tcW w:w="168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8.20</w:t>
            </w:r>
          </w:p>
        </w:tc>
        <w:tc>
          <w:tcPr>
            <w:tcW w:w="1842"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8.20</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221</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02</w:t>
            </w:r>
          </w:p>
        </w:tc>
        <w:tc>
          <w:tcPr>
            <w:tcW w:w="47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01</w:t>
            </w:r>
          </w:p>
        </w:tc>
        <w:tc>
          <w:tcPr>
            <w:tcW w:w="2448"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住房公积金</w:t>
            </w:r>
          </w:p>
        </w:tc>
        <w:tc>
          <w:tcPr>
            <w:tcW w:w="1684"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8.20</w:t>
            </w:r>
          </w:p>
        </w:tc>
        <w:tc>
          <w:tcPr>
            <w:tcW w:w="1842"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8.20</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c>
          <w:tcPr>
            <w:tcW w:w="47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c>
          <w:tcPr>
            <w:tcW w:w="244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0"/>
                <w:szCs w:val="20"/>
                <w:highlight w:val="none"/>
              </w:rPr>
            </w:pP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0"/>
                <w:szCs w:val="20"/>
                <w:highlight w:val="none"/>
              </w:rPr>
            </w:pPr>
          </w:p>
        </w:tc>
        <w:tc>
          <w:tcPr>
            <w:tcW w:w="184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c>
          <w:tcPr>
            <w:tcW w:w="47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c>
          <w:tcPr>
            <w:tcW w:w="244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0"/>
                <w:szCs w:val="20"/>
                <w:highlight w:val="none"/>
              </w:rPr>
            </w:pP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0"/>
                <w:szCs w:val="20"/>
                <w:highlight w:val="none"/>
              </w:rPr>
            </w:pPr>
          </w:p>
        </w:tc>
        <w:tc>
          <w:tcPr>
            <w:tcW w:w="184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c>
          <w:tcPr>
            <w:tcW w:w="47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c>
          <w:tcPr>
            <w:tcW w:w="244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0"/>
                <w:szCs w:val="20"/>
                <w:highlight w:val="none"/>
              </w:rPr>
            </w:pP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0"/>
                <w:szCs w:val="20"/>
                <w:highlight w:val="none"/>
              </w:rPr>
            </w:pPr>
          </w:p>
        </w:tc>
        <w:tc>
          <w:tcPr>
            <w:tcW w:w="184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c>
          <w:tcPr>
            <w:tcW w:w="47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c>
          <w:tcPr>
            <w:tcW w:w="244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0"/>
                <w:szCs w:val="20"/>
                <w:highlight w:val="none"/>
              </w:rPr>
            </w:pP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0"/>
                <w:szCs w:val="20"/>
                <w:highlight w:val="none"/>
              </w:rPr>
            </w:pPr>
          </w:p>
        </w:tc>
        <w:tc>
          <w:tcPr>
            <w:tcW w:w="184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c>
          <w:tcPr>
            <w:tcW w:w="47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c>
          <w:tcPr>
            <w:tcW w:w="244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0"/>
                <w:szCs w:val="20"/>
                <w:highlight w:val="none"/>
              </w:rPr>
            </w:pP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0"/>
                <w:szCs w:val="20"/>
                <w:highlight w:val="none"/>
              </w:rPr>
            </w:pPr>
          </w:p>
        </w:tc>
        <w:tc>
          <w:tcPr>
            <w:tcW w:w="184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c>
          <w:tcPr>
            <w:tcW w:w="47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rPr>
            </w:pPr>
          </w:p>
        </w:tc>
        <w:tc>
          <w:tcPr>
            <w:tcW w:w="244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0"/>
                <w:szCs w:val="20"/>
                <w:highlight w:val="none"/>
              </w:rPr>
            </w:pPr>
            <w:r>
              <w:rPr>
                <w:rFonts w:hint="eastAsia" w:ascii="宋体" w:hAnsi="宋体" w:cs="宋体"/>
                <w:b/>
                <w:bCs/>
                <w:color w:val="000000"/>
                <w:kern w:val="0"/>
                <w:sz w:val="20"/>
                <w:szCs w:val="20"/>
                <w:highlight w:val="none"/>
              </w:rPr>
              <w:t>合  计</w:t>
            </w:r>
          </w:p>
        </w:tc>
        <w:tc>
          <w:tcPr>
            <w:tcW w:w="168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190.41</w:t>
            </w:r>
          </w:p>
        </w:tc>
        <w:tc>
          <w:tcPr>
            <w:tcW w:w="184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90.41</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100</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outlineLvl w:val="1"/>
        <w:rPr>
          <w:rFonts w:ascii="仿宋_GB2312" w:hAnsi="宋体" w:eastAsia="仿宋_GB2312"/>
          <w:b/>
          <w:kern w:val="0"/>
          <w:sz w:val="28"/>
          <w:szCs w:val="32"/>
          <w:highlight w:val="none"/>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表6</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1701"/>
        <w:gridCol w:w="1701"/>
        <w:gridCol w:w="1701"/>
      </w:tblGrid>
      <w:tr>
        <w:tblPrEx>
          <w:tblCellMar>
            <w:top w:w="0" w:type="dxa"/>
            <w:left w:w="108" w:type="dxa"/>
            <w:bottom w:w="0" w:type="dxa"/>
            <w:right w:w="108" w:type="dxa"/>
          </w:tblCellMar>
        </w:tblPrEx>
        <w:trPr>
          <w:trHeight w:val="375" w:hRule="atLeast"/>
        </w:trPr>
        <w:tc>
          <w:tcPr>
            <w:tcW w:w="9328" w:type="dxa"/>
            <w:gridSpan w:val="6"/>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center"/>
              <w:rPr>
                <w:rFonts w:hint="eastAsia" w:ascii="方正小标宋_GBK" w:hAnsi="方正小标宋_GBK" w:eastAsia="方正小标宋_GBK" w:cs="方正小标宋_GBK"/>
                <w:color w:val="000000"/>
                <w:kern w:val="0"/>
                <w:sz w:val="32"/>
                <w:szCs w:val="32"/>
                <w:highlight w:val="none"/>
              </w:rPr>
            </w:pPr>
            <w:r>
              <w:rPr>
                <w:rFonts w:hint="eastAsia" w:ascii="方正小标宋_GBK" w:hAnsi="方正小标宋_GBK" w:eastAsia="方正小标宋_GBK" w:cs="方正小标宋_GBK"/>
                <w:color w:val="000000"/>
                <w:kern w:val="0"/>
                <w:sz w:val="32"/>
                <w:szCs w:val="32"/>
                <w:highlight w:val="none"/>
              </w:rPr>
              <w:t>一般公共预算基本支出情况表</w:t>
            </w:r>
          </w:p>
          <w:p>
            <w:pPr>
              <w:keepNext w:val="0"/>
              <w:keepLines w:val="0"/>
              <w:widowControl/>
              <w:suppressLineNumbers w:val="0"/>
              <w:spacing w:before="0" w:beforeAutospacing="0" w:after="0" w:afterAutospacing="0" w:line="440" w:lineRule="exact"/>
              <w:ind w:left="0" w:right="0"/>
              <w:outlineLvl w:val="1"/>
              <w:rPr>
                <w:rFonts w:hint="eastAsia" w:ascii="方正小标宋_GBK" w:hAnsi="方正小标宋_GBK" w:eastAsia="方正小标宋_GBK" w:cs="方正小标宋_GBK"/>
                <w:color w:val="000000"/>
                <w:kern w:val="0"/>
                <w:sz w:val="32"/>
                <w:szCs w:val="32"/>
                <w:highlight w:val="none"/>
              </w:rPr>
            </w:pPr>
            <w:r>
              <w:rPr>
                <w:rFonts w:hint="eastAsia" w:ascii="仿宋_GB2312" w:hAnsi="宋体" w:eastAsia="仿宋_GB2312"/>
                <w:kern w:val="0"/>
                <w:sz w:val="24"/>
                <w:highlight w:val="none"/>
              </w:rPr>
              <w:t>编制部门（单位）： 昌吉州对口援疆工作领导小组办公室           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项目</w:t>
            </w:r>
          </w:p>
        </w:tc>
        <w:tc>
          <w:tcPr>
            <w:tcW w:w="5103" w:type="dxa"/>
            <w:gridSpan w:val="3"/>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合  计</w:t>
            </w:r>
          </w:p>
        </w:tc>
        <w:tc>
          <w:tcPr>
            <w:tcW w:w="1701" w:type="dxa"/>
            <w:vMerge w:val="restart"/>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2891"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仿宋_GB2312" w:hAnsi="宋体" w:eastAsia="仿宋_GB2312"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b/>
                <w:bCs/>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工资福利支出</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80.73</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80.73</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01</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基本工资</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24.93</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24.93</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02</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津贴补贴</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6.48</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6.48</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03</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奖金</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2.04</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2.04</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07</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绩效工资</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22.95</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22.95</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08</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机关事业单位基本养老保险缴费</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8.91</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8.91</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10</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城镇职工基本医疗保险缴费</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5.29</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5.29</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11</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公务员医疗补助缴费</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1.67</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1.67</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12</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其他社会保障缴费</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0.27</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0.27</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301</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13</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住房公积金</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8.20</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8.2</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商品和服务支出</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9.68</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9.68</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01</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办公费</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4.01</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4.01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02</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印刷费</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0.30</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0.3</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06</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电费</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0.50</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07</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邮电费</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0.10</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11</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差旅费</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0.28</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0.28</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28</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工会经费</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1.05</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1.05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29</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福利费</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0.95</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0.95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31</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公务用车运行维护费</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2.00</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302</w:t>
            </w: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99</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其他商品和服务支出</w:t>
            </w: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0.49</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p>
        </w:tc>
        <w:tc>
          <w:tcPr>
            <w:tcW w:w="1701" w:type="dxa"/>
            <w:tcBorders>
              <w:top w:val="nil"/>
              <w:left w:val="nil"/>
              <w:bottom w:val="single" w:color="auto" w:sz="4" w:space="0"/>
              <w:right w:val="single" w:color="auto" w:sz="4" w:space="0"/>
            </w:tcBorders>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0.49</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0"/>
                <w:szCs w:val="20"/>
                <w:highlight w:val="none"/>
              </w:rPr>
            </w:pP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0"/>
                <w:szCs w:val="20"/>
                <w:highlight w:val="none"/>
              </w:rPr>
            </w:pP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0"/>
                <w:szCs w:val="20"/>
                <w:highlight w:val="none"/>
              </w:rPr>
            </w:pP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0"/>
                <w:szCs w:val="20"/>
                <w:highlight w:val="none"/>
              </w:rPr>
            </w:pP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0"/>
                <w:szCs w:val="20"/>
                <w:highlight w:val="none"/>
              </w:rPr>
            </w:pP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0"/>
                <w:szCs w:val="20"/>
                <w:highlight w:val="none"/>
              </w:rPr>
            </w:pP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0"/>
                <w:szCs w:val="20"/>
                <w:highlight w:val="none"/>
              </w:rPr>
            </w:pPr>
          </w:p>
        </w:tc>
        <w:tc>
          <w:tcPr>
            <w:tcW w:w="57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0"/>
                <w:szCs w:val="20"/>
                <w:highlight w:val="none"/>
              </w:rPr>
            </w:pPr>
          </w:p>
        </w:tc>
        <w:tc>
          <w:tcPr>
            <w:tcW w:w="289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color w:val="000000"/>
                <w:kern w:val="0"/>
                <w:sz w:val="20"/>
                <w:szCs w:val="20"/>
                <w:highlight w:val="none"/>
              </w:rPr>
            </w:pPr>
            <w:r>
              <w:rPr>
                <w:rFonts w:hint="eastAsia" w:ascii="宋体" w:hAnsi="宋体" w:cs="宋体"/>
                <w:b/>
                <w:bCs/>
                <w:color w:val="000000"/>
                <w:kern w:val="0"/>
                <w:sz w:val="20"/>
                <w:szCs w:val="20"/>
                <w:highlight w:val="none"/>
              </w:rPr>
              <w:t>合  计</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90.41</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80.73</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color w:val="000000"/>
                <w:kern w:val="0"/>
                <w:sz w:val="20"/>
                <w:szCs w:val="20"/>
                <w:highlight w:val="none"/>
                <w:lang w:val="en-US" w:eastAsia="zh-CN"/>
              </w:rPr>
              <w:t>9.68</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表7</w:t>
      </w:r>
    </w:p>
    <w:tbl>
      <w:tblPr>
        <w:tblStyle w:val="6"/>
        <w:tblW w:w="9540" w:type="dxa"/>
        <w:tblInd w:w="-360" w:type="dxa"/>
        <w:tblLayout w:type="fixed"/>
        <w:tblCellMar>
          <w:top w:w="0" w:type="dxa"/>
          <w:left w:w="108" w:type="dxa"/>
          <w:bottom w:w="0" w:type="dxa"/>
          <w:right w:w="108" w:type="dxa"/>
        </w:tblCellMar>
      </w:tblPr>
      <w:tblGrid>
        <w:gridCol w:w="8"/>
        <w:gridCol w:w="389"/>
        <w:gridCol w:w="397"/>
        <w:gridCol w:w="397"/>
        <w:gridCol w:w="1086"/>
        <w:gridCol w:w="1221"/>
        <w:gridCol w:w="750"/>
        <w:gridCol w:w="569"/>
        <w:gridCol w:w="536"/>
        <w:gridCol w:w="652"/>
        <w:gridCol w:w="652"/>
        <w:gridCol w:w="578"/>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6"/>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center"/>
              <w:rPr>
                <w:rFonts w:hint="eastAsia" w:ascii="方正小标宋_GBK" w:hAnsi="方正小标宋_GBK" w:eastAsia="方正小标宋_GBK" w:cs="方正小标宋_GBK"/>
                <w:color w:val="000000"/>
                <w:kern w:val="0"/>
                <w:sz w:val="32"/>
                <w:szCs w:val="32"/>
                <w:highlight w:val="none"/>
              </w:rPr>
            </w:pPr>
            <w:r>
              <w:rPr>
                <w:rFonts w:hint="eastAsia" w:ascii="方正小标宋_GBK" w:hAnsi="方正小标宋_GBK" w:eastAsia="方正小标宋_GBK" w:cs="方正小标宋_GBK"/>
                <w:color w:val="000000"/>
                <w:kern w:val="0"/>
                <w:sz w:val="32"/>
                <w:szCs w:val="32"/>
                <w:highlight w:val="none"/>
              </w:rPr>
              <w:t>一般公共预算项目支出情况表</w:t>
            </w:r>
          </w:p>
          <w:p>
            <w:pPr>
              <w:keepNext w:val="0"/>
              <w:keepLines w:val="0"/>
              <w:widowControl/>
              <w:suppressLineNumbers w:val="0"/>
              <w:spacing w:before="0" w:beforeAutospacing="0" w:after="0" w:afterAutospacing="0" w:line="440" w:lineRule="exact"/>
              <w:ind w:left="0" w:right="0"/>
              <w:outlineLvl w:val="1"/>
              <w:rPr>
                <w:rFonts w:hint="eastAsia" w:ascii="方正小标宋_GBK" w:hAnsi="方正小标宋_GBK" w:eastAsia="方正小标宋_GBK" w:cs="方正小标宋_GBK"/>
                <w:color w:val="000000"/>
                <w:kern w:val="0"/>
                <w:sz w:val="32"/>
                <w:szCs w:val="32"/>
                <w:highlight w:val="none"/>
              </w:rPr>
            </w:pPr>
            <w:r>
              <w:rPr>
                <w:rFonts w:hint="eastAsia" w:ascii="仿宋_GB2312" w:hAnsi="宋体" w:eastAsia="仿宋_GB2312"/>
                <w:kern w:val="0"/>
                <w:sz w:val="24"/>
                <w:highlight w:val="none"/>
              </w:rPr>
              <w:t xml:space="preserve">编制部门（单位）： 昌吉州对口援疆工作领导小组办公室        </w:t>
            </w:r>
            <w:r>
              <w:rPr>
                <w:rFonts w:hint="eastAsia" w:ascii="仿宋_GB2312" w:hAnsi="宋体" w:eastAsia="仿宋_GB2312"/>
                <w:kern w:val="0"/>
                <w:sz w:val="24"/>
                <w:highlight w:val="none"/>
                <w:lang w:val="en-US" w:eastAsia="zh-CN"/>
              </w:rPr>
              <w:t xml:space="preserve"> </w:t>
            </w:r>
            <w:r>
              <w:rPr>
                <w:rFonts w:hint="eastAsia" w:ascii="仿宋_GB2312" w:hAnsi="宋体" w:eastAsia="仿宋_GB2312"/>
                <w:kern w:val="0"/>
                <w:sz w:val="24"/>
                <w:highlight w:val="none"/>
              </w:rPr>
              <w:t xml:space="preserve">   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vAlign w:val="center"/>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 目 编 码</w:t>
            </w:r>
          </w:p>
        </w:tc>
        <w:tc>
          <w:tcPr>
            <w:tcW w:w="1086" w:type="dxa"/>
            <w:vMerge w:val="restart"/>
            <w:vAlign w:val="center"/>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科目</w:t>
            </w:r>
          </w:p>
        </w:tc>
        <w:tc>
          <w:tcPr>
            <w:tcW w:w="1221" w:type="dxa"/>
            <w:vMerge w:val="restart"/>
            <w:vAlign w:val="center"/>
          </w:tcPr>
          <w:p>
            <w:pPr>
              <w:keepNext w:val="0"/>
              <w:keepLines w:val="0"/>
              <w:suppressLineNumbers w:val="0"/>
              <w:spacing w:before="0" w:beforeAutospacing="0" w:after="0" w:afterAutospacing="0"/>
              <w:ind w:left="0" w:right="0"/>
              <w:jc w:val="center"/>
              <w:rPr>
                <w:rFonts w:hint="default" w:ascii="Calibri" w:hAnsi="Calibri"/>
                <w:sz w:val="24"/>
                <w:highlight w:val="none"/>
              </w:rPr>
            </w:pPr>
            <w:r>
              <w:rPr>
                <w:rFonts w:hint="eastAsia" w:ascii="仿宋_GB2312" w:hAnsi="宋体" w:eastAsia="仿宋_GB2312"/>
                <w:b/>
                <w:kern w:val="0"/>
                <w:sz w:val="24"/>
                <w:highlight w:val="none"/>
              </w:rPr>
              <w:t>项目名称</w:t>
            </w:r>
          </w:p>
        </w:tc>
        <w:tc>
          <w:tcPr>
            <w:tcW w:w="750" w:type="dxa"/>
            <w:vMerge w:val="restart"/>
            <w:vAlign w:val="center"/>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项目支出合计</w:t>
            </w:r>
          </w:p>
        </w:tc>
        <w:tc>
          <w:tcPr>
            <w:tcW w:w="569" w:type="dxa"/>
            <w:vMerge w:val="restart"/>
            <w:vAlign w:val="center"/>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b/>
                <w:kern w:val="0"/>
                <w:sz w:val="18"/>
                <w:szCs w:val="18"/>
                <w:highlight w:val="none"/>
              </w:rPr>
            </w:pPr>
            <w:r>
              <w:rPr>
                <w:rFonts w:hint="eastAsia" w:ascii="仿宋_GB2312" w:hAnsi="宋体" w:eastAsia="仿宋_GB2312"/>
                <w:b/>
                <w:kern w:val="0"/>
                <w:sz w:val="18"/>
                <w:szCs w:val="18"/>
                <w:highlight w:val="none"/>
              </w:rPr>
              <w:t>工资福利支出</w:t>
            </w:r>
          </w:p>
        </w:tc>
        <w:tc>
          <w:tcPr>
            <w:tcW w:w="536" w:type="dxa"/>
            <w:vMerge w:val="restart"/>
            <w:vAlign w:val="center"/>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b/>
                <w:kern w:val="0"/>
                <w:sz w:val="18"/>
                <w:szCs w:val="18"/>
                <w:highlight w:val="none"/>
              </w:rPr>
            </w:pPr>
            <w:r>
              <w:rPr>
                <w:rFonts w:hint="eastAsia" w:ascii="仿宋_GB2312" w:hAnsi="宋体" w:eastAsia="仿宋_GB2312"/>
                <w:b/>
                <w:kern w:val="0"/>
                <w:sz w:val="18"/>
                <w:szCs w:val="18"/>
                <w:highlight w:val="none"/>
              </w:rPr>
              <w:t>商品和服务支出</w:t>
            </w:r>
          </w:p>
        </w:tc>
        <w:tc>
          <w:tcPr>
            <w:tcW w:w="652" w:type="dxa"/>
            <w:vMerge w:val="restart"/>
            <w:vAlign w:val="center"/>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对个人和家庭的补助</w:t>
            </w:r>
          </w:p>
        </w:tc>
        <w:tc>
          <w:tcPr>
            <w:tcW w:w="652" w:type="dxa"/>
            <w:vMerge w:val="restart"/>
            <w:vAlign w:val="center"/>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b/>
                <w:kern w:val="0"/>
                <w:sz w:val="18"/>
                <w:szCs w:val="18"/>
                <w:highlight w:val="none"/>
              </w:rPr>
            </w:pPr>
            <w:r>
              <w:rPr>
                <w:rFonts w:hint="eastAsia" w:ascii="仿宋_GB2312" w:hAnsi="宋体" w:eastAsia="仿宋_GB2312"/>
                <w:b/>
                <w:kern w:val="0"/>
                <w:sz w:val="18"/>
                <w:szCs w:val="18"/>
                <w:highlight w:val="none"/>
              </w:rPr>
              <w:t>债务利息及费用支出</w:t>
            </w:r>
          </w:p>
        </w:tc>
        <w:tc>
          <w:tcPr>
            <w:tcW w:w="578" w:type="dxa"/>
            <w:vMerge w:val="restart"/>
            <w:vAlign w:val="center"/>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资本性支出（基本建设）</w:t>
            </w:r>
          </w:p>
        </w:tc>
        <w:tc>
          <w:tcPr>
            <w:tcW w:w="419" w:type="dxa"/>
            <w:vMerge w:val="restart"/>
            <w:vAlign w:val="center"/>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w:t>
            </w:r>
          </w:p>
        </w:tc>
        <w:tc>
          <w:tcPr>
            <w:tcW w:w="578" w:type="dxa"/>
            <w:vMerge w:val="restart"/>
            <w:vAlign w:val="center"/>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对企业补助（基本建设）</w:t>
            </w:r>
          </w:p>
        </w:tc>
        <w:tc>
          <w:tcPr>
            <w:tcW w:w="420" w:type="dxa"/>
            <w:vMerge w:val="restart"/>
            <w:vAlign w:val="center"/>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w:t>
            </w:r>
          </w:p>
        </w:tc>
        <w:tc>
          <w:tcPr>
            <w:tcW w:w="420" w:type="dxa"/>
            <w:vMerge w:val="restart"/>
            <w:vAlign w:val="center"/>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对社会保障基金补助</w:t>
            </w:r>
          </w:p>
        </w:tc>
        <w:tc>
          <w:tcPr>
            <w:tcW w:w="468" w:type="dxa"/>
            <w:gridSpan w:val="2"/>
            <w:vMerge w:val="restart"/>
            <w:vAlign w:val="center"/>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b/>
                <w:kern w:val="0"/>
                <w:sz w:val="18"/>
                <w:szCs w:val="18"/>
                <w:highlight w:val="none"/>
              </w:rPr>
            </w:pPr>
            <w:r>
              <w:rPr>
                <w:rFonts w:hint="eastAsia" w:ascii="仿宋_GB2312" w:hAnsi="宋体" w:eastAsia="仿宋_GB2312"/>
                <w:b/>
                <w:kern w:val="0"/>
                <w:sz w:val="18"/>
                <w:szCs w:val="18"/>
                <w:highlight w:val="none"/>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keepNext w:val="0"/>
              <w:keepLines w:val="0"/>
              <w:widowControl/>
              <w:suppressLineNumbers w:val="0"/>
              <w:spacing w:before="0" w:beforeAutospacing="0" w:after="0" w:afterAutospacing="0"/>
              <w:ind w:left="0" w:right="0"/>
              <w:jc w:val="left"/>
              <w:outlineLvl w:val="1"/>
              <w:rPr>
                <w:rFonts w:hint="default" w:ascii="仿宋_GB2312" w:hAnsi="宋体" w:eastAsia="仿宋_GB2312"/>
                <w:b/>
                <w:kern w:val="0"/>
                <w:sz w:val="18"/>
                <w:szCs w:val="18"/>
                <w:highlight w:val="none"/>
              </w:rPr>
            </w:pPr>
            <w:r>
              <w:rPr>
                <w:rFonts w:hint="eastAsia" w:ascii="仿宋_GB2312" w:hAnsi="宋体" w:eastAsia="仿宋_GB2312"/>
                <w:b/>
                <w:kern w:val="0"/>
                <w:sz w:val="18"/>
                <w:szCs w:val="18"/>
                <w:highlight w:val="none"/>
              </w:rPr>
              <w:t>类</w:t>
            </w:r>
          </w:p>
        </w:tc>
        <w:tc>
          <w:tcPr>
            <w:tcW w:w="397" w:type="dxa"/>
            <w:tcBorders>
              <w:bottom w:val="single" w:color="auto" w:sz="4" w:space="0"/>
            </w:tcBorders>
            <w:vAlign w:val="center"/>
          </w:tcPr>
          <w:p>
            <w:pPr>
              <w:keepNext w:val="0"/>
              <w:keepLines w:val="0"/>
              <w:widowControl/>
              <w:suppressLineNumbers w:val="0"/>
              <w:spacing w:before="0" w:beforeAutospacing="0" w:after="0" w:afterAutospacing="0"/>
              <w:ind w:left="0" w:right="0"/>
              <w:jc w:val="left"/>
              <w:outlineLvl w:val="1"/>
              <w:rPr>
                <w:rFonts w:hint="default" w:ascii="仿宋_GB2312" w:hAnsi="宋体" w:eastAsia="仿宋_GB2312"/>
                <w:b/>
                <w:kern w:val="0"/>
                <w:sz w:val="18"/>
                <w:szCs w:val="18"/>
                <w:highlight w:val="none"/>
              </w:rPr>
            </w:pPr>
            <w:r>
              <w:rPr>
                <w:rFonts w:hint="eastAsia" w:ascii="仿宋_GB2312" w:hAnsi="宋体" w:eastAsia="仿宋_GB2312"/>
                <w:b/>
                <w:kern w:val="0"/>
                <w:sz w:val="18"/>
                <w:szCs w:val="18"/>
                <w:highlight w:val="none"/>
              </w:rPr>
              <w:t>款</w:t>
            </w:r>
          </w:p>
        </w:tc>
        <w:tc>
          <w:tcPr>
            <w:tcW w:w="397" w:type="dxa"/>
            <w:tcBorders>
              <w:bottom w:val="single" w:color="auto" w:sz="4" w:space="0"/>
            </w:tcBorders>
            <w:vAlign w:val="center"/>
          </w:tcPr>
          <w:p>
            <w:pPr>
              <w:keepNext w:val="0"/>
              <w:keepLines w:val="0"/>
              <w:widowControl/>
              <w:suppressLineNumbers w:val="0"/>
              <w:spacing w:before="0" w:beforeAutospacing="0" w:after="0" w:afterAutospacing="0"/>
              <w:ind w:left="0" w:right="0"/>
              <w:jc w:val="left"/>
              <w:outlineLvl w:val="1"/>
              <w:rPr>
                <w:rFonts w:hint="default"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w:t>
            </w:r>
          </w:p>
        </w:tc>
        <w:tc>
          <w:tcPr>
            <w:tcW w:w="1086" w:type="dxa"/>
            <w:vMerge w:val="continue"/>
            <w:tcBorders>
              <w:bottom w:val="single" w:color="auto" w:sz="4" w:space="0"/>
            </w:tcBorders>
            <w:vAlign w:val="center"/>
          </w:tcPr>
          <w:p>
            <w:pPr>
              <w:keepNext w:val="0"/>
              <w:keepLines w:val="0"/>
              <w:widowControl/>
              <w:suppressLineNumbers w:val="0"/>
              <w:spacing w:before="0" w:beforeAutospacing="0" w:after="0" w:afterAutospacing="0"/>
              <w:ind w:left="0" w:right="0"/>
              <w:jc w:val="left"/>
              <w:outlineLvl w:val="1"/>
              <w:rPr>
                <w:rFonts w:hint="default" w:ascii="仿宋_GB2312" w:hAnsi="宋体" w:eastAsia="仿宋_GB2312"/>
                <w:b/>
                <w:kern w:val="0"/>
                <w:sz w:val="18"/>
                <w:szCs w:val="18"/>
                <w:highlight w:val="none"/>
              </w:rPr>
            </w:pPr>
          </w:p>
        </w:tc>
        <w:tc>
          <w:tcPr>
            <w:tcW w:w="1221" w:type="dxa"/>
            <w:vMerge w:val="continue"/>
            <w:tcBorders>
              <w:bottom w:val="single" w:color="auto" w:sz="4" w:space="0"/>
            </w:tcBorders>
          </w:tcPr>
          <w:p>
            <w:pPr>
              <w:keepNext w:val="0"/>
              <w:keepLines w:val="0"/>
              <w:widowControl/>
              <w:suppressLineNumbers w:val="0"/>
              <w:spacing w:before="0" w:beforeAutospacing="0" w:after="0" w:afterAutospacing="0"/>
              <w:ind w:left="0" w:right="0"/>
              <w:jc w:val="left"/>
              <w:outlineLvl w:val="1"/>
              <w:rPr>
                <w:rFonts w:hint="default" w:ascii="仿宋_GB2312" w:hAnsi="宋体" w:eastAsia="仿宋_GB2312"/>
                <w:b/>
                <w:kern w:val="0"/>
                <w:sz w:val="18"/>
                <w:szCs w:val="18"/>
                <w:highlight w:val="none"/>
              </w:rPr>
            </w:pPr>
          </w:p>
        </w:tc>
        <w:tc>
          <w:tcPr>
            <w:tcW w:w="750" w:type="dxa"/>
            <w:vMerge w:val="continue"/>
            <w:tcBorders>
              <w:bottom w:val="single" w:color="auto" w:sz="4" w:space="0"/>
            </w:tcBorders>
          </w:tcPr>
          <w:p>
            <w:pPr>
              <w:keepNext w:val="0"/>
              <w:keepLines w:val="0"/>
              <w:widowControl/>
              <w:suppressLineNumbers w:val="0"/>
              <w:spacing w:before="0" w:beforeAutospacing="0" w:after="0" w:afterAutospacing="0"/>
              <w:ind w:left="0" w:right="0"/>
              <w:jc w:val="left"/>
              <w:outlineLvl w:val="1"/>
              <w:rPr>
                <w:rFonts w:hint="default" w:ascii="仿宋_GB2312" w:hAnsi="宋体" w:eastAsia="仿宋_GB2312"/>
                <w:b/>
                <w:kern w:val="0"/>
                <w:sz w:val="18"/>
                <w:szCs w:val="18"/>
                <w:highlight w:val="none"/>
              </w:rPr>
            </w:pPr>
          </w:p>
        </w:tc>
        <w:tc>
          <w:tcPr>
            <w:tcW w:w="569" w:type="dxa"/>
            <w:vMerge w:val="continue"/>
            <w:tcBorders>
              <w:bottom w:val="single" w:color="auto" w:sz="4" w:space="0"/>
            </w:tcBorders>
          </w:tcPr>
          <w:p>
            <w:pPr>
              <w:keepNext w:val="0"/>
              <w:keepLines w:val="0"/>
              <w:widowControl/>
              <w:suppressLineNumbers w:val="0"/>
              <w:spacing w:before="0" w:beforeAutospacing="0" w:after="0" w:afterAutospacing="0"/>
              <w:ind w:left="0" w:right="0"/>
              <w:jc w:val="left"/>
              <w:outlineLvl w:val="1"/>
              <w:rPr>
                <w:rFonts w:hint="default" w:ascii="仿宋_GB2312" w:hAnsi="宋体" w:eastAsia="仿宋_GB2312"/>
                <w:b/>
                <w:kern w:val="0"/>
                <w:sz w:val="18"/>
                <w:szCs w:val="18"/>
                <w:highlight w:val="none"/>
              </w:rPr>
            </w:pPr>
          </w:p>
        </w:tc>
        <w:tc>
          <w:tcPr>
            <w:tcW w:w="536" w:type="dxa"/>
            <w:vMerge w:val="continue"/>
            <w:tcBorders>
              <w:bottom w:val="single" w:color="auto" w:sz="4" w:space="0"/>
            </w:tcBorders>
          </w:tcPr>
          <w:p>
            <w:pPr>
              <w:keepNext w:val="0"/>
              <w:keepLines w:val="0"/>
              <w:widowControl/>
              <w:suppressLineNumbers w:val="0"/>
              <w:spacing w:before="0" w:beforeAutospacing="0" w:after="0" w:afterAutospacing="0"/>
              <w:ind w:left="0" w:right="0"/>
              <w:jc w:val="left"/>
              <w:outlineLvl w:val="1"/>
              <w:rPr>
                <w:rFonts w:hint="default" w:ascii="仿宋_GB2312" w:hAnsi="宋体" w:eastAsia="仿宋_GB2312"/>
                <w:b/>
                <w:kern w:val="0"/>
                <w:sz w:val="18"/>
                <w:szCs w:val="18"/>
                <w:highlight w:val="none"/>
              </w:rPr>
            </w:pPr>
          </w:p>
        </w:tc>
        <w:tc>
          <w:tcPr>
            <w:tcW w:w="652" w:type="dxa"/>
            <w:vMerge w:val="continue"/>
            <w:tcBorders>
              <w:bottom w:val="single" w:color="auto" w:sz="4" w:space="0"/>
            </w:tcBorders>
          </w:tcPr>
          <w:p>
            <w:pPr>
              <w:keepNext w:val="0"/>
              <w:keepLines w:val="0"/>
              <w:widowControl/>
              <w:suppressLineNumbers w:val="0"/>
              <w:spacing w:before="0" w:beforeAutospacing="0" w:after="0" w:afterAutospacing="0"/>
              <w:ind w:left="0" w:right="0"/>
              <w:jc w:val="left"/>
              <w:outlineLvl w:val="1"/>
              <w:rPr>
                <w:rFonts w:hint="default" w:ascii="仿宋_GB2312" w:hAnsi="宋体" w:eastAsia="仿宋_GB2312"/>
                <w:b/>
                <w:kern w:val="0"/>
                <w:sz w:val="18"/>
                <w:szCs w:val="18"/>
                <w:highlight w:val="none"/>
              </w:rPr>
            </w:pPr>
          </w:p>
        </w:tc>
        <w:tc>
          <w:tcPr>
            <w:tcW w:w="652" w:type="dxa"/>
            <w:vMerge w:val="continue"/>
            <w:tcBorders>
              <w:bottom w:val="single" w:color="auto" w:sz="4" w:space="0"/>
            </w:tcBorders>
          </w:tcPr>
          <w:p>
            <w:pPr>
              <w:keepNext w:val="0"/>
              <w:keepLines w:val="0"/>
              <w:widowControl/>
              <w:suppressLineNumbers w:val="0"/>
              <w:spacing w:before="0" w:beforeAutospacing="0" w:after="0" w:afterAutospacing="0"/>
              <w:ind w:left="0" w:right="0"/>
              <w:jc w:val="left"/>
              <w:outlineLvl w:val="1"/>
              <w:rPr>
                <w:rFonts w:hint="default" w:ascii="仿宋_GB2312" w:hAnsi="宋体" w:eastAsia="仿宋_GB2312"/>
                <w:b/>
                <w:kern w:val="0"/>
                <w:sz w:val="18"/>
                <w:szCs w:val="18"/>
                <w:highlight w:val="none"/>
              </w:rPr>
            </w:pPr>
          </w:p>
        </w:tc>
        <w:tc>
          <w:tcPr>
            <w:tcW w:w="578" w:type="dxa"/>
            <w:vMerge w:val="continue"/>
            <w:tcBorders>
              <w:bottom w:val="single" w:color="auto" w:sz="4" w:space="0"/>
            </w:tcBorders>
          </w:tcPr>
          <w:p>
            <w:pPr>
              <w:keepNext w:val="0"/>
              <w:keepLines w:val="0"/>
              <w:widowControl/>
              <w:suppressLineNumbers w:val="0"/>
              <w:spacing w:before="0" w:beforeAutospacing="0" w:after="0" w:afterAutospacing="0"/>
              <w:ind w:left="0" w:right="0"/>
              <w:jc w:val="left"/>
              <w:outlineLvl w:val="1"/>
              <w:rPr>
                <w:rFonts w:hint="default" w:ascii="仿宋_GB2312" w:hAnsi="宋体" w:eastAsia="仿宋_GB2312"/>
                <w:b/>
                <w:kern w:val="0"/>
                <w:sz w:val="18"/>
                <w:szCs w:val="18"/>
                <w:highlight w:val="none"/>
              </w:rPr>
            </w:pPr>
          </w:p>
        </w:tc>
        <w:tc>
          <w:tcPr>
            <w:tcW w:w="419" w:type="dxa"/>
            <w:vMerge w:val="continue"/>
            <w:tcBorders>
              <w:bottom w:val="single" w:color="auto" w:sz="4" w:space="0"/>
            </w:tcBorders>
          </w:tcPr>
          <w:p>
            <w:pPr>
              <w:keepNext w:val="0"/>
              <w:keepLines w:val="0"/>
              <w:widowControl/>
              <w:suppressLineNumbers w:val="0"/>
              <w:spacing w:before="0" w:beforeAutospacing="0" w:after="0" w:afterAutospacing="0"/>
              <w:ind w:left="0" w:right="0"/>
              <w:jc w:val="left"/>
              <w:outlineLvl w:val="1"/>
              <w:rPr>
                <w:rFonts w:hint="default" w:ascii="仿宋_GB2312" w:hAnsi="宋体" w:eastAsia="仿宋_GB2312"/>
                <w:b/>
                <w:kern w:val="0"/>
                <w:sz w:val="18"/>
                <w:szCs w:val="18"/>
                <w:highlight w:val="none"/>
              </w:rPr>
            </w:pPr>
          </w:p>
        </w:tc>
        <w:tc>
          <w:tcPr>
            <w:tcW w:w="578" w:type="dxa"/>
            <w:vMerge w:val="continue"/>
            <w:tcBorders>
              <w:bottom w:val="single" w:color="auto" w:sz="4" w:space="0"/>
            </w:tcBorders>
          </w:tcPr>
          <w:p>
            <w:pPr>
              <w:keepNext w:val="0"/>
              <w:keepLines w:val="0"/>
              <w:widowControl/>
              <w:suppressLineNumbers w:val="0"/>
              <w:spacing w:before="0" w:beforeAutospacing="0" w:after="0" w:afterAutospacing="0"/>
              <w:ind w:left="0" w:right="0"/>
              <w:jc w:val="left"/>
              <w:outlineLvl w:val="1"/>
              <w:rPr>
                <w:rFonts w:hint="default" w:ascii="仿宋_GB2312" w:hAnsi="宋体" w:eastAsia="仿宋_GB2312"/>
                <w:b/>
                <w:kern w:val="0"/>
                <w:sz w:val="18"/>
                <w:szCs w:val="18"/>
                <w:highlight w:val="none"/>
              </w:rPr>
            </w:pPr>
          </w:p>
        </w:tc>
        <w:tc>
          <w:tcPr>
            <w:tcW w:w="420" w:type="dxa"/>
            <w:vMerge w:val="continue"/>
            <w:tcBorders>
              <w:bottom w:val="single" w:color="auto" w:sz="4" w:space="0"/>
            </w:tcBorders>
          </w:tcPr>
          <w:p>
            <w:pPr>
              <w:keepNext w:val="0"/>
              <w:keepLines w:val="0"/>
              <w:widowControl/>
              <w:suppressLineNumbers w:val="0"/>
              <w:spacing w:before="0" w:beforeAutospacing="0" w:after="0" w:afterAutospacing="0"/>
              <w:ind w:left="0" w:right="0"/>
              <w:jc w:val="left"/>
              <w:outlineLvl w:val="1"/>
              <w:rPr>
                <w:rFonts w:hint="default" w:ascii="仿宋_GB2312" w:hAnsi="宋体" w:eastAsia="仿宋_GB2312"/>
                <w:b/>
                <w:kern w:val="0"/>
                <w:sz w:val="18"/>
                <w:szCs w:val="18"/>
                <w:highlight w:val="none"/>
              </w:rPr>
            </w:pPr>
          </w:p>
        </w:tc>
        <w:tc>
          <w:tcPr>
            <w:tcW w:w="420" w:type="dxa"/>
            <w:vMerge w:val="continue"/>
            <w:tcBorders>
              <w:bottom w:val="single" w:color="auto" w:sz="4" w:space="0"/>
            </w:tcBorders>
          </w:tcPr>
          <w:p>
            <w:pPr>
              <w:keepNext w:val="0"/>
              <w:keepLines w:val="0"/>
              <w:widowControl/>
              <w:suppressLineNumbers w:val="0"/>
              <w:spacing w:before="0" w:beforeAutospacing="0" w:after="0" w:afterAutospacing="0"/>
              <w:ind w:left="0" w:right="0"/>
              <w:jc w:val="left"/>
              <w:outlineLvl w:val="1"/>
              <w:rPr>
                <w:rFonts w:hint="default" w:ascii="仿宋_GB2312" w:hAnsi="宋体" w:eastAsia="仿宋_GB2312"/>
                <w:b/>
                <w:kern w:val="0"/>
                <w:sz w:val="18"/>
                <w:szCs w:val="18"/>
                <w:highlight w:val="none"/>
              </w:rPr>
            </w:pPr>
          </w:p>
        </w:tc>
        <w:tc>
          <w:tcPr>
            <w:tcW w:w="468" w:type="dxa"/>
            <w:gridSpan w:val="2"/>
            <w:vMerge w:val="continue"/>
            <w:tcBorders>
              <w:bottom w:val="single" w:color="auto" w:sz="4" w:space="0"/>
            </w:tcBorders>
          </w:tcPr>
          <w:p>
            <w:pPr>
              <w:keepNext w:val="0"/>
              <w:keepLines w:val="0"/>
              <w:widowControl/>
              <w:suppressLineNumbers w:val="0"/>
              <w:spacing w:before="0" w:beforeAutospacing="0" w:after="0" w:afterAutospacing="0"/>
              <w:ind w:left="0" w:right="0"/>
              <w:jc w:val="left"/>
              <w:outlineLvl w:val="1"/>
              <w:rPr>
                <w:rFonts w:hint="default" w:ascii="仿宋_GB2312" w:hAnsi="宋体" w:eastAsia="仿宋_GB2312"/>
                <w:b/>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201</w:t>
            </w:r>
          </w:p>
        </w:tc>
        <w:tc>
          <w:tcPr>
            <w:tcW w:w="397" w:type="dxa"/>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p>
        </w:tc>
        <w:tc>
          <w:tcPr>
            <w:tcW w:w="397" w:type="dxa"/>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p>
        </w:tc>
        <w:tc>
          <w:tcPr>
            <w:tcW w:w="1086" w:type="dxa"/>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一般公共服务支出</w:t>
            </w:r>
          </w:p>
        </w:tc>
        <w:tc>
          <w:tcPr>
            <w:tcW w:w="1221" w:type="dxa"/>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p>
        </w:tc>
        <w:tc>
          <w:tcPr>
            <w:tcW w:w="750" w:type="dxa"/>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100</w:t>
            </w:r>
          </w:p>
        </w:tc>
        <w:tc>
          <w:tcPr>
            <w:tcW w:w="569" w:type="dxa"/>
            <w:vAlign w:val="top"/>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p>
        </w:tc>
        <w:tc>
          <w:tcPr>
            <w:tcW w:w="536" w:type="dxa"/>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100</w:t>
            </w:r>
          </w:p>
        </w:tc>
        <w:tc>
          <w:tcPr>
            <w:tcW w:w="652" w:type="dxa"/>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p>
        </w:tc>
        <w:tc>
          <w:tcPr>
            <w:tcW w:w="652" w:type="dxa"/>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p>
        </w:tc>
        <w:tc>
          <w:tcPr>
            <w:tcW w:w="578" w:type="dxa"/>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p>
        </w:tc>
        <w:tc>
          <w:tcPr>
            <w:tcW w:w="419" w:type="dxa"/>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p>
        </w:tc>
        <w:tc>
          <w:tcPr>
            <w:tcW w:w="578" w:type="dxa"/>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p>
        </w:tc>
        <w:tc>
          <w:tcPr>
            <w:tcW w:w="420" w:type="dxa"/>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p>
        </w:tc>
        <w:tc>
          <w:tcPr>
            <w:tcW w:w="420" w:type="dxa"/>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p>
        </w:tc>
        <w:tc>
          <w:tcPr>
            <w:tcW w:w="468" w:type="dxa"/>
            <w:gridSpan w:val="2"/>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color w:val="000000"/>
                <w:kern w:val="0"/>
                <w:sz w:val="20"/>
                <w:szCs w:val="20"/>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kern w:val="0"/>
                <w:sz w:val="32"/>
                <w:szCs w:val="32"/>
                <w:highlight w:val="none"/>
              </w:rPr>
            </w:pPr>
            <w:r>
              <w:rPr>
                <w:rFonts w:hint="eastAsia" w:ascii="仿宋_GB2312" w:hAnsi="宋体" w:eastAsia="仿宋_GB2312" w:cs="宋体"/>
                <w:b/>
                <w:color w:val="000000"/>
                <w:kern w:val="0"/>
                <w:sz w:val="20"/>
                <w:szCs w:val="20"/>
                <w:highlight w:val="none"/>
                <w:lang w:val="en-US" w:eastAsia="zh-CN"/>
              </w:rPr>
              <w:t>201</w:t>
            </w:r>
          </w:p>
        </w:tc>
        <w:tc>
          <w:tcPr>
            <w:tcW w:w="397" w:type="dxa"/>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kern w:val="0"/>
                <w:sz w:val="32"/>
                <w:szCs w:val="32"/>
                <w:highlight w:val="none"/>
              </w:rPr>
            </w:pPr>
            <w:r>
              <w:rPr>
                <w:rFonts w:hint="eastAsia" w:ascii="仿宋_GB2312" w:hAnsi="宋体" w:eastAsia="仿宋_GB2312" w:cs="宋体"/>
                <w:b/>
                <w:color w:val="000000"/>
                <w:kern w:val="0"/>
                <w:sz w:val="20"/>
                <w:szCs w:val="20"/>
                <w:highlight w:val="none"/>
                <w:lang w:val="en-US" w:eastAsia="zh-CN"/>
              </w:rPr>
              <w:t>04</w:t>
            </w:r>
          </w:p>
        </w:tc>
        <w:tc>
          <w:tcPr>
            <w:tcW w:w="397" w:type="dxa"/>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kern w:val="0"/>
                <w:sz w:val="32"/>
                <w:szCs w:val="32"/>
                <w:highlight w:val="none"/>
              </w:rPr>
            </w:pPr>
          </w:p>
        </w:tc>
        <w:tc>
          <w:tcPr>
            <w:tcW w:w="1086" w:type="dxa"/>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kern w:val="0"/>
                <w:sz w:val="32"/>
                <w:szCs w:val="32"/>
                <w:highlight w:val="none"/>
              </w:rPr>
            </w:pPr>
            <w:r>
              <w:rPr>
                <w:rFonts w:hint="eastAsia" w:ascii="仿宋_GB2312" w:hAnsi="宋体" w:eastAsia="仿宋_GB2312" w:cs="宋体"/>
                <w:b/>
                <w:color w:val="000000"/>
                <w:kern w:val="0"/>
                <w:sz w:val="20"/>
                <w:szCs w:val="20"/>
                <w:highlight w:val="none"/>
                <w:lang w:val="en-US" w:eastAsia="zh-CN"/>
              </w:rPr>
              <w:t>发展与改革事务</w:t>
            </w:r>
          </w:p>
        </w:tc>
        <w:tc>
          <w:tcPr>
            <w:tcW w:w="1221" w:type="dxa"/>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kern w:val="0"/>
                <w:sz w:val="32"/>
                <w:szCs w:val="32"/>
                <w:highlight w:val="none"/>
              </w:rPr>
            </w:pPr>
          </w:p>
        </w:tc>
        <w:tc>
          <w:tcPr>
            <w:tcW w:w="750" w:type="dxa"/>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kern w:val="0"/>
                <w:sz w:val="32"/>
                <w:szCs w:val="32"/>
                <w:highlight w:val="none"/>
              </w:rPr>
            </w:pPr>
            <w:r>
              <w:rPr>
                <w:rFonts w:hint="eastAsia" w:ascii="仿宋_GB2312" w:hAnsi="宋体" w:eastAsia="仿宋_GB2312" w:cs="宋体"/>
                <w:b/>
                <w:color w:val="000000"/>
                <w:kern w:val="0"/>
                <w:sz w:val="20"/>
                <w:szCs w:val="20"/>
                <w:highlight w:val="none"/>
                <w:lang w:val="en-US" w:eastAsia="zh-CN"/>
              </w:rPr>
              <w:t>100</w:t>
            </w:r>
          </w:p>
        </w:tc>
        <w:tc>
          <w:tcPr>
            <w:tcW w:w="569" w:type="dxa"/>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kern w:val="0"/>
                <w:sz w:val="32"/>
                <w:szCs w:val="32"/>
                <w:highlight w:val="none"/>
              </w:rPr>
            </w:pPr>
          </w:p>
        </w:tc>
        <w:tc>
          <w:tcPr>
            <w:tcW w:w="536" w:type="dxa"/>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kern w:val="0"/>
                <w:sz w:val="32"/>
                <w:szCs w:val="32"/>
                <w:highlight w:val="none"/>
                <w:lang w:val="en-US"/>
              </w:rPr>
            </w:pPr>
            <w:r>
              <w:rPr>
                <w:rFonts w:hint="eastAsia" w:ascii="仿宋_GB2312" w:hAnsi="宋体" w:eastAsia="仿宋_GB2312" w:cs="宋体"/>
                <w:b/>
                <w:color w:val="000000"/>
                <w:kern w:val="0"/>
                <w:sz w:val="20"/>
                <w:szCs w:val="20"/>
                <w:highlight w:val="none"/>
                <w:lang w:val="en-US" w:eastAsia="zh-CN"/>
              </w:rPr>
              <w:t>100</w:t>
            </w:r>
          </w:p>
        </w:tc>
        <w:tc>
          <w:tcPr>
            <w:tcW w:w="652"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652"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78"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19"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78"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20"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20"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68" w:type="dxa"/>
            <w:gridSpan w:val="2"/>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r>
              <w:rPr>
                <w:rFonts w:hint="default" w:ascii="仿宋_GB2312" w:hAnsi="宋体" w:eastAsia="仿宋_GB2312" w:cs="宋体"/>
                <w:b/>
                <w:color w:val="000000"/>
                <w:kern w:val="0"/>
                <w:sz w:val="20"/>
                <w:szCs w:val="20"/>
                <w:highlight w:val="none"/>
                <w:lang w:val="en-US" w:eastAsia="zh-CN"/>
              </w:rPr>
              <w:t>201</w:t>
            </w:r>
          </w:p>
        </w:tc>
        <w:tc>
          <w:tcPr>
            <w:tcW w:w="397" w:type="dxa"/>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r>
              <w:rPr>
                <w:rFonts w:hint="default" w:ascii="仿宋_GB2312" w:hAnsi="宋体" w:eastAsia="仿宋_GB2312" w:cs="宋体"/>
                <w:b/>
                <w:color w:val="000000"/>
                <w:kern w:val="0"/>
                <w:sz w:val="20"/>
                <w:szCs w:val="20"/>
                <w:highlight w:val="none"/>
                <w:lang w:val="en-US" w:eastAsia="zh-CN"/>
              </w:rPr>
              <w:t>04</w:t>
            </w:r>
          </w:p>
        </w:tc>
        <w:tc>
          <w:tcPr>
            <w:tcW w:w="397" w:type="dxa"/>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r>
              <w:rPr>
                <w:rFonts w:hint="default" w:ascii="仿宋_GB2312" w:hAnsi="宋体" w:eastAsia="仿宋_GB2312" w:cs="宋体"/>
                <w:b/>
                <w:color w:val="000000"/>
                <w:kern w:val="0"/>
                <w:sz w:val="20"/>
                <w:szCs w:val="20"/>
                <w:highlight w:val="none"/>
                <w:lang w:val="en-US" w:eastAsia="zh-CN"/>
              </w:rPr>
              <w:t>99</w:t>
            </w:r>
          </w:p>
        </w:tc>
        <w:tc>
          <w:tcPr>
            <w:tcW w:w="1086" w:type="dxa"/>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r>
              <w:rPr>
                <w:rFonts w:hint="default" w:ascii="仿宋_GB2312" w:hAnsi="宋体" w:eastAsia="仿宋_GB2312" w:cs="宋体"/>
                <w:b/>
                <w:color w:val="000000"/>
                <w:kern w:val="0"/>
                <w:sz w:val="20"/>
                <w:szCs w:val="20"/>
                <w:highlight w:val="none"/>
                <w:lang w:val="en-US" w:eastAsia="zh-CN"/>
              </w:rPr>
              <w:t>其他发展与改革事务支出</w:t>
            </w:r>
          </w:p>
        </w:tc>
        <w:tc>
          <w:tcPr>
            <w:tcW w:w="1221" w:type="dxa"/>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援疆工作经费项目</w:t>
            </w:r>
          </w:p>
        </w:tc>
        <w:tc>
          <w:tcPr>
            <w:tcW w:w="750" w:type="dxa"/>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100</w:t>
            </w:r>
          </w:p>
        </w:tc>
        <w:tc>
          <w:tcPr>
            <w:tcW w:w="569" w:type="dxa"/>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p>
        </w:tc>
        <w:tc>
          <w:tcPr>
            <w:tcW w:w="536" w:type="dxa"/>
            <w:vAlign w:val="top"/>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color w:val="000000"/>
                <w:kern w:val="0"/>
                <w:sz w:val="20"/>
                <w:szCs w:val="20"/>
                <w:highlight w:val="none"/>
                <w:lang w:val="en-US" w:eastAsia="zh-CN"/>
              </w:rPr>
            </w:pPr>
            <w:r>
              <w:rPr>
                <w:rFonts w:hint="eastAsia" w:ascii="仿宋_GB2312" w:hAnsi="宋体" w:eastAsia="仿宋_GB2312" w:cs="宋体"/>
                <w:b/>
                <w:color w:val="000000"/>
                <w:kern w:val="0"/>
                <w:sz w:val="20"/>
                <w:szCs w:val="20"/>
                <w:highlight w:val="none"/>
                <w:lang w:val="en-US" w:eastAsia="zh-CN"/>
              </w:rPr>
              <w:t>100</w:t>
            </w:r>
          </w:p>
        </w:tc>
        <w:tc>
          <w:tcPr>
            <w:tcW w:w="652"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652"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78"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19"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78"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20"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20"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68" w:type="dxa"/>
            <w:gridSpan w:val="2"/>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397"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397"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1086"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1221"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750"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69"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36"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652"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652"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78"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19"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78"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20"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20"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68" w:type="dxa"/>
            <w:gridSpan w:val="2"/>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397"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397"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1086"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1221"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750"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69"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36"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652"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652"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78"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19"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78"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20"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20"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68" w:type="dxa"/>
            <w:gridSpan w:val="2"/>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397"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397"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1086"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1221"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750"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69"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36"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652"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652"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78"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19"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78"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20"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20"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68" w:type="dxa"/>
            <w:gridSpan w:val="2"/>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397"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397"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1086"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1221"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750"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69"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36"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652"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652"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78"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19"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78"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20"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20"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68" w:type="dxa"/>
            <w:gridSpan w:val="2"/>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397"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397"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1086"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1221"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750"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69"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36"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652"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652"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78"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19"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78"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20"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20"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68" w:type="dxa"/>
            <w:gridSpan w:val="2"/>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397"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397"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1086"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1221"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750"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69"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36"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652"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652"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78"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19"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78"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20"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20"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68" w:type="dxa"/>
            <w:gridSpan w:val="2"/>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397"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397"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1086"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1221"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750"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69"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36"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652"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652"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78"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19"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78"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20"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20"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68" w:type="dxa"/>
            <w:gridSpan w:val="2"/>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397"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397"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1086"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1221"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750"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69"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36"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652"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652"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78"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19"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78"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20"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20"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68" w:type="dxa"/>
            <w:gridSpan w:val="2"/>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397"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397"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1086" w:type="dxa"/>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p>
        </w:tc>
        <w:tc>
          <w:tcPr>
            <w:tcW w:w="1221" w:type="dxa"/>
            <w:vAlign w:val="center"/>
          </w:tcPr>
          <w:p>
            <w:pPr>
              <w:keepNext w:val="0"/>
              <w:keepLines w:val="0"/>
              <w:widowControl/>
              <w:suppressLineNumbers w:val="0"/>
              <w:spacing w:before="0" w:beforeAutospacing="0" w:after="0" w:afterAutospacing="0"/>
              <w:ind w:left="0" w:right="0"/>
              <w:jc w:val="center"/>
              <w:outlineLvl w:val="1"/>
              <w:rPr>
                <w:rFonts w:hint="default" w:ascii="仿宋_GB2312" w:hAnsi="宋体" w:eastAsia="仿宋_GB2312"/>
                <w:kern w:val="0"/>
                <w:sz w:val="32"/>
                <w:szCs w:val="32"/>
                <w:highlight w:val="none"/>
              </w:rPr>
            </w:pPr>
            <w:r>
              <w:rPr>
                <w:rFonts w:hint="eastAsia" w:ascii="仿宋_GB2312" w:hAnsi="宋体" w:eastAsia="仿宋_GB2312"/>
                <w:b/>
                <w:bCs/>
                <w:kern w:val="0"/>
                <w:szCs w:val="21"/>
                <w:highlight w:val="none"/>
              </w:rPr>
              <w:t>合 计</w:t>
            </w:r>
          </w:p>
        </w:tc>
        <w:tc>
          <w:tcPr>
            <w:tcW w:w="750" w:type="dxa"/>
            <w:vAlign w:val="center"/>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Cs w:val="21"/>
                <w:highlight w:val="none"/>
              </w:rPr>
            </w:pPr>
          </w:p>
        </w:tc>
        <w:tc>
          <w:tcPr>
            <w:tcW w:w="569"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36"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652"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652"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78"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19"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578"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20"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20" w:type="dxa"/>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c>
          <w:tcPr>
            <w:tcW w:w="468" w:type="dxa"/>
            <w:gridSpan w:val="2"/>
          </w:tcPr>
          <w:p>
            <w:pPr>
              <w:keepNext w:val="0"/>
              <w:keepLines w:val="0"/>
              <w:widowControl/>
              <w:suppressLineNumbers w:val="0"/>
              <w:spacing w:before="0" w:beforeAutospacing="0" w:after="0" w:afterAutospacing="0"/>
              <w:ind w:left="0" w:right="0"/>
              <w:jc w:val="right"/>
              <w:outlineLvl w:val="1"/>
              <w:rPr>
                <w:rFonts w:hint="default" w:ascii="仿宋_GB2312" w:hAnsi="宋体" w:eastAsia="仿宋_GB2312"/>
                <w:kern w:val="0"/>
                <w:sz w:val="32"/>
                <w:szCs w:val="32"/>
                <w:highlight w:val="none"/>
              </w:rPr>
            </w:pP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表8</w:t>
      </w:r>
    </w:p>
    <w:p>
      <w:pPr>
        <w:widowControl/>
        <w:jc w:val="center"/>
        <w:outlineLvl w:val="1"/>
        <w:rPr>
          <w:rFonts w:ascii="方正小标宋_GBK" w:hAnsi="方正小标宋_GBK" w:eastAsia="方正小标宋_GBK" w:cs="方正小标宋_GBK"/>
          <w:bCs/>
          <w:kern w:val="0"/>
          <w:sz w:val="32"/>
          <w:szCs w:val="32"/>
          <w:highlight w:val="none"/>
        </w:rPr>
      </w:pPr>
      <w:r>
        <w:rPr>
          <w:rFonts w:hint="eastAsia" w:ascii="方正小标宋_GBK" w:hAnsi="方正小标宋_GBK" w:eastAsia="方正小标宋_GBK" w:cs="方正小标宋_GBK"/>
          <w:bCs/>
          <w:kern w:val="0"/>
          <w:sz w:val="32"/>
          <w:szCs w:val="32"/>
          <w:highlight w:val="none"/>
        </w:rPr>
        <w:t>一般公共预算“三公”经费支出情况表</w:t>
      </w:r>
    </w:p>
    <w:p>
      <w:pPr>
        <w:widowControl/>
        <w:spacing w:line="44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 昌吉州对口援疆工作领导小组办公室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b/>
                <w:bCs/>
                <w:color w:val="000000"/>
                <w:kern w:val="0"/>
                <w:sz w:val="22"/>
                <w:szCs w:val="22"/>
                <w:highlight w:val="none"/>
              </w:rPr>
            </w:pPr>
            <w:r>
              <w:rPr>
                <w:rFonts w:hint="eastAsia" w:ascii="宋体" w:hAnsi="宋体" w:cs="宋体"/>
                <w:b/>
                <w:bCs/>
                <w:color w:val="000000"/>
                <w:kern w:val="0"/>
                <w:sz w:val="22"/>
                <w:szCs w:val="22"/>
                <w:highlight w:val="none"/>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仿宋_GB2312" w:hAnsi="宋体" w:eastAsia="仿宋_GB2312" w:cs="宋体"/>
                <w:b/>
                <w:bCs/>
                <w:color w:val="000000"/>
                <w:kern w:val="0"/>
                <w:sz w:val="22"/>
                <w:szCs w:val="22"/>
                <w:highlight w:val="none"/>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合计</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公务用车购置费</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4"/>
                <w:highlight w:val="none"/>
              </w:rPr>
            </w:pPr>
            <w:r>
              <w:rPr>
                <w:rFonts w:hint="eastAsia" w:ascii="宋体" w:hAnsi="宋体" w:cs="宋体"/>
                <w:color w:val="000000"/>
                <w:kern w:val="0"/>
                <w:sz w:val="24"/>
                <w:highlight w:val="none"/>
                <w:lang w:val="en-US" w:eastAsia="zh-CN"/>
              </w:rPr>
              <w:t>2</w:t>
            </w: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4"/>
                <w:highlight w:val="none"/>
              </w:rPr>
            </w:pPr>
            <w:r>
              <w:rPr>
                <w:rFonts w:hint="eastAsia" w:ascii="宋体" w:hAnsi="宋体" w:cs="宋体"/>
                <w:color w:val="000000"/>
                <w:kern w:val="0"/>
                <w:sz w:val="24"/>
                <w:highlight w:val="none"/>
                <w:lang w:val="en-US" w:eastAsia="zh-CN"/>
              </w:rPr>
              <w:t>0</w:t>
            </w: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4"/>
                <w:highlight w:val="none"/>
              </w:rPr>
            </w:pPr>
            <w:r>
              <w:rPr>
                <w:rFonts w:hint="eastAsia" w:ascii="宋体" w:hAnsi="宋体" w:cs="宋体"/>
                <w:color w:val="000000"/>
                <w:kern w:val="0"/>
                <w:sz w:val="24"/>
                <w:highlight w:val="none"/>
                <w:lang w:val="en-US" w:eastAsia="zh-CN"/>
              </w:rPr>
              <w:t>2</w:t>
            </w: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4"/>
                <w:highlight w:val="none"/>
              </w:rPr>
            </w:pPr>
            <w:r>
              <w:rPr>
                <w:rFonts w:hint="eastAsia" w:ascii="宋体" w:hAnsi="宋体" w:cs="宋体"/>
                <w:color w:val="000000"/>
                <w:kern w:val="0"/>
                <w:sz w:val="24"/>
                <w:highlight w:val="none"/>
                <w:lang w:val="en-US" w:eastAsia="zh-CN"/>
              </w:rPr>
              <w:t>0</w:t>
            </w: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4"/>
                <w:highlight w:val="none"/>
              </w:rPr>
            </w:pPr>
            <w:r>
              <w:rPr>
                <w:rFonts w:hint="eastAsia" w:ascii="宋体" w:hAnsi="宋体" w:cs="宋体"/>
                <w:color w:val="000000"/>
                <w:kern w:val="0"/>
                <w:sz w:val="24"/>
                <w:highlight w:val="none"/>
                <w:lang w:val="en-US" w:eastAsia="zh-CN"/>
              </w:rPr>
              <w:t>2</w:t>
            </w: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4"/>
                <w:highlight w:val="none"/>
              </w:rPr>
            </w:pPr>
            <w:r>
              <w:rPr>
                <w:rFonts w:hint="eastAsia" w:ascii="宋体" w:hAnsi="宋体" w:cs="宋体"/>
                <w:color w:val="000000"/>
                <w:kern w:val="0"/>
                <w:sz w:val="24"/>
                <w:highlight w:val="none"/>
                <w:lang w:val="en-US" w:eastAsia="zh-CN"/>
              </w:rPr>
              <w:t>0</w:t>
            </w: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right"/>
              <w:rPr>
                <w:rFonts w:hint="default" w:ascii="宋体" w:hAnsi="宋体" w:cs="宋体"/>
                <w:color w:val="000000"/>
                <w:kern w:val="0"/>
                <w:sz w:val="24"/>
                <w:highlight w:val="none"/>
              </w:rPr>
            </w:pPr>
            <w:r>
              <w:rPr>
                <w:rFonts w:hint="eastAsia" w:ascii="宋体" w:hAnsi="宋体" w:cs="宋体"/>
                <w:color w:val="000000"/>
                <w:kern w:val="0"/>
                <w:sz w:val="24"/>
                <w:highlight w:val="none"/>
              </w:rPr>
              <w:t>　</w:t>
            </w:r>
          </w:p>
        </w:tc>
      </w:tr>
    </w:tbl>
    <w:p>
      <w:pPr>
        <w:widowControl/>
        <w:outlineLvl w:val="1"/>
        <w:rPr>
          <w:rFonts w:ascii="仿宋_GB2312" w:hAnsi="宋体" w:eastAsia="仿宋_GB2312"/>
          <w:kern w:val="0"/>
          <w:sz w:val="32"/>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pStyle w:val="2"/>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表9</w:t>
      </w:r>
    </w:p>
    <w:p>
      <w:pPr>
        <w:widowControl/>
        <w:spacing w:line="360" w:lineRule="exact"/>
        <w:jc w:val="center"/>
        <w:outlineLvl w:val="1"/>
        <w:rPr>
          <w:rFonts w:hint="eastAsia" w:ascii="方正小标宋_GBK" w:hAnsi="方正小标宋_GBK" w:eastAsia="方正小标宋_GBK" w:cs="方正小标宋_GBK"/>
          <w:bCs/>
          <w:kern w:val="0"/>
          <w:sz w:val="32"/>
          <w:szCs w:val="32"/>
          <w:highlight w:val="none"/>
        </w:rPr>
      </w:pPr>
      <w:r>
        <w:rPr>
          <w:rFonts w:hint="eastAsia" w:ascii="方正小标宋_GBK" w:hAnsi="方正小标宋_GBK" w:eastAsia="方正小标宋_GBK" w:cs="方正小标宋_GBK"/>
          <w:bCs/>
          <w:kern w:val="0"/>
          <w:sz w:val="32"/>
          <w:szCs w:val="32"/>
          <w:highlight w:val="none"/>
        </w:rPr>
        <w:t>政府性基金预算支出情况表</w:t>
      </w:r>
    </w:p>
    <w:p>
      <w:pPr>
        <w:widowControl/>
        <w:spacing w:line="440" w:lineRule="exac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 昌吉州对口援疆工作领导小组办公室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  目</w:t>
            </w:r>
          </w:p>
        </w:tc>
        <w:tc>
          <w:tcPr>
            <w:tcW w:w="4929" w:type="dxa"/>
            <w:gridSpan w:val="3"/>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701" w:type="dxa"/>
            <w:vMerge w:val="restart"/>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类</w:t>
            </w:r>
          </w:p>
        </w:tc>
        <w:tc>
          <w:tcPr>
            <w:tcW w:w="45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款</w:t>
            </w:r>
          </w:p>
        </w:tc>
        <w:tc>
          <w:tcPr>
            <w:tcW w:w="69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w:t>
            </w:r>
          </w:p>
        </w:tc>
        <w:tc>
          <w:tcPr>
            <w:tcW w:w="2544"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b/>
                <w:bCs/>
                <w:color w:val="000000"/>
                <w:kern w:val="0"/>
                <w:sz w:val="24"/>
                <w:highlight w:val="none"/>
              </w:rPr>
            </w:pPr>
          </w:p>
        </w:tc>
        <w:tc>
          <w:tcPr>
            <w:tcW w:w="1669"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b/>
                <w:bCs/>
                <w:color w:val="000000"/>
                <w:kern w:val="0"/>
                <w:sz w:val="24"/>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left"/>
              <w:rPr>
                <w:rFonts w:hint="default" w:ascii="仿宋_GB2312" w:hAnsi="宋体" w:eastAsia="仿宋_GB2312" w:cs="宋体"/>
                <w:b/>
                <w:bCs/>
                <w:color w:val="000000"/>
                <w:kern w:val="0"/>
                <w:sz w:val="24"/>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center"/>
              <w:rPr>
                <w:rFonts w:hint="default" w:ascii="仿宋_GB2312" w:hAnsi="宋体" w:eastAsia="仿宋_GB2312" w:cs="宋体"/>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66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280" w:lineRule="exact"/>
              <w:ind w:left="0" w:right="0"/>
              <w:jc w:val="right"/>
              <w:rPr>
                <w:rFonts w:hint="default"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bl>
    <w:p>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备注：我单位无政府性基金预算，此表为空表。</w:t>
      </w:r>
    </w:p>
    <w:p>
      <w:pPr>
        <w:widowControl/>
        <w:spacing w:line="280" w:lineRule="exact"/>
        <w:jc w:val="left"/>
        <w:outlineLvl w:val="1"/>
        <w:rPr>
          <w:rFonts w:ascii="仿宋_GB2312" w:hAnsi="宋体" w:eastAsia="仿宋_GB2312"/>
          <w:kern w:val="0"/>
          <w:sz w:val="32"/>
          <w:szCs w:val="32"/>
          <w:highlight w:val="none"/>
        </w:rPr>
        <w:sectPr>
          <w:footerReference r:id="rId4"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highlight w:val="none"/>
        </w:rPr>
      </w:pPr>
      <w:r>
        <w:rPr>
          <w:rFonts w:hint="eastAsia" w:ascii="黑体" w:hAnsi="黑体" w:eastAsia="黑体"/>
          <w:kern w:val="0"/>
          <w:sz w:val="32"/>
          <w:szCs w:val="32"/>
          <w:highlight w:val="none"/>
        </w:rPr>
        <w:t>第三部分  2022年部门（单位）预算情况说明</w:t>
      </w:r>
    </w:p>
    <w:p>
      <w:pPr>
        <w:spacing w:line="560" w:lineRule="exact"/>
        <w:ind w:firstLine="640" w:firstLineChars="200"/>
        <w:rPr>
          <w:rFonts w:ascii="黑体" w:hAnsi="黑体" w:eastAsia="黑体"/>
          <w:kern w:val="0"/>
          <w:sz w:val="32"/>
          <w:szCs w:val="32"/>
          <w:highlight w:val="none"/>
        </w:rPr>
      </w:pPr>
    </w:p>
    <w:p>
      <w:pPr>
        <w:spacing w:line="560" w:lineRule="exact"/>
        <w:ind w:firstLine="643" w:firstLineChars="200"/>
        <w:rPr>
          <w:rFonts w:ascii="楷体_GB2312" w:hAnsi="楷体_GB2312" w:eastAsia="楷体_GB2312" w:cs="楷体_GB2312"/>
          <w:b/>
          <w:kern w:val="0"/>
          <w:sz w:val="32"/>
          <w:szCs w:val="32"/>
          <w:highlight w:val="none"/>
        </w:rPr>
      </w:pPr>
      <w:r>
        <w:rPr>
          <w:rFonts w:hint="eastAsia" w:ascii="楷体_GB2312" w:hAnsi="楷体_GB2312" w:eastAsia="楷体_GB2312" w:cs="楷体_GB2312"/>
          <w:b/>
          <w:kern w:val="0"/>
          <w:sz w:val="32"/>
          <w:szCs w:val="32"/>
          <w:highlight w:val="none"/>
        </w:rPr>
        <w:t>一、关于昌吉州对口援疆工作领导小组办公室2022年收支预算情况的总体说明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按照全口径预算的原则，昌吉州对口援疆工作领导小组办公室2022年所有收入和支出均纳入部门（单位）预算管理。收支总预算</w:t>
      </w:r>
      <w:r>
        <w:rPr>
          <w:rFonts w:hint="eastAsia" w:ascii="仿宋_GB2312" w:hAnsi="宋体" w:eastAsia="仿宋_GB2312" w:cs="宋体"/>
          <w:kern w:val="0"/>
          <w:sz w:val="32"/>
          <w:szCs w:val="32"/>
          <w:highlight w:val="none"/>
          <w:lang w:val="en-US" w:eastAsia="zh-CN"/>
        </w:rPr>
        <w:t>190.41</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收入预算包括：一般公共预算。</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支出预算包括：一般公共服务支出、社会保障和就业支出、卫生健康支出、住房保障支出。</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二、关于昌吉州对口援疆工作领导小组办公室2022年收入预算情况说明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昌吉州对口援疆工作领导小组办公室收入预算</w:t>
      </w:r>
      <w:r>
        <w:rPr>
          <w:rFonts w:hint="eastAsia" w:ascii="仿宋_GB2312" w:hAnsi="宋体" w:eastAsia="仿宋_GB2312" w:cs="宋体"/>
          <w:kern w:val="0"/>
          <w:sz w:val="32"/>
          <w:szCs w:val="32"/>
          <w:highlight w:val="none"/>
          <w:lang w:val="en-US" w:eastAsia="zh-CN"/>
        </w:rPr>
        <w:t>190.41</w:t>
      </w:r>
      <w:r>
        <w:rPr>
          <w:rFonts w:hint="eastAsia" w:ascii="仿宋_GB2312" w:hAnsi="宋体" w:eastAsia="仿宋_GB2312" w:cs="宋体"/>
          <w:kern w:val="0"/>
          <w:sz w:val="32"/>
          <w:szCs w:val="32"/>
          <w:highlight w:val="none"/>
        </w:rPr>
        <w:t>万元，其中：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一般公共预算</w:t>
      </w:r>
      <w:r>
        <w:rPr>
          <w:rFonts w:hint="eastAsia" w:ascii="仿宋_GB2312" w:hAnsi="宋体" w:eastAsia="仿宋_GB2312" w:cs="宋体"/>
          <w:kern w:val="0"/>
          <w:sz w:val="32"/>
          <w:szCs w:val="32"/>
          <w:highlight w:val="none"/>
          <w:lang w:val="en-US" w:eastAsia="zh-CN"/>
        </w:rPr>
        <w:t>190.41</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100</w:t>
      </w:r>
      <w:r>
        <w:rPr>
          <w:rFonts w:hint="eastAsia" w:ascii="仿宋_GB2312" w:hAnsi="宋体" w:eastAsia="仿宋_GB2312" w:cs="宋体"/>
          <w:kern w:val="0"/>
          <w:sz w:val="32"/>
          <w:szCs w:val="32"/>
          <w:highlight w:val="none"/>
        </w:rPr>
        <w:t>%，比上年预算减少</w:t>
      </w:r>
      <w:r>
        <w:rPr>
          <w:rFonts w:hint="eastAsia" w:ascii="仿宋_GB2312" w:hAnsi="宋体" w:eastAsia="仿宋_GB2312" w:cs="宋体"/>
          <w:kern w:val="0"/>
          <w:sz w:val="32"/>
          <w:szCs w:val="32"/>
          <w:highlight w:val="none"/>
          <w:lang w:val="en-US" w:eastAsia="zh-CN"/>
        </w:rPr>
        <w:t>20.29</w:t>
      </w:r>
      <w:r>
        <w:rPr>
          <w:rFonts w:hint="eastAsia" w:ascii="仿宋_GB2312" w:hAnsi="宋体" w:eastAsia="仿宋_GB2312" w:cs="宋体"/>
          <w:kern w:val="0"/>
          <w:sz w:val="32"/>
          <w:szCs w:val="32"/>
          <w:highlight w:val="none"/>
        </w:rPr>
        <w:t>万元，下降</w:t>
      </w:r>
      <w:r>
        <w:rPr>
          <w:rFonts w:hint="eastAsia" w:ascii="仿宋_GB2312" w:hAnsi="宋体" w:eastAsia="仿宋_GB2312" w:cs="宋体"/>
          <w:kern w:val="0"/>
          <w:sz w:val="32"/>
          <w:szCs w:val="32"/>
          <w:highlight w:val="none"/>
          <w:lang w:val="en-US" w:eastAsia="zh-CN"/>
        </w:rPr>
        <w:t>9.62</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减少2021年援疆项目计划评审经费和调出一人人员经费减少</w:t>
      </w:r>
      <w:r>
        <w:rPr>
          <w:rFonts w:hint="eastAsia" w:ascii="仿宋_GB2312" w:hAnsi="宋体" w:eastAsia="仿宋_GB2312" w:cs="宋体"/>
          <w:kern w:val="0"/>
          <w:sz w:val="32"/>
          <w:szCs w:val="32"/>
          <w:highlight w:val="none"/>
        </w:rPr>
        <w:t xml:space="preserve">；    </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政府性基金预算未安排。</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国有资本经营预算未安排。</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三、关于昌吉州对口援疆工作领导小组办公室2022年支出预算情况说明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昌吉州对口援疆工作领导小组办公室2022年支出预算</w:t>
      </w:r>
      <w:r>
        <w:rPr>
          <w:rFonts w:hint="eastAsia" w:ascii="仿宋_GB2312" w:hAnsi="宋体" w:eastAsia="仿宋_GB2312" w:cs="宋体"/>
          <w:kern w:val="0"/>
          <w:sz w:val="32"/>
          <w:szCs w:val="32"/>
          <w:highlight w:val="none"/>
          <w:lang w:val="en-US" w:eastAsia="zh-CN"/>
        </w:rPr>
        <w:t>190.41</w:t>
      </w:r>
      <w:r>
        <w:rPr>
          <w:rFonts w:hint="eastAsia" w:ascii="仿宋_GB2312" w:hAnsi="宋体" w:eastAsia="仿宋_GB2312" w:cs="宋体"/>
          <w:kern w:val="0"/>
          <w:sz w:val="32"/>
          <w:szCs w:val="32"/>
          <w:highlight w:val="none"/>
        </w:rPr>
        <w:t>元，其中：</w:t>
      </w:r>
    </w:p>
    <w:p>
      <w:pPr>
        <w:spacing w:line="560" w:lineRule="exact"/>
        <w:ind w:firstLine="640" w:firstLineChars="200"/>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highlight w:val="none"/>
        </w:rPr>
        <w:t>基本支出</w:t>
      </w:r>
      <w:r>
        <w:rPr>
          <w:rFonts w:hint="eastAsia" w:ascii="仿宋_GB2312" w:hAnsi="宋体" w:eastAsia="仿宋_GB2312" w:cs="宋体"/>
          <w:kern w:val="0"/>
          <w:sz w:val="32"/>
          <w:szCs w:val="32"/>
          <w:highlight w:val="none"/>
          <w:lang w:val="en-US" w:eastAsia="zh-CN"/>
        </w:rPr>
        <w:t>90.41</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47.48</w:t>
      </w:r>
      <w:r>
        <w:rPr>
          <w:rFonts w:hint="eastAsia" w:ascii="仿宋_GB2312" w:hAnsi="宋体" w:eastAsia="仿宋_GB2312" w:cs="宋体"/>
          <w:kern w:val="0"/>
          <w:sz w:val="32"/>
          <w:szCs w:val="32"/>
          <w:highlight w:val="none"/>
        </w:rPr>
        <w:t>%，比上年预算减少</w:t>
      </w:r>
      <w:r>
        <w:rPr>
          <w:rFonts w:hint="eastAsia" w:ascii="仿宋_GB2312" w:hAnsi="宋体" w:eastAsia="仿宋_GB2312" w:cs="宋体"/>
          <w:kern w:val="0"/>
          <w:sz w:val="32"/>
          <w:szCs w:val="32"/>
          <w:highlight w:val="none"/>
          <w:lang w:val="en-US" w:eastAsia="zh-CN"/>
        </w:rPr>
        <w:t>10.29</w:t>
      </w:r>
      <w:r>
        <w:rPr>
          <w:rFonts w:hint="eastAsia" w:ascii="仿宋_GB2312" w:hAnsi="宋体" w:eastAsia="仿宋_GB2312" w:cs="宋体"/>
          <w:kern w:val="0"/>
          <w:sz w:val="32"/>
          <w:szCs w:val="32"/>
          <w:highlight w:val="none"/>
        </w:rPr>
        <w:t>万元，下降</w:t>
      </w:r>
      <w:r>
        <w:rPr>
          <w:rFonts w:hint="eastAsia" w:ascii="仿宋_GB2312" w:hAnsi="宋体" w:eastAsia="仿宋_GB2312" w:cs="宋体"/>
          <w:kern w:val="0"/>
          <w:sz w:val="32"/>
          <w:szCs w:val="32"/>
          <w:highlight w:val="none"/>
          <w:lang w:val="en-US" w:eastAsia="zh-CN"/>
        </w:rPr>
        <w:t>10.22</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调出一人人员经费减少</w:t>
      </w:r>
      <w:r>
        <w:rPr>
          <w:rFonts w:hint="eastAsia" w:ascii="仿宋_GB2312" w:hAnsi="宋体" w:eastAsia="仿宋_GB2312" w:cs="宋体"/>
          <w:kern w:val="0"/>
          <w:sz w:val="32"/>
          <w:szCs w:val="32"/>
          <w:highlight w:val="none"/>
        </w:rPr>
        <w:t>。</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项目支出</w:t>
      </w:r>
      <w:r>
        <w:rPr>
          <w:rFonts w:hint="eastAsia" w:ascii="仿宋_GB2312" w:hAnsi="宋体" w:eastAsia="仿宋_GB2312" w:cs="宋体"/>
          <w:kern w:val="0"/>
          <w:sz w:val="32"/>
          <w:szCs w:val="32"/>
          <w:highlight w:val="none"/>
          <w:lang w:val="en-US" w:eastAsia="zh-CN"/>
        </w:rPr>
        <w:t>100</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52.52</w:t>
      </w:r>
      <w:r>
        <w:rPr>
          <w:rFonts w:hint="eastAsia" w:ascii="仿宋_GB2312" w:hAnsi="宋体" w:eastAsia="仿宋_GB2312" w:cs="宋体"/>
          <w:kern w:val="0"/>
          <w:sz w:val="32"/>
          <w:szCs w:val="32"/>
          <w:highlight w:val="none"/>
        </w:rPr>
        <w:t>%，比上年预算减少</w:t>
      </w:r>
      <w:r>
        <w:rPr>
          <w:rFonts w:hint="eastAsia" w:ascii="仿宋_GB2312" w:hAnsi="宋体" w:eastAsia="仿宋_GB2312" w:cs="宋体"/>
          <w:kern w:val="0"/>
          <w:sz w:val="32"/>
          <w:szCs w:val="32"/>
          <w:highlight w:val="none"/>
          <w:lang w:val="en-US" w:eastAsia="zh-CN"/>
        </w:rPr>
        <w:t>10</w:t>
      </w:r>
      <w:r>
        <w:rPr>
          <w:rFonts w:hint="eastAsia" w:ascii="仿宋_GB2312" w:hAnsi="宋体" w:eastAsia="仿宋_GB2312" w:cs="宋体"/>
          <w:kern w:val="0"/>
          <w:sz w:val="32"/>
          <w:szCs w:val="32"/>
          <w:highlight w:val="none"/>
        </w:rPr>
        <w:t>万元，下降</w:t>
      </w:r>
      <w:r>
        <w:rPr>
          <w:rFonts w:hint="eastAsia" w:ascii="仿宋_GB2312" w:hAnsi="宋体" w:eastAsia="仿宋_GB2312" w:cs="宋体"/>
          <w:kern w:val="0"/>
          <w:sz w:val="32"/>
          <w:szCs w:val="32"/>
          <w:highlight w:val="none"/>
          <w:lang w:val="en-US" w:eastAsia="zh-CN"/>
        </w:rPr>
        <w:t>9.09</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减少2021年援疆项目计划评审经费</w:t>
      </w:r>
      <w:r>
        <w:rPr>
          <w:rFonts w:hint="eastAsia" w:ascii="仿宋_GB2312" w:hAnsi="宋体" w:eastAsia="仿宋_GB2312" w:cs="宋体"/>
          <w:kern w:val="0"/>
          <w:sz w:val="32"/>
          <w:szCs w:val="32"/>
          <w:highlight w:val="none"/>
        </w:rPr>
        <w:t>。</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四、关于昌吉州对口援疆工作领导小组办公室2022年财政拨款收支预算情况的总体说明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2022年财政拨款收支总预算</w:t>
      </w:r>
      <w:r>
        <w:rPr>
          <w:rFonts w:hint="eastAsia" w:ascii="仿宋_GB2312" w:hAnsi="宋体" w:eastAsia="仿宋_GB2312" w:cs="宋体"/>
          <w:kern w:val="0"/>
          <w:sz w:val="32"/>
          <w:szCs w:val="32"/>
          <w:highlight w:val="none"/>
          <w:lang w:val="en-US" w:eastAsia="zh-CN"/>
        </w:rPr>
        <w:t>190.41</w:t>
      </w:r>
      <w:r>
        <w:rPr>
          <w:rFonts w:hint="eastAsia" w:ascii="仿宋_GB2312" w:hAnsi="宋体" w:eastAsia="仿宋_GB2312" w:cs="宋体"/>
          <w:kern w:val="0"/>
          <w:sz w:val="32"/>
          <w:szCs w:val="32"/>
          <w:highlight w:val="none"/>
        </w:rPr>
        <w:t>万元。</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收入预算包括：一般公共预算拨款</w:t>
      </w:r>
      <w:r>
        <w:rPr>
          <w:rFonts w:hint="eastAsia" w:ascii="仿宋_GB2312" w:hAnsi="宋体" w:eastAsia="仿宋_GB2312" w:cs="宋体"/>
          <w:kern w:val="0"/>
          <w:sz w:val="32"/>
          <w:szCs w:val="32"/>
          <w:highlight w:val="none"/>
          <w:lang w:val="en-US" w:eastAsia="zh-CN"/>
        </w:rPr>
        <w:t>190.41</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一般公共预算支出包括：一般公共服务支出</w:t>
      </w:r>
      <w:r>
        <w:rPr>
          <w:rFonts w:hint="eastAsia" w:ascii="仿宋_GB2312" w:hAnsi="宋体" w:eastAsia="仿宋_GB2312" w:cs="宋体"/>
          <w:kern w:val="0"/>
          <w:sz w:val="32"/>
          <w:szCs w:val="32"/>
          <w:highlight w:val="none"/>
          <w:lang w:val="en-US" w:eastAsia="zh-CN"/>
        </w:rPr>
        <w:t>166.3万元，</w:t>
      </w:r>
      <w:r>
        <w:rPr>
          <w:rFonts w:hint="eastAsia" w:ascii="仿宋_GB2312" w:hAnsi="宋体" w:eastAsia="仿宋_GB2312" w:cs="宋体"/>
          <w:spacing w:val="-6"/>
          <w:kern w:val="0"/>
          <w:sz w:val="32"/>
          <w:szCs w:val="32"/>
          <w:highlight w:val="none"/>
        </w:rPr>
        <w:t>主要用于</w:t>
      </w:r>
      <w:r>
        <w:rPr>
          <w:rFonts w:hint="eastAsia" w:ascii="仿宋_GB2312" w:hAnsi="宋体" w:eastAsia="仿宋_GB2312" w:cs="宋体"/>
          <w:spacing w:val="-6"/>
          <w:kern w:val="0"/>
          <w:sz w:val="32"/>
          <w:szCs w:val="32"/>
          <w:highlight w:val="none"/>
          <w:lang w:val="en-US" w:eastAsia="zh-CN"/>
        </w:rPr>
        <w:t>州援疆办工资福利支出和援疆日常工作开支；</w:t>
      </w:r>
      <w:r>
        <w:rPr>
          <w:rFonts w:hint="eastAsia" w:ascii="仿宋_GB2312" w:hAnsi="宋体" w:eastAsia="仿宋_GB2312" w:cs="宋体"/>
          <w:kern w:val="0"/>
          <w:sz w:val="32"/>
          <w:szCs w:val="32"/>
          <w:highlight w:val="none"/>
        </w:rPr>
        <w:t>社会保障和就业支出</w:t>
      </w:r>
      <w:r>
        <w:rPr>
          <w:rFonts w:hint="eastAsia" w:ascii="仿宋_GB2312" w:hAnsi="宋体" w:eastAsia="仿宋_GB2312" w:cs="宋体"/>
          <w:kern w:val="0"/>
          <w:sz w:val="32"/>
          <w:szCs w:val="32"/>
          <w:highlight w:val="none"/>
          <w:lang w:val="en-US" w:eastAsia="zh-CN"/>
        </w:rPr>
        <w:t>8.91万元，</w:t>
      </w:r>
      <w:r>
        <w:rPr>
          <w:rFonts w:hint="eastAsia" w:ascii="仿宋_GB2312" w:hAnsi="宋体" w:eastAsia="仿宋_GB2312" w:cs="宋体"/>
          <w:spacing w:val="-6"/>
          <w:kern w:val="0"/>
          <w:sz w:val="32"/>
          <w:szCs w:val="32"/>
          <w:highlight w:val="none"/>
        </w:rPr>
        <w:t>主要用于</w:t>
      </w:r>
      <w:r>
        <w:rPr>
          <w:rFonts w:hint="eastAsia" w:ascii="仿宋_GB2312" w:hAnsi="宋体" w:eastAsia="仿宋_GB2312" w:cs="宋体"/>
          <w:spacing w:val="-6"/>
          <w:kern w:val="0"/>
          <w:sz w:val="32"/>
          <w:szCs w:val="32"/>
          <w:highlight w:val="none"/>
          <w:lang w:val="en-US" w:eastAsia="zh-CN"/>
        </w:rPr>
        <w:t>州援疆办职工基本养老保险缴费支出；</w:t>
      </w:r>
      <w:r>
        <w:rPr>
          <w:rFonts w:hint="eastAsia" w:ascii="仿宋_GB2312" w:hAnsi="宋体" w:eastAsia="仿宋_GB2312" w:cs="宋体"/>
          <w:kern w:val="0"/>
          <w:sz w:val="32"/>
          <w:szCs w:val="32"/>
          <w:highlight w:val="none"/>
        </w:rPr>
        <w:t>卫生健康支出</w:t>
      </w:r>
      <w:r>
        <w:rPr>
          <w:rFonts w:hint="eastAsia" w:ascii="仿宋_GB2312" w:hAnsi="宋体" w:eastAsia="仿宋_GB2312" w:cs="宋体"/>
          <w:kern w:val="0"/>
          <w:sz w:val="32"/>
          <w:szCs w:val="32"/>
          <w:highlight w:val="none"/>
          <w:lang w:val="en-US" w:eastAsia="zh-CN"/>
        </w:rPr>
        <w:t>7万元</w:t>
      </w:r>
      <w:r>
        <w:rPr>
          <w:rFonts w:hint="eastAsia" w:ascii="仿宋_GB2312" w:hAnsi="宋体" w:eastAsia="仿宋_GB2312" w:cs="宋体"/>
          <w:spacing w:val="-6"/>
          <w:kern w:val="0"/>
          <w:sz w:val="32"/>
          <w:szCs w:val="32"/>
          <w:highlight w:val="none"/>
        </w:rPr>
        <w:t>，主要用于</w:t>
      </w:r>
      <w:r>
        <w:rPr>
          <w:rFonts w:hint="eastAsia" w:ascii="仿宋_GB2312" w:hAnsi="宋体" w:eastAsia="仿宋_GB2312" w:cs="宋体"/>
          <w:spacing w:val="-6"/>
          <w:kern w:val="0"/>
          <w:sz w:val="32"/>
          <w:szCs w:val="32"/>
          <w:highlight w:val="none"/>
          <w:lang w:val="en-US" w:eastAsia="zh-CN"/>
        </w:rPr>
        <w:t>州援疆办职工行政单位医疗、公务员医疗补助等；住房保障支出8.2万元，主要用于州援疆办职工住房公积金支出</w:t>
      </w:r>
      <w:r>
        <w:rPr>
          <w:rFonts w:hint="eastAsia" w:ascii="仿宋_GB2312" w:hAnsi="宋体" w:eastAsia="仿宋_GB2312" w:cs="宋体"/>
          <w:spacing w:val="-6"/>
          <w:kern w:val="0"/>
          <w:sz w:val="32"/>
          <w:szCs w:val="32"/>
          <w:highlight w:val="none"/>
        </w:rPr>
        <w:t>。</w:t>
      </w:r>
    </w:p>
    <w:p>
      <w:pPr>
        <w:spacing w:line="560" w:lineRule="exact"/>
        <w:ind w:firstLine="643" w:firstLineChars="200"/>
        <w:rPr>
          <w:rFonts w:ascii="楷体_GB2312" w:hAnsi="楷体_GB2312" w:eastAsia="楷体_GB2312" w:cs="楷体_GB2312"/>
          <w:b/>
          <w:bCs/>
          <w:spacing w:val="-6"/>
          <w:kern w:val="0"/>
          <w:sz w:val="32"/>
          <w:szCs w:val="32"/>
          <w:highlight w:val="none"/>
        </w:rPr>
      </w:pPr>
      <w:r>
        <w:rPr>
          <w:rFonts w:hint="eastAsia" w:ascii="楷体_GB2312" w:hAnsi="楷体_GB2312" w:eastAsia="楷体_GB2312" w:cs="楷体_GB2312"/>
          <w:b/>
          <w:bCs/>
          <w:kern w:val="0"/>
          <w:sz w:val="32"/>
          <w:szCs w:val="32"/>
          <w:highlight w:val="none"/>
        </w:rPr>
        <w:t>五、</w:t>
      </w:r>
      <w:r>
        <w:rPr>
          <w:rFonts w:hint="eastAsia" w:ascii="楷体_GB2312" w:hAnsi="楷体_GB2312" w:eastAsia="楷体_GB2312" w:cs="楷体_GB2312"/>
          <w:b/>
          <w:bCs/>
          <w:spacing w:val="-6"/>
          <w:kern w:val="0"/>
          <w:sz w:val="32"/>
          <w:szCs w:val="32"/>
          <w:highlight w:val="none"/>
        </w:rPr>
        <w:t>关于昌吉州对口援疆工作领导小组办公室2022年一般公共预算当年拨款情况说明</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（一）一般公共预算当年拨款规模变化情况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昌吉州对口援疆工作领导小组办公室2022年一般公共预算拨款合计</w:t>
      </w:r>
      <w:r>
        <w:rPr>
          <w:rFonts w:hint="eastAsia" w:ascii="仿宋_GB2312" w:hAnsi="宋体" w:eastAsia="仿宋_GB2312" w:cs="宋体"/>
          <w:kern w:val="0"/>
          <w:sz w:val="32"/>
          <w:szCs w:val="32"/>
          <w:highlight w:val="none"/>
          <w:lang w:val="en-US" w:eastAsia="zh-CN"/>
        </w:rPr>
        <w:t>190.41</w:t>
      </w:r>
      <w:r>
        <w:rPr>
          <w:rFonts w:hint="eastAsia" w:ascii="仿宋_GB2312" w:hAnsi="仿宋_GB2312" w:eastAsia="仿宋_GB2312" w:cs="仿宋_GB2312"/>
          <w:kern w:val="0"/>
          <w:sz w:val="32"/>
          <w:szCs w:val="32"/>
          <w:highlight w:val="none"/>
        </w:rPr>
        <w:t>万元，其中：基本支出</w:t>
      </w:r>
      <w:r>
        <w:rPr>
          <w:rFonts w:hint="eastAsia" w:ascii="仿宋_GB2312" w:hAnsi="宋体" w:eastAsia="仿宋_GB2312" w:cs="宋体"/>
          <w:kern w:val="0"/>
          <w:sz w:val="32"/>
          <w:szCs w:val="32"/>
          <w:highlight w:val="none"/>
          <w:lang w:val="en-US" w:eastAsia="zh-CN"/>
        </w:rPr>
        <w:t>90.41</w:t>
      </w:r>
      <w:r>
        <w:rPr>
          <w:rFonts w:hint="eastAsia" w:ascii="仿宋_GB2312" w:hAnsi="仿宋_GB2312" w:eastAsia="仿宋_GB2312" w:cs="仿宋_GB2312"/>
          <w:kern w:val="0"/>
          <w:sz w:val="32"/>
          <w:szCs w:val="32"/>
          <w:highlight w:val="none"/>
        </w:rPr>
        <w:t>万元，比上年预算</w:t>
      </w:r>
      <w:r>
        <w:rPr>
          <w:rFonts w:hint="eastAsia" w:ascii="仿宋_GB2312" w:hAnsi="宋体" w:eastAsia="仿宋_GB2312" w:cs="宋体"/>
          <w:kern w:val="0"/>
          <w:sz w:val="32"/>
          <w:szCs w:val="32"/>
          <w:highlight w:val="none"/>
        </w:rPr>
        <w:t>减少</w:t>
      </w:r>
      <w:r>
        <w:rPr>
          <w:rFonts w:hint="eastAsia" w:ascii="仿宋_GB2312" w:hAnsi="宋体" w:eastAsia="仿宋_GB2312" w:cs="宋体"/>
          <w:kern w:val="0"/>
          <w:sz w:val="32"/>
          <w:szCs w:val="32"/>
          <w:highlight w:val="none"/>
          <w:lang w:val="en-US" w:eastAsia="zh-CN"/>
        </w:rPr>
        <w:t>10.29</w:t>
      </w:r>
      <w:r>
        <w:rPr>
          <w:rFonts w:hint="eastAsia" w:ascii="仿宋_GB2312" w:hAnsi="宋体" w:eastAsia="仿宋_GB2312" w:cs="宋体"/>
          <w:kern w:val="0"/>
          <w:sz w:val="32"/>
          <w:szCs w:val="32"/>
          <w:highlight w:val="none"/>
        </w:rPr>
        <w:t>万元，下降</w:t>
      </w:r>
      <w:r>
        <w:rPr>
          <w:rFonts w:hint="eastAsia" w:ascii="仿宋_GB2312" w:hAnsi="宋体" w:eastAsia="仿宋_GB2312" w:cs="宋体"/>
          <w:kern w:val="0"/>
          <w:sz w:val="32"/>
          <w:szCs w:val="32"/>
          <w:highlight w:val="none"/>
          <w:lang w:val="en-US" w:eastAsia="zh-CN"/>
        </w:rPr>
        <w:t>10.22</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调出一人人员经费减少</w:t>
      </w:r>
      <w:r>
        <w:rPr>
          <w:rFonts w:hint="eastAsia" w:ascii="仿宋_GB2312" w:hAnsi="仿宋_GB2312" w:eastAsia="仿宋_GB2312" w:cs="仿宋_GB2312"/>
          <w:kern w:val="0"/>
          <w:sz w:val="32"/>
          <w:szCs w:val="32"/>
          <w:highlight w:val="none"/>
        </w:rPr>
        <w:t>。项目支出</w:t>
      </w:r>
      <w:r>
        <w:rPr>
          <w:rFonts w:hint="eastAsia" w:ascii="仿宋_GB2312" w:hAnsi="宋体" w:eastAsia="仿宋_GB2312" w:cs="宋体"/>
          <w:kern w:val="0"/>
          <w:sz w:val="32"/>
          <w:szCs w:val="32"/>
          <w:highlight w:val="none"/>
          <w:lang w:val="en-US" w:eastAsia="zh-CN"/>
        </w:rPr>
        <w:t>100</w:t>
      </w:r>
      <w:r>
        <w:rPr>
          <w:rFonts w:hint="eastAsia" w:ascii="仿宋_GB2312" w:hAnsi="仿宋_GB2312" w:eastAsia="仿宋_GB2312" w:cs="仿宋_GB2312"/>
          <w:kern w:val="0"/>
          <w:sz w:val="32"/>
          <w:szCs w:val="32"/>
          <w:highlight w:val="none"/>
        </w:rPr>
        <w:t>万元，比上年预算</w:t>
      </w:r>
      <w:r>
        <w:rPr>
          <w:rFonts w:hint="eastAsia" w:ascii="仿宋_GB2312" w:hAnsi="宋体" w:eastAsia="仿宋_GB2312" w:cs="宋体"/>
          <w:kern w:val="0"/>
          <w:sz w:val="32"/>
          <w:szCs w:val="32"/>
          <w:highlight w:val="none"/>
        </w:rPr>
        <w:t>减少</w:t>
      </w:r>
      <w:r>
        <w:rPr>
          <w:rFonts w:hint="eastAsia" w:ascii="仿宋_GB2312" w:hAnsi="宋体" w:eastAsia="仿宋_GB2312" w:cs="宋体"/>
          <w:kern w:val="0"/>
          <w:sz w:val="32"/>
          <w:szCs w:val="32"/>
          <w:highlight w:val="none"/>
          <w:lang w:val="en-US" w:eastAsia="zh-CN"/>
        </w:rPr>
        <w:t>10</w:t>
      </w:r>
      <w:r>
        <w:rPr>
          <w:rFonts w:hint="eastAsia" w:ascii="仿宋_GB2312" w:hAnsi="宋体" w:eastAsia="仿宋_GB2312" w:cs="宋体"/>
          <w:kern w:val="0"/>
          <w:sz w:val="32"/>
          <w:szCs w:val="32"/>
          <w:highlight w:val="none"/>
        </w:rPr>
        <w:t>万元，下降</w:t>
      </w:r>
      <w:r>
        <w:rPr>
          <w:rFonts w:hint="eastAsia" w:ascii="仿宋_GB2312" w:hAnsi="宋体" w:eastAsia="仿宋_GB2312" w:cs="宋体"/>
          <w:kern w:val="0"/>
          <w:sz w:val="32"/>
          <w:szCs w:val="32"/>
          <w:highlight w:val="none"/>
          <w:lang w:val="en-US" w:eastAsia="zh-CN"/>
        </w:rPr>
        <w:t>9.09</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减少2021年援疆项目计划评审经费</w:t>
      </w:r>
      <w:r>
        <w:rPr>
          <w:rFonts w:hint="eastAsia" w:ascii="仿宋_GB2312" w:hAnsi="宋体" w:eastAsia="仿宋_GB2312" w:cs="宋体"/>
          <w:kern w:val="0"/>
          <w:sz w:val="32"/>
          <w:szCs w:val="32"/>
          <w:highlight w:val="none"/>
        </w:rPr>
        <w:t>。</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（二）一般公共预算当年拨款结构情况</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eastAsia="仿宋_GB2312"/>
          <w:sz w:val="32"/>
          <w:szCs w:val="32"/>
          <w:highlight w:val="none"/>
        </w:rPr>
        <w:t>1.一般公共服务支出</w:t>
      </w:r>
      <w:r>
        <w:rPr>
          <w:rFonts w:hint="eastAsia" w:ascii="仿宋_GB2312" w:eastAsia="仿宋_GB2312"/>
          <w:sz w:val="32"/>
          <w:szCs w:val="32"/>
          <w:highlight w:val="none"/>
          <w:lang w:val="en-US" w:eastAsia="zh-CN"/>
        </w:rPr>
        <w:t>166.3</w:t>
      </w:r>
      <w:r>
        <w:rPr>
          <w:rFonts w:hint="eastAsia" w:ascii="仿宋_GB2312" w:eastAsia="仿宋_GB2312"/>
          <w:sz w:val="32"/>
          <w:szCs w:val="32"/>
          <w:highlight w:val="none"/>
        </w:rPr>
        <w:t>万元，占</w:t>
      </w:r>
      <w:r>
        <w:rPr>
          <w:rFonts w:hint="eastAsia" w:ascii="仿宋_GB2312" w:eastAsia="仿宋_GB2312"/>
          <w:sz w:val="32"/>
          <w:szCs w:val="32"/>
          <w:highlight w:val="none"/>
          <w:lang w:val="en-US" w:eastAsia="zh-CN"/>
        </w:rPr>
        <w:t>87.33</w:t>
      </w:r>
      <w:r>
        <w:rPr>
          <w:rFonts w:hint="eastAsia" w:ascii="仿宋_GB2312" w:eastAsia="仿宋_GB2312"/>
          <w:sz w:val="32"/>
          <w:szCs w:val="32"/>
          <w:highlight w:val="none"/>
        </w:rPr>
        <w:t>%。</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rPr>
        <w:t>2.</w:t>
      </w:r>
      <w:r>
        <w:rPr>
          <w:rFonts w:hint="eastAsia" w:ascii="仿宋_GB2312" w:hAnsi="宋体" w:eastAsia="仿宋_GB2312" w:cs="宋体"/>
          <w:kern w:val="0"/>
          <w:sz w:val="32"/>
          <w:szCs w:val="32"/>
          <w:highlight w:val="none"/>
          <w:lang w:val="en-US" w:eastAsia="zh-CN"/>
        </w:rPr>
        <w:t>社会保障和就业支出8.91</w:t>
      </w:r>
      <w:r>
        <w:rPr>
          <w:rFonts w:hint="eastAsia" w:ascii="仿宋_GB2312" w:eastAsia="仿宋_GB2312"/>
          <w:sz w:val="32"/>
          <w:szCs w:val="32"/>
          <w:highlight w:val="none"/>
        </w:rPr>
        <w:t>万元</w:t>
      </w:r>
      <w:r>
        <w:rPr>
          <w:rFonts w:hint="eastAsia" w:ascii="仿宋_GB2312" w:hAnsi="宋体" w:eastAsia="仿宋_GB2312" w:cs="宋体"/>
          <w:kern w:val="0"/>
          <w:sz w:val="32"/>
          <w:szCs w:val="32"/>
          <w:highlight w:val="none"/>
          <w:lang w:val="en-US" w:eastAsia="zh-CN"/>
        </w:rPr>
        <w:t>，</w:t>
      </w:r>
      <w:r>
        <w:rPr>
          <w:rFonts w:hint="eastAsia" w:ascii="仿宋_GB2312" w:eastAsia="仿宋_GB2312"/>
          <w:sz w:val="32"/>
          <w:szCs w:val="32"/>
          <w:highlight w:val="none"/>
        </w:rPr>
        <w:t>占</w:t>
      </w:r>
      <w:r>
        <w:rPr>
          <w:rFonts w:hint="eastAsia" w:ascii="仿宋_GB2312" w:eastAsia="仿宋_GB2312"/>
          <w:sz w:val="32"/>
          <w:szCs w:val="32"/>
          <w:highlight w:val="none"/>
          <w:lang w:val="en-US" w:eastAsia="zh-CN"/>
        </w:rPr>
        <w:t>4.68</w:t>
      </w:r>
      <w:r>
        <w:rPr>
          <w:rFonts w:hint="eastAsia" w:ascii="仿宋_GB2312" w:eastAsia="仿宋_GB2312"/>
          <w:sz w:val="32"/>
          <w:szCs w:val="32"/>
          <w:highlight w:val="none"/>
        </w:rPr>
        <w:t>%。</w:t>
      </w:r>
    </w:p>
    <w:p>
      <w:pPr>
        <w:spacing w:line="560" w:lineRule="exact"/>
        <w:ind w:firstLine="640" w:firstLineChars="200"/>
        <w:rPr>
          <w:rFonts w:hint="default"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3.卫生健康支出7</w:t>
      </w:r>
      <w:r>
        <w:rPr>
          <w:rFonts w:hint="eastAsia" w:ascii="仿宋_GB2312" w:eastAsia="仿宋_GB2312"/>
          <w:sz w:val="32"/>
          <w:szCs w:val="32"/>
          <w:highlight w:val="none"/>
        </w:rPr>
        <w:t>万元</w:t>
      </w:r>
      <w:r>
        <w:rPr>
          <w:rFonts w:hint="eastAsia" w:ascii="仿宋_GB2312" w:hAnsi="宋体" w:eastAsia="仿宋_GB2312" w:cs="宋体"/>
          <w:kern w:val="0"/>
          <w:sz w:val="32"/>
          <w:szCs w:val="32"/>
          <w:highlight w:val="none"/>
          <w:lang w:val="en-US" w:eastAsia="zh-CN"/>
        </w:rPr>
        <w:t>，</w:t>
      </w:r>
      <w:r>
        <w:rPr>
          <w:rFonts w:hint="eastAsia" w:ascii="仿宋_GB2312" w:eastAsia="仿宋_GB2312"/>
          <w:sz w:val="32"/>
          <w:szCs w:val="32"/>
          <w:highlight w:val="none"/>
        </w:rPr>
        <w:t>占</w:t>
      </w:r>
      <w:r>
        <w:rPr>
          <w:rFonts w:hint="eastAsia" w:ascii="仿宋_GB2312" w:eastAsia="仿宋_GB2312"/>
          <w:sz w:val="32"/>
          <w:szCs w:val="32"/>
          <w:highlight w:val="none"/>
          <w:lang w:val="en-US" w:eastAsia="zh-CN"/>
        </w:rPr>
        <w:t>3.68</w:t>
      </w:r>
      <w:r>
        <w:rPr>
          <w:rFonts w:hint="eastAsia" w:ascii="仿宋_GB2312" w:eastAsia="仿宋_GB2312"/>
          <w:sz w:val="32"/>
          <w:szCs w:val="32"/>
          <w:highlight w:val="none"/>
        </w:rPr>
        <w:t>%。</w:t>
      </w:r>
    </w:p>
    <w:p>
      <w:pPr>
        <w:spacing w:line="560" w:lineRule="exact"/>
        <w:ind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4.住房保障支出8.2万元，占4.31%。</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（三）一般公共预算当年拨款具体使用情况</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1.</w:t>
      </w:r>
      <w:r>
        <w:rPr>
          <w:rFonts w:ascii="仿宋_GB2312" w:hAnsi="宋体" w:eastAsia="仿宋_GB2312" w:cs="宋体"/>
          <w:kern w:val="0"/>
          <w:sz w:val="32"/>
          <w:szCs w:val="32"/>
          <w:highlight w:val="none"/>
        </w:rPr>
        <w:t>一般公共服务（</w:t>
      </w:r>
      <w:r>
        <w:rPr>
          <w:rFonts w:hint="eastAsia" w:ascii="仿宋_GB2312" w:hAnsi="宋体" w:eastAsia="仿宋_GB2312" w:cs="宋体"/>
          <w:kern w:val="0"/>
          <w:sz w:val="32"/>
          <w:szCs w:val="32"/>
          <w:highlight w:val="none"/>
          <w:lang w:val="en-US" w:eastAsia="zh-CN"/>
        </w:rPr>
        <w:t>类</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发展与改革事务</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款</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事业</w:t>
      </w:r>
      <w:r>
        <w:rPr>
          <w:rFonts w:ascii="仿宋_GB2312" w:hAnsi="宋体" w:eastAsia="仿宋_GB2312" w:cs="宋体"/>
          <w:kern w:val="0"/>
          <w:sz w:val="32"/>
          <w:szCs w:val="32"/>
          <w:highlight w:val="none"/>
        </w:rPr>
        <w:t>运行（</w:t>
      </w:r>
      <w:r>
        <w:rPr>
          <w:rFonts w:hint="eastAsia" w:ascii="仿宋_GB2312" w:hAnsi="宋体" w:eastAsia="仿宋_GB2312" w:cs="宋体"/>
          <w:kern w:val="0"/>
          <w:sz w:val="32"/>
          <w:szCs w:val="32"/>
          <w:highlight w:val="none"/>
          <w:lang w:val="en-US" w:eastAsia="zh-CN"/>
        </w:rPr>
        <w:t>项</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66.3</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val="en-US" w:eastAsia="zh-CN"/>
        </w:rPr>
        <w:t>减少17.82</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下降21.18</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调出一人人员经费减少和减少住房公积金支出。</w:t>
      </w:r>
    </w:p>
    <w:p>
      <w:pPr>
        <w:spacing w:line="560" w:lineRule="exact"/>
        <w:ind w:firstLine="640" w:firstLineChars="200"/>
        <w:rPr>
          <w:rFonts w:hint="default" w:ascii="仿宋_GB2312" w:hAnsi="宋体" w:eastAsia="仿宋_GB2312" w:cs="宋体"/>
          <w:kern w:val="0"/>
          <w:sz w:val="32"/>
          <w:szCs w:val="32"/>
          <w:highlight w:val="none"/>
          <w:lang w:val="en-US" w:eastAsia="zh-CN"/>
        </w:rPr>
      </w:pPr>
      <w:r>
        <w:rPr>
          <w:rFonts w:hint="eastAsia" w:ascii="楷体_GB2312" w:hAnsi="宋体" w:eastAsia="楷体_GB2312" w:cs="宋体"/>
          <w:kern w:val="0"/>
          <w:sz w:val="32"/>
          <w:szCs w:val="32"/>
          <w:highlight w:val="none"/>
          <w:lang w:val="en-US" w:eastAsia="zh-CN"/>
        </w:rPr>
        <w:t>2</w:t>
      </w:r>
      <w:r>
        <w:rPr>
          <w:rFonts w:hint="eastAsia" w:ascii="楷体_GB2312" w:hAnsi="宋体" w:eastAsia="楷体_GB2312" w:cs="宋体"/>
          <w:kern w:val="0"/>
          <w:sz w:val="32"/>
          <w:szCs w:val="32"/>
          <w:highlight w:val="none"/>
        </w:rPr>
        <w:t>.</w:t>
      </w:r>
      <w:r>
        <w:rPr>
          <w:rFonts w:ascii="仿宋_GB2312" w:hAnsi="宋体" w:eastAsia="仿宋_GB2312" w:cs="宋体"/>
          <w:kern w:val="0"/>
          <w:sz w:val="32"/>
          <w:szCs w:val="32"/>
          <w:highlight w:val="none"/>
        </w:rPr>
        <w:t>一般公共服务（</w:t>
      </w:r>
      <w:r>
        <w:rPr>
          <w:rFonts w:hint="eastAsia" w:ascii="仿宋_GB2312" w:hAnsi="宋体" w:eastAsia="仿宋_GB2312" w:cs="宋体"/>
          <w:kern w:val="0"/>
          <w:sz w:val="32"/>
          <w:szCs w:val="32"/>
          <w:highlight w:val="none"/>
          <w:lang w:val="en-US" w:eastAsia="zh-CN"/>
        </w:rPr>
        <w:t>类</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发展与改革事务</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款</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其他发展与改革事务支出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项</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100</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val="en-US" w:eastAsia="zh-CN"/>
        </w:rPr>
        <w:t>减少90</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下降90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减少2021年援疆项目计划评审经费，增加援疆工作经费。</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楷体_GB2312" w:hAnsi="宋体" w:eastAsia="楷体_GB2312" w:cs="宋体"/>
          <w:kern w:val="0"/>
          <w:sz w:val="32"/>
          <w:szCs w:val="32"/>
          <w:highlight w:val="none"/>
          <w:lang w:val="en-US" w:eastAsia="zh-CN"/>
        </w:rPr>
        <w:t>3</w:t>
      </w:r>
      <w:r>
        <w:rPr>
          <w:rFonts w:hint="eastAsia" w:ascii="楷体_GB2312" w:hAnsi="宋体" w:eastAsia="楷体_GB2312" w:cs="宋体"/>
          <w:kern w:val="0"/>
          <w:sz w:val="32"/>
          <w:szCs w:val="32"/>
          <w:highlight w:val="none"/>
        </w:rPr>
        <w:t>.</w:t>
      </w:r>
      <w:r>
        <w:rPr>
          <w:rFonts w:hint="eastAsia" w:ascii="仿宋_GB2312" w:hAnsi="宋体" w:eastAsia="仿宋_GB2312" w:cs="宋体"/>
          <w:kern w:val="0"/>
          <w:sz w:val="32"/>
          <w:szCs w:val="32"/>
          <w:highlight w:val="none"/>
          <w:lang w:val="en-US" w:eastAsia="zh-CN"/>
        </w:rPr>
        <w:t>社会保障和就业</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类</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行政事业单位养老支出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款</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机关事业单位基本养老保险缴费</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项</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8.91</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val="en-US" w:eastAsia="zh-CN"/>
        </w:rPr>
        <w:t>减少0.26</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下降2.84</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调出一人减少基本养老保险缴费。</w:t>
      </w:r>
    </w:p>
    <w:p>
      <w:pPr>
        <w:spacing w:line="560" w:lineRule="exact"/>
        <w:ind w:firstLine="640" w:firstLineChars="200"/>
        <w:rPr>
          <w:rFonts w:ascii="仿宋_GB2312" w:hAnsi="宋体" w:eastAsia="仿宋_GB2312" w:cs="宋体"/>
          <w:kern w:val="0"/>
          <w:sz w:val="32"/>
          <w:szCs w:val="32"/>
          <w:highlight w:val="none"/>
        </w:rPr>
      </w:pPr>
      <w:r>
        <w:rPr>
          <w:rFonts w:hint="eastAsia" w:ascii="楷体_GB2312" w:hAnsi="宋体" w:eastAsia="楷体_GB2312" w:cs="宋体"/>
          <w:kern w:val="0"/>
          <w:sz w:val="32"/>
          <w:szCs w:val="32"/>
          <w:highlight w:val="none"/>
          <w:lang w:val="en-US" w:eastAsia="zh-CN"/>
        </w:rPr>
        <w:t>4</w:t>
      </w:r>
      <w:r>
        <w:rPr>
          <w:rFonts w:hint="eastAsia" w:ascii="楷体_GB2312" w:hAnsi="宋体" w:eastAsia="楷体_GB2312" w:cs="宋体"/>
          <w:kern w:val="0"/>
          <w:sz w:val="32"/>
          <w:szCs w:val="32"/>
          <w:highlight w:val="none"/>
        </w:rPr>
        <w:t>.</w:t>
      </w:r>
      <w:r>
        <w:rPr>
          <w:rFonts w:hint="eastAsia" w:ascii="仿宋_GB2312" w:hAnsi="宋体" w:eastAsia="仿宋_GB2312" w:cs="宋体"/>
          <w:kern w:val="0"/>
          <w:sz w:val="32"/>
          <w:szCs w:val="32"/>
          <w:highlight w:val="none"/>
          <w:lang w:val="en-US" w:eastAsia="zh-CN"/>
        </w:rPr>
        <w:t>卫生健康</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类</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行政事业单位医疗</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款</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事业单位医疗</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项</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5.29</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val="en-US" w:eastAsia="zh-CN"/>
        </w:rPr>
        <w:t>增加5.29</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增长100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增加事业单位医疗缴费款项。</w:t>
      </w:r>
    </w:p>
    <w:p>
      <w:pPr>
        <w:spacing w:line="560" w:lineRule="exact"/>
        <w:ind w:firstLine="640" w:firstLineChars="200"/>
        <w:rPr>
          <w:rFonts w:ascii="仿宋_GB2312" w:hAnsi="宋体" w:eastAsia="仿宋_GB2312" w:cs="宋体"/>
          <w:kern w:val="0"/>
          <w:sz w:val="32"/>
          <w:szCs w:val="32"/>
          <w:highlight w:val="none"/>
        </w:rPr>
      </w:pPr>
      <w:r>
        <w:rPr>
          <w:rFonts w:hint="eastAsia" w:ascii="楷体_GB2312" w:hAnsi="宋体" w:eastAsia="楷体_GB2312" w:cs="宋体"/>
          <w:kern w:val="0"/>
          <w:sz w:val="32"/>
          <w:szCs w:val="32"/>
          <w:highlight w:val="none"/>
          <w:lang w:val="en-US" w:eastAsia="zh-CN"/>
        </w:rPr>
        <w:t>5</w:t>
      </w:r>
      <w:r>
        <w:rPr>
          <w:rFonts w:hint="eastAsia" w:ascii="楷体_GB2312" w:hAnsi="宋体" w:eastAsia="楷体_GB2312" w:cs="宋体"/>
          <w:kern w:val="0"/>
          <w:sz w:val="32"/>
          <w:szCs w:val="32"/>
          <w:highlight w:val="none"/>
        </w:rPr>
        <w:t>.</w:t>
      </w:r>
      <w:r>
        <w:rPr>
          <w:rFonts w:hint="eastAsia" w:ascii="仿宋_GB2312" w:hAnsi="宋体" w:eastAsia="仿宋_GB2312" w:cs="宋体"/>
          <w:kern w:val="0"/>
          <w:sz w:val="32"/>
          <w:szCs w:val="32"/>
          <w:highlight w:val="none"/>
          <w:lang w:val="en-US" w:eastAsia="zh-CN"/>
        </w:rPr>
        <w:t>卫生健康</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类</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行政事业单位医疗</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款</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公务员医疗补助</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项</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1.67</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val="en-US" w:eastAsia="zh-CN"/>
        </w:rPr>
        <w:t>减少0.06</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下降3.49</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调出一人减少公务员医疗补助缴费。</w:t>
      </w:r>
    </w:p>
    <w:p>
      <w:pPr>
        <w:spacing w:line="560" w:lineRule="exact"/>
        <w:ind w:firstLine="640" w:firstLineChars="200"/>
        <w:rPr>
          <w:rFonts w:ascii="仿宋_GB2312" w:hAnsi="宋体" w:eastAsia="仿宋_GB2312" w:cs="宋体"/>
          <w:kern w:val="0"/>
          <w:sz w:val="32"/>
          <w:szCs w:val="32"/>
          <w:highlight w:val="none"/>
        </w:rPr>
      </w:pPr>
      <w:r>
        <w:rPr>
          <w:rFonts w:hint="eastAsia" w:ascii="楷体_GB2312" w:hAnsi="宋体" w:eastAsia="楷体_GB2312" w:cs="宋体"/>
          <w:kern w:val="0"/>
          <w:sz w:val="32"/>
          <w:szCs w:val="32"/>
          <w:highlight w:val="none"/>
          <w:lang w:val="en-US" w:eastAsia="zh-CN"/>
        </w:rPr>
        <w:t>6</w:t>
      </w:r>
      <w:r>
        <w:rPr>
          <w:rFonts w:hint="eastAsia" w:ascii="楷体_GB2312" w:hAnsi="宋体" w:eastAsia="楷体_GB2312" w:cs="宋体"/>
          <w:kern w:val="0"/>
          <w:sz w:val="32"/>
          <w:szCs w:val="32"/>
          <w:highlight w:val="none"/>
        </w:rPr>
        <w:t>.</w:t>
      </w:r>
      <w:r>
        <w:rPr>
          <w:rFonts w:hint="eastAsia" w:ascii="仿宋_GB2312" w:hAnsi="宋体" w:eastAsia="仿宋_GB2312" w:cs="宋体"/>
          <w:kern w:val="0"/>
          <w:sz w:val="32"/>
          <w:szCs w:val="32"/>
          <w:highlight w:val="none"/>
          <w:lang w:val="en-US" w:eastAsia="zh-CN"/>
        </w:rPr>
        <w:t>卫生健康</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类</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行政事业单位医疗</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款</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其他行政事业单位医疗</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项</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0.04</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val="en-US" w:eastAsia="zh-CN"/>
        </w:rPr>
        <w:t>减少0.21</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下降84</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调出一人减少其他行政事业单位医疗缴费。</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楷体_GB2312" w:hAnsi="宋体" w:eastAsia="楷体_GB2312" w:cs="宋体"/>
          <w:kern w:val="0"/>
          <w:sz w:val="32"/>
          <w:szCs w:val="32"/>
          <w:highlight w:val="none"/>
          <w:lang w:val="en-US" w:eastAsia="zh-CN"/>
        </w:rPr>
        <w:t>7.</w:t>
      </w:r>
      <w:r>
        <w:rPr>
          <w:rFonts w:hint="eastAsia" w:ascii="仿宋_GB2312" w:hAnsi="宋体" w:eastAsia="仿宋_GB2312" w:cs="宋体"/>
          <w:kern w:val="0"/>
          <w:sz w:val="32"/>
          <w:szCs w:val="32"/>
          <w:highlight w:val="none"/>
          <w:lang w:val="en-US" w:eastAsia="zh-CN"/>
        </w:rPr>
        <w:t>住房保障支出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类</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住房改革支出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款</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住房公积金</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项</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val="en-US" w:eastAsia="zh-CN"/>
        </w:rPr>
        <w:t>：</w:t>
      </w:r>
      <w:r>
        <w:rPr>
          <w:rFonts w:hint="eastAsia" w:ascii="仿宋_GB2312" w:hAnsi="宋体" w:eastAsia="仿宋_GB2312" w:cs="宋体"/>
          <w:kern w:val="0"/>
          <w:sz w:val="32"/>
          <w:szCs w:val="32"/>
          <w:highlight w:val="none"/>
        </w:rPr>
        <w:t>202</w:t>
      </w:r>
      <w:r>
        <w:rPr>
          <w:rFonts w:hint="eastAsia" w:ascii="仿宋_GB2312" w:hAnsi="宋体" w:eastAsia="仿宋_GB2312" w:cs="宋体"/>
          <w:kern w:val="0"/>
          <w:sz w:val="32"/>
          <w:szCs w:val="32"/>
          <w:highlight w:val="none"/>
          <w:lang w:val="en-US" w:eastAsia="zh-CN"/>
        </w:rPr>
        <w:t>2</w:t>
      </w:r>
      <w:r>
        <w:rPr>
          <w:rFonts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8.2</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比上年预算数</w:t>
      </w:r>
      <w:r>
        <w:rPr>
          <w:rFonts w:hint="eastAsia" w:ascii="仿宋_GB2312" w:hAnsi="宋体" w:eastAsia="仿宋_GB2312" w:cs="宋体"/>
          <w:kern w:val="0"/>
          <w:sz w:val="32"/>
          <w:szCs w:val="32"/>
          <w:highlight w:val="none"/>
          <w:lang w:val="en-US" w:eastAsia="zh-CN"/>
        </w:rPr>
        <w:t>增加8.2</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增长100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增加住房公积金支出。</w:t>
      </w:r>
    </w:p>
    <w:p>
      <w:pPr>
        <w:spacing w:line="560" w:lineRule="exact"/>
        <w:ind w:firstLine="643" w:firstLineChars="200"/>
        <w:rPr>
          <w:rFonts w:ascii="楷体_GB2312" w:hAnsi="楷体_GB2312" w:eastAsia="楷体_GB2312" w:cs="楷体_GB2312"/>
          <w:b/>
          <w:bCs/>
          <w:spacing w:val="-6"/>
          <w:kern w:val="0"/>
          <w:sz w:val="32"/>
          <w:szCs w:val="32"/>
          <w:highlight w:val="none"/>
        </w:rPr>
      </w:pPr>
      <w:r>
        <w:rPr>
          <w:rFonts w:hint="eastAsia" w:ascii="楷体_GB2312" w:hAnsi="楷体_GB2312" w:eastAsia="楷体_GB2312" w:cs="楷体_GB2312"/>
          <w:b/>
          <w:bCs/>
          <w:kern w:val="0"/>
          <w:sz w:val="32"/>
          <w:szCs w:val="32"/>
          <w:highlight w:val="none"/>
        </w:rPr>
        <w:t>六、</w:t>
      </w:r>
      <w:r>
        <w:rPr>
          <w:rFonts w:hint="eastAsia" w:ascii="楷体_GB2312" w:hAnsi="楷体_GB2312" w:eastAsia="楷体_GB2312" w:cs="楷体_GB2312"/>
          <w:b/>
          <w:bCs/>
          <w:spacing w:val="-6"/>
          <w:kern w:val="0"/>
          <w:sz w:val="32"/>
          <w:szCs w:val="32"/>
          <w:highlight w:val="none"/>
        </w:rPr>
        <w:t>关于昌吉州对口援疆工作领导小组办公室2022年一般公共预算基本支出情况说明</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昌吉州对口援疆工作领导小组办公室2022年一般公共预算基本支出</w:t>
      </w:r>
      <w:r>
        <w:rPr>
          <w:rFonts w:hint="eastAsia" w:ascii="仿宋_GB2312" w:hAnsi="宋体" w:eastAsia="仿宋_GB2312" w:cs="宋体"/>
          <w:kern w:val="0"/>
          <w:sz w:val="32"/>
          <w:szCs w:val="32"/>
          <w:highlight w:val="none"/>
          <w:lang w:val="en-US" w:eastAsia="zh-CN"/>
        </w:rPr>
        <w:t>90.41</w:t>
      </w:r>
      <w:r>
        <w:rPr>
          <w:rFonts w:hint="eastAsia" w:ascii="仿宋_GB2312" w:hAnsi="宋体" w:eastAsia="仿宋_GB2312" w:cs="宋体"/>
          <w:spacing w:val="-6"/>
          <w:kern w:val="0"/>
          <w:sz w:val="32"/>
          <w:szCs w:val="32"/>
          <w:highlight w:val="none"/>
        </w:rPr>
        <w:t>万元， 其中：</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人员经费</w:t>
      </w:r>
      <w:r>
        <w:rPr>
          <w:rFonts w:hint="eastAsia" w:ascii="仿宋_GB2312" w:hAnsi="宋体" w:eastAsia="仿宋_GB2312" w:cs="宋体"/>
          <w:kern w:val="0"/>
          <w:sz w:val="32"/>
          <w:szCs w:val="32"/>
          <w:highlight w:val="none"/>
          <w:lang w:val="en-US" w:eastAsia="zh-CN"/>
        </w:rPr>
        <w:t>80.73</w:t>
      </w:r>
      <w:r>
        <w:rPr>
          <w:rFonts w:hint="eastAsia" w:ascii="仿宋_GB2312" w:hAnsi="宋体" w:eastAsia="仿宋_GB2312" w:cs="宋体"/>
          <w:kern w:val="0"/>
          <w:sz w:val="32"/>
          <w:szCs w:val="32"/>
          <w:highlight w:val="none"/>
        </w:rPr>
        <w:t>万元，主要包括：基本工资、津贴补贴、奖金、绩效工资、机关事业单位基本养老保险缴费、职工基本医疗保险缴费、公务员医疗补助缴费、其他社会保障缴费、住房公积金。</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公用经费</w:t>
      </w:r>
      <w:r>
        <w:rPr>
          <w:rFonts w:hint="eastAsia" w:ascii="仿宋_GB2312" w:hAnsi="宋体" w:eastAsia="仿宋_GB2312" w:cs="宋体"/>
          <w:kern w:val="0"/>
          <w:sz w:val="32"/>
          <w:szCs w:val="32"/>
          <w:highlight w:val="none"/>
          <w:lang w:val="en-US" w:eastAsia="zh-CN"/>
        </w:rPr>
        <w:t>9.68</w:t>
      </w:r>
      <w:r>
        <w:rPr>
          <w:rFonts w:hint="eastAsia" w:ascii="仿宋_GB2312" w:hAnsi="宋体" w:eastAsia="仿宋_GB2312" w:cs="宋体"/>
          <w:kern w:val="0"/>
          <w:sz w:val="32"/>
          <w:szCs w:val="32"/>
          <w:highlight w:val="none"/>
        </w:rPr>
        <w:t>万元，主要包括：办公费、印刷费、电费、邮电费、差旅费、工会经费、福利费、公务用车运行维护费、其他商品和服务支出。</w:t>
      </w:r>
    </w:p>
    <w:p>
      <w:pPr>
        <w:spacing w:line="560" w:lineRule="exact"/>
        <w:ind w:firstLine="643" w:firstLineChars="200"/>
        <w:rPr>
          <w:rFonts w:ascii="楷体_GB2312" w:hAnsi="楷体_GB2312" w:eastAsia="楷体_GB2312" w:cs="楷体_GB2312"/>
          <w:b/>
          <w:bCs/>
          <w:spacing w:val="-6"/>
          <w:kern w:val="0"/>
          <w:sz w:val="32"/>
          <w:szCs w:val="32"/>
          <w:highlight w:val="none"/>
        </w:rPr>
      </w:pPr>
      <w:r>
        <w:rPr>
          <w:rFonts w:hint="eastAsia" w:ascii="楷体_GB2312" w:hAnsi="楷体_GB2312" w:eastAsia="楷体_GB2312" w:cs="楷体_GB2312"/>
          <w:b/>
          <w:bCs/>
          <w:kern w:val="0"/>
          <w:sz w:val="32"/>
          <w:szCs w:val="32"/>
          <w:highlight w:val="none"/>
        </w:rPr>
        <w:t>七、</w:t>
      </w:r>
      <w:r>
        <w:rPr>
          <w:rFonts w:hint="eastAsia" w:ascii="楷体_GB2312" w:hAnsi="楷体_GB2312" w:eastAsia="楷体_GB2312" w:cs="楷体_GB2312"/>
          <w:b/>
          <w:bCs/>
          <w:spacing w:val="-6"/>
          <w:kern w:val="0"/>
          <w:sz w:val="32"/>
          <w:szCs w:val="32"/>
          <w:highlight w:val="none"/>
        </w:rPr>
        <w:t>关于昌吉州对口援疆工作领导小组办公室2022年一般公共预算项目支出情况说明</w:t>
      </w:r>
    </w:p>
    <w:p>
      <w:pPr>
        <w:spacing w:line="560" w:lineRule="exact"/>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eastAsia="zh-CN"/>
        </w:rPr>
        <w:t>援疆工作经费</w:t>
      </w:r>
    </w:p>
    <w:p>
      <w:pPr>
        <w:spacing w:line="560" w:lineRule="exact"/>
        <w:ind w:firstLine="640" w:firstLineChars="200"/>
        <w:rPr>
          <w:rFonts w:hint="eastAsia" w:ascii="仿宋_GB2312" w:hAnsi="宋体" w:eastAsia="仿宋_GB2312" w:cs="宋体"/>
          <w:kern w:val="0"/>
          <w:sz w:val="32"/>
          <w:szCs w:val="32"/>
          <w:highlight w:val="none"/>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国家、自治区、自治州相关政策</w:t>
      </w:r>
    </w:p>
    <w:p>
      <w:pPr>
        <w:spacing w:line="560" w:lineRule="exact"/>
        <w:ind w:firstLine="640" w:firstLineChars="200"/>
        <w:rPr>
          <w:rFonts w:hint="eastAsia" w:ascii="仿宋_GB2312" w:hAnsi="黑体" w:eastAsia="仿宋_GB2312"/>
          <w:sz w:val="32"/>
          <w:szCs w:val="32"/>
          <w:highlight w:val="none"/>
          <w:lang w:val="en-US" w:eastAsia="zh-CN"/>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100万元</w:t>
      </w:r>
    </w:p>
    <w:p>
      <w:pPr>
        <w:spacing w:line="560" w:lineRule="exact"/>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昌吉州援疆办</w:t>
      </w:r>
    </w:p>
    <w:p>
      <w:pPr>
        <w:spacing w:line="560" w:lineRule="exact"/>
        <w:ind w:firstLine="640" w:firstLineChars="200"/>
        <w:rPr>
          <w:rFonts w:hint="eastAsia" w:ascii="仿宋_GB2312" w:hAnsi="黑体" w:eastAsia="仿宋_GB2312"/>
          <w:sz w:val="32"/>
          <w:szCs w:val="32"/>
          <w:highlight w:val="none"/>
          <w:lang w:val="en-US" w:eastAsia="zh-CN"/>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100万元</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lang w:val="en-US" w:eastAsia="zh-CN"/>
        </w:rPr>
        <w:t>2022年1月至2022年12月</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八、关于昌吉州对口援疆工作领导小组办公室2022年一般公共预算“三公”经费预算情况说明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昌吉州对口援疆工作领导小组办公室2022年一般公共预算“三公”经费数为</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万元，其中：因公出国（境）费</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万元，公务用车购置</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万元，公务用车运行费</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万元，公务接待费</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2022年一般公共预算“三公”经费比上年增加</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100</w:t>
      </w:r>
      <w:r>
        <w:rPr>
          <w:rFonts w:hint="eastAsia" w:ascii="仿宋_GB2312" w:hAnsi="宋体" w:eastAsia="仿宋_GB2312" w:cs="宋体"/>
          <w:kern w:val="0"/>
          <w:sz w:val="32"/>
          <w:szCs w:val="32"/>
          <w:highlight w:val="none"/>
        </w:rPr>
        <w:t>%，其中：因公出国（境）费增加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我单位</w:t>
      </w:r>
      <w:r>
        <w:rPr>
          <w:rFonts w:hint="eastAsia" w:ascii="仿宋_GB2312" w:hAnsi="宋体" w:eastAsia="仿宋_GB2312" w:cs="宋体"/>
          <w:kern w:val="0"/>
          <w:sz w:val="32"/>
          <w:szCs w:val="32"/>
          <w:highlight w:val="none"/>
        </w:rPr>
        <w:t>未安排因公出国（境）费预算；公务用车购置费增加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%，主要原因是未安排预算；公务用车运行费增加</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100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增加公务用车运行费支出</w:t>
      </w:r>
      <w:r>
        <w:rPr>
          <w:rFonts w:hint="eastAsia" w:ascii="仿宋_GB2312" w:hAnsi="宋体" w:eastAsia="仿宋_GB2312" w:cs="宋体"/>
          <w:kern w:val="0"/>
          <w:sz w:val="32"/>
          <w:szCs w:val="32"/>
          <w:highlight w:val="none"/>
        </w:rPr>
        <w:t>；公务接待费增加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我单位</w:t>
      </w:r>
      <w:r>
        <w:rPr>
          <w:rFonts w:hint="eastAsia" w:ascii="仿宋_GB2312" w:hAnsi="宋体" w:eastAsia="仿宋_GB2312" w:cs="宋体"/>
          <w:kern w:val="0"/>
          <w:sz w:val="32"/>
          <w:szCs w:val="32"/>
          <w:highlight w:val="none"/>
        </w:rPr>
        <w:t>未安排预算公务接待费。</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九、关于昌吉州对口援疆工作领导小组办公室2022年政府性基金预算拨款情况说明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昌吉州对口援疆工作领导小组办公室202</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十、其他重要事项的情况说明</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（一）机关运行经费情况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2022年，昌吉州对口援疆工作领导小组办公室机关运行经费财政拨款预算</w:t>
      </w:r>
      <w:r>
        <w:rPr>
          <w:rFonts w:hint="eastAsia" w:ascii="仿宋_GB2312" w:hAnsi="仿宋_GB2312" w:eastAsia="仿宋_GB2312" w:cs="仿宋_GB2312"/>
          <w:kern w:val="0"/>
          <w:sz w:val="32"/>
          <w:szCs w:val="32"/>
          <w:highlight w:val="none"/>
          <w:lang w:val="en-US" w:eastAsia="zh-CN"/>
        </w:rPr>
        <w:t>9.68</w:t>
      </w:r>
      <w:r>
        <w:rPr>
          <w:rFonts w:hint="eastAsia" w:ascii="仿宋_GB2312" w:hAnsi="仿宋_GB2312" w:eastAsia="仿宋_GB2312" w:cs="仿宋_GB2312"/>
          <w:kern w:val="0"/>
          <w:sz w:val="32"/>
          <w:szCs w:val="32"/>
          <w:highlight w:val="none"/>
        </w:rPr>
        <w:t>万元，比上年预算增加</w:t>
      </w:r>
      <w:r>
        <w:rPr>
          <w:rFonts w:hint="eastAsia" w:ascii="仿宋_GB2312" w:hAnsi="仿宋_GB2312" w:eastAsia="仿宋_GB2312" w:cs="仿宋_GB2312"/>
          <w:kern w:val="0"/>
          <w:sz w:val="32"/>
          <w:szCs w:val="32"/>
          <w:highlight w:val="none"/>
          <w:lang w:val="en-US" w:eastAsia="zh-CN"/>
        </w:rPr>
        <w:t>0.61</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6.73</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val="en-US" w:eastAsia="zh-CN"/>
        </w:rPr>
        <w:t>增加机关运行经费</w:t>
      </w:r>
      <w:r>
        <w:rPr>
          <w:rFonts w:hint="eastAsia" w:ascii="仿宋_GB2312" w:hAnsi="仿宋_GB2312" w:eastAsia="仿宋_GB2312" w:cs="仿宋_GB2312"/>
          <w:kern w:val="0"/>
          <w:sz w:val="32"/>
          <w:szCs w:val="32"/>
          <w:highlight w:val="none"/>
        </w:rPr>
        <w:t>。</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（二）政府采购情况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2022年，昌吉州对口援疆工作领导小组办公室政府采购预算</w:t>
      </w:r>
      <w:r>
        <w:rPr>
          <w:rFonts w:hint="eastAsia" w:ascii="仿宋_GB2312" w:hAnsi="仿宋_GB2312" w:eastAsia="仿宋_GB2312" w:cs="仿宋_GB2312"/>
          <w:kern w:val="0"/>
          <w:sz w:val="32"/>
          <w:szCs w:val="32"/>
          <w:highlight w:val="none"/>
          <w:lang w:val="en-US" w:eastAsia="zh-CN"/>
        </w:rPr>
        <w:t>83.99</w:t>
      </w:r>
      <w:r>
        <w:rPr>
          <w:rFonts w:hint="eastAsia" w:ascii="仿宋_GB2312" w:hAnsi="仿宋_GB2312" w:eastAsia="仿宋_GB2312" w:cs="仿宋_GB2312"/>
          <w:kern w:val="0"/>
          <w:sz w:val="32"/>
          <w:szCs w:val="32"/>
          <w:highlight w:val="none"/>
        </w:rPr>
        <w:t>万元，其中：政府采购货物预算</w:t>
      </w:r>
      <w:r>
        <w:rPr>
          <w:rFonts w:hint="eastAsia" w:ascii="仿宋_GB2312" w:hAnsi="仿宋_GB2312" w:eastAsia="仿宋_GB2312" w:cs="仿宋_GB2312"/>
          <w:kern w:val="0"/>
          <w:sz w:val="32"/>
          <w:szCs w:val="32"/>
          <w:highlight w:val="none"/>
          <w:lang w:val="en-US" w:eastAsia="zh-CN"/>
        </w:rPr>
        <w:t>83.99</w:t>
      </w:r>
      <w:r>
        <w:rPr>
          <w:rFonts w:hint="eastAsia" w:ascii="仿宋_GB2312" w:hAnsi="仿宋_GB2312" w:eastAsia="仿宋_GB2312" w:cs="仿宋_GB2312"/>
          <w:kern w:val="0"/>
          <w:sz w:val="32"/>
          <w:szCs w:val="32"/>
          <w:highlight w:val="none"/>
        </w:rPr>
        <w:t>万元，政府采购工程预算</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万元，政府采购服务预算</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sz w:val="32"/>
          <w:highlight w:val="none"/>
        </w:rPr>
        <w:t>2022年度本部门（单位）面向中小企业预留政府采购项目预算金额</w:t>
      </w:r>
      <w:r>
        <w:rPr>
          <w:rFonts w:hint="eastAsia" w:ascii="仿宋_GB2312" w:hAnsi="仿宋_GB2312" w:eastAsia="仿宋_GB2312" w:cs="仿宋_GB2312"/>
          <w:sz w:val="32"/>
          <w:highlight w:val="none"/>
          <w:lang w:val="en-US" w:eastAsia="zh-CN"/>
        </w:rPr>
        <w:t>0</w:t>
      </w:r>
      <w:r>
        <w:rPr>
          <w:rFonts w:hint="eastAsia" w:ascii="仿宋_GB2312" w:hAnsi="仿宋_GB2312" w:eastAsia="仿宋_GB2312" w:cs="仿宋_GB2312"/>
          <w:sz w:val="32"/>
          <w:highlight w:val="none"/>
        </w:rPr>
        <w:t>万元，其中：面向小微企业预留政府采购项目预算金额</w:t>
      </w:r>
      <w:r>
        <w:rPr>
          <w:rFonts w:hint="eastAsia" w:ascii="仿宋_GB2312" w:hAnsi="仿宋_GB2312" w:eastAsia="仿宋_GB2312" w:cs="仿宋_GB2312"/>
          <w:sz w:val="32"/>
          <w:highlight w:val="none"/>
          <w:lang w:val="en-US" w:eastAsia="zh-CN"/>
        </w:rPr>
        <w:t>0</w:t>
      </w:r>
      <w:r>
        <w:rPr>
          <w:rFonts w:hint="eastAsia" w:ascii="仿宋_GB2312" w:hAnsi="仿宋_GB2312" w:eastAsia="仿宋_GB2312" w:cs="仿宋_GB2312"/>
          <w:sz w:val="32"/>
          <w:highlight w:val="none"/>
        </w:rPr>
        <w:t>万元。</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（三）国有资产占用使用情况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截至2021年底，昌吉州对口援疆工作领导小组办公室及下属各预算单位占用使用国有资产总体情况为</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1.房屋</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平方米，价值</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2.车辆</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辆，价值</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万元；其中：一般公务用车</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辆，价值</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万元；执法执勤用车</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辆，价值</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万元；其他车辆</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辆，价值</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3.办公家具价值</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4.其他资产价值</w:t>
      </w:r>
      <w:r>
        <w:rPr>
          <w:rFonts w:hint="eastAsia" w:ascii="仿宋_GB2312" w:hAnsi="仿宋_GB2312" w:eastAsia="仿宋_GB2312" w:cs="仿宋_GB2312"/>
          <w:kern w:val="0"/>
          <w:sz w:val="32"/>
          <w:szCs w:val="32"/>
          <w:highlight w:val="none"/>
          <w:lang w:val="en-US" w:eastAsia="zh-CN"/>
        </w:rPr>
        <w:t>36.99</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单位价值50万元以上大型设备</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台（套），单位价值100万元以上大型设备</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台（套）。</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2022年部门（单位）预算未安排购置车辆经费，安排购置50万元以上大型设备0台（套），单位价值100万元以上大型设备0台（套）。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（四）预算绩效情况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2022年，本年度预算绩效管理的</w:t>
      </w:r>
      <w:r>
        <w:rPr>
          <w:rFonts w:hint="eastAsia" w:ascii="仿宋_GB2312" w:hAnsi="仿宋_GB2312" w:eastAsia="仿宋_GB2312" w:cs="仿宋_GB2312"/>
          <w:kern w:val="0"/>
          <w:sz w:val="32"/>
          <w:szCs w:val="32"/>
          <w:highlight w:val="none"/>
          <w:lang w:eastAsia="zh-Hans"/>
        </w:rPr>
        <w:t>财政拨款</w:t>
      </w:r>
      <w:r>
        <w:rPr>
          <w:rFonts w:hint="eastAsia" w:ascii="仿宋_GB2312" w:hAnsi="仿宋_GB2312" w:eastAsia="仿宋_GB2312" w:cs="仿宋_GB2312"/>
          <w:kern w:val="0"/>
          <w:sz w:val="32"/>
          <w:szCs w:val="32"/>
          <w:highlight w:val="none"/>
        </w:rPr>
        <w:t>项目</w:t>
      </w: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kern w:val="0"/>
          <w:sz w:val="32"/>
          <w:szCs w:val="32"/>
          <w:highlight w:val="none"/>
        </w:rPr>
        <w:t>个，涉及预算金额</w:t>
      </w:r>
      <w:r>
        <w:rPr>
          <w:rFonts w:hint="eastAsia" w:ascii="仿宋_GB2312" w:hAnsi="仿宋_GB2312" w:eastAsia="仿宋_GB2312" w:cs="仿宋_GB2312"/>
          <w:kern w:val="0"/>
          <w:sz w:val="32"/>
          <w:szCs w:val="32"/>
          <w:highlight w:val="none"/>
          <w:lang w:val="en-US" w:eastAsia="zh-CN"/>
        </w:rPr>
        <w:t>100</w:t>
      </w:r>
      <w:r>
        <w:rPr>
          <w:rFonts w:hint="eastAsia" w:ascii="仿宋_GB2312" w:hAnsi="仿宋_GB2312" w:eastAsia="仿宋_GB2312" w:cs="仿宋_GB2312"/>
          <w:kern w:val="0"/>
          <w:sz w:val="32"/>
          <w:szCs w:val="32"/>
          <w:highlight w:val="none"/>
        </w:rPr>
        <w:t>万元。具体情况见下表（按项目分别填报）：</w:t>
      </w: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990"/>
        <w:gridCol w:w="989"/>
        <w:gridCol w:w="990"/>
        <w:gridCol w:w="990"/>
        <w:gridCol w:w="1582"/>
        <w:gridCol w:w="426"/>
        <w:gridCol w:w="398"/>
        <w:gridCol w:w="991"/>
        <w:gridCol w:w="1624"/>
      </w:tblGrid>
      <w:tr>
        <w:tblPrEx>
          <w:tblCellMar>
            <w:top w:w="0" w:type="dxa"/>
            <w:left w:w="0" w:type="dxa"/>
            <w:bottom w:w="0" w:type="dxa"/>
            <w:right w:w="0" w:type="dxa"/>
          </w:tblCellMar>
        </w:tblPrEx>
        <w:trPr>
          <w:trHeight w:val="327" w:hRule="atLeast"/>
        </w:trPr>
        <w:tc>
          <w:tcPr>
            <w:tcW w:w="8980" w:type="dxa"/>
            <w:gridSpan w:val="9"/>
            <w:tcBorders>
              <w:top w:val="nil"/>
              <w:left w:val="nil"/>
              <w:bottom w:val="nil"/>
              <w:right w:val="nil"/>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b/>
                <w:color w:val="000000"/>
                <w:sz w:val="32"/>
                <w:szCs w:val="32"/>
                <w:highlight w:val="none"/>
              </w:rPr>
            </w:pPr>
            <w:r>
              <w:rPr>
                <w:rFonts w:hint="eastAsia" w:ascii="宋体" w:hAnsi="宋体" w:eastAsia="宋体" w:cs="宋体"/>
                <w:b/>
                <w:i w:val="0"/>
                <w:color w:val="000000"/>
                <w:kern w:val="0"/>
                <w:sz w:val="32"/>
                <w:szCs w:val="32"/>
                <w:highlight w:val="none"/>
                <w:u w:val="none"/>
                <w:lang w:val="en-US" w:eastAsia="zh-CN" w:bidi="ar"/>
              </w:rPr>
              <w:t>项  目  支  出  绩  效  目  标  表</w:t>
            </w:r>
          </w:p>
        </w:tc>
      </w:tr>
      <w:tr>
        <w:tblPrEx>
          <w:tblCellMar>
            <w:top w:w="0" w:type="dxa"/>
            <w:left w:w="0" w:type="dxa"/>
            <w:bottom w:w="0" w:type="dxa"/>
            <w:right w:w="0" w:type="dxa"/>
          </w:tblCellMar>
        </w:tblPrEx>
        <w:trPr>
          <w:trHeight w:val="327" w:hRule="atLeast"/>
        </w:trPr>
        <w:tc>
          <w:tcPr>
            <w:tcW w:w="8980" w:type="dxa"/>
            <w:gridSpan w:val="9"/>
            <w:tcBorders>
              <w:top w:val="nil"/>
              <w:left w:val="nil"/>
              <w:bottom w:val="nil"/>
              <w:right w:val="nil"/>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22"/>
                <w:szCs w:val="22"/>
                <w:highlight w:val="none"/>
              </w:rPr>
            </w:pPr>
            <w:r>
              <w:rPr>
                <w:rFonts w:hint="eastAsia" w:ascii="宋体" w:hAnsi="宋体" w:eastAsia="宋体" w:cs="宋体"/>
                <w:b/>
                <w:i w:val="0"/>
                <w:color w:val="000000"/>
                <w:kern w:val="0"/>
                <w:sz w:val="32"/>
                <w:szCs w:val="32"/>
                <w:highlight w:val="none"/>
                <w:u w:val="none"/>
                <w:lang w:val="en-US" w:eastAsia="zh-CN" w:bidi="ar"/>
              </w:rPr>
              <w:t>(2022年)</w:t>
            </w:r>
          </w:p>
        </w:tc>
      </w:tr>
      <w:tr>
        <w:tblPrEx>
          <w:tblCellMar>
            <w:top w:w="0" w:type="dxa"/>
            <w:left w:w="0" w:type="dxa"/>
            <w:bottom w:w="0" w:type="dxa"/>
            <w:right w:w="0" w:type="dxa"/>
          </w:tblCellMar>
        </w:tblPrEx>
        <w:trPr>
          <w:trHeight w:val="500" w:hRule="atLeast"/>
        </w:trPr>
        <w:tc>
          <w:tcPr>
            <w:tcW w:w="99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color w:val="000000"/>
                <w:sz w:val="18"/>
                <w:szCs w:val="18"/>
                <w:highlight w:val="none"/>
              </w:rPr>
            </w:pPr>
            <w:r>
              <w:rPr>
                <w:rFonts w:hint="eastAsia" w:ascii="宋体" w:hAnsi="宋体" w:eastAsia="宋体" w:cs="宋体"/>
                <w:b/>
                <w:i w:val="0"/>
                <w:color w:val="000000"/>
                <w:kern w:val="0"/>
                <w:sz w:val="18"/>
                <w:szCs w:val="18"/>
                <w:highlight w:val="none"/>
                <w:u w:val="none"/>
                <w:lang w:val="en-US" w:eastAsia="zh-CN" w:bidi="ar"/>
              </w:rPr>
              <w:t>预算单位</w:t>
            </w:r>
          </w:p>
        </w:tc>
        <w:tc>
          <w:tcPr>
            <w:tcW w:w="4551"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昌吉回族自治州对口援疆工作领导小组办公室</w:t>
            </w:r>
          </w:p>
        </w:tc>
        <w:tc>
          <w:tcPr>
            <w:tcW w:w="42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color w:val="000000"/>
                <w:sz w:val="18"/>
                <w:szCs w:val="18"/>
                <w:highlight w:val="none"/>
              </w:rPr>
            </w:pPr>
            <w:r>
              <w:rPr>
                <w:rFonts w:hint="eastAsia" w:ascii="宋体" w:hAnsi="宋体" w:eastAsia="宋体" w:cs="宋体"/>
                <w:b/>
                <w:i w:val="0"/>
                <w:color w:val="000000"/>
                <w:kern w:val="0"/>
                <w:sz w:val="18"/>
                <w:szCs w:val="18"/>
                <w:highlight w:val="none"/>
                <w:u w:val="none"/>
                <w:lang w:val="en-US" w:eastAsia="zh-CN" w:bidi="ar"/>
              </w:rPr>
              <w:t>项目名称</w:t>
            </w:r>
          </w:p>
        </w:tc>
        <w:tc>
          <w:tcPr>
            <w:tcW w:w="301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援疆工作业务经费</w:t>
            </w:r>
          </w:p>
        </w:tc>
      </w:tr>
      <w:tr>
        <w:tblPrEx>
          <w:tblCellMar>
            <w:top w:w="0" w:type="dxa"/>
            <w:left w:w="0" w:type="dxa"/>
            <w:bottom w:w="0" w:type="dxa"/>
            <w:right w:w="0" w:type="dxa"/>
          </w:tblCellMar>
        </w:tblPrEx>
        <w:trPr>
          <w:trHeight w:val="540" w:hRule="atLeast"/>
        </w:trPr>
        <w:tc>
          <w:tcPr>
            <w:tcW w:w="99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color w:val="000000"/>
                <w:sz w:val="18"/>
                <w:szCs w:val="18"/>
                <w:highlight w:val="none"/>
              </w:rPr>
            </w:pPr>
            <w:r>
              <w:rPr>
                <w:rFonts w:hint="eastAsia" w:ascii="宋体" w:hAnsi="宋体" w:eastAsia="宋体" w:cs="宋体"/>
                <w:b/>
                <w:i w:val="0"/>
                <w:color w:val="000000"/>
                <w:kern w:val="0"/>
                <w:sz w:val="18"/>
                <w:szCs w:val="18"/>
                <w:highlight w:val="none"/>
                <w:u w:val="none"/>
                <w:lang w:val="en-US" w:eastAsia="zh-CN" w:bidi="ar"/>
              </w:rPr>
              <w:t>项目资金（万元）</w:t>
            </w:r>
          </w:p>
        </w:tc>
        <w:tc>
          <w:tcPr>
            <w:tcW w:w="197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年度资金总额：</w:t>
            </w:r>
          </w:p>
        </w:tc>
        <w:tc>
          <w:tcPr>
            <w:tcW w:w="99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100</w:t>
            </w:r>
          </w:p>
        </w:tc>
        <w:tc>
          <w:tcPr>
            <w:tcW w:w="158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其中：财政拨款</w:t>
            </w:r>
          </w:p>
        </w:tc>
        <w:tc>
          <w:tcPr>
            <w:tcW w:w="42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100</w:t>
            </w:r>
          </w:p>
        </w:tc>
        <w:tc>
          <w:tcPr>
            <w:tcW w:w="1389" w:type="dxa"/>
            <w:gridSpan w:val="2"/>
            <w:tcBorders>
              <w:top w:val="nil"/>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其他资金</w:t>
            </w:r>
          </w:p>
        </w:tc>
        <w:tc>
          <w:tcPr>
            <w:tcW w:w="1624"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0</w:t>
            </w:r>
          </w:p>
        </w:tc>
      </w:tr>
      <w:tr>
        <w:tblPrEx>
          <w:tblCellMar>
            <w:top w:w="0" w:type="dxa"/>
            <w:left w:w="0" w:type="dxa"/>
            <w:bottom w:w="0" w:type="dxa"/>
            <w:right w:w="0" w:type="dxa"/>
          </w:tblCellMar>
        </w:tblPrEx>
        <w:trPr>
          <w:trHeight w:val="652" w:hRule="atLeast"/>
        </w:trPr>
        <w:tc>
          <w:tcPr>
            <w:tcW w:w="99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color w:val="000000"/>
                <w:sz w:val="18"/>
                <w:szCs w:val="18"/>
                <w:highlight w:val="none"/>
              </w:rPr>
            </w:pPr>
            <w:r>
              <w:rPr>
                <w:rFonts w:hint="eastAsia" w:ascii="宋体" w:hAnsi="宋体" w:eastAsia="宋体" w:cs="宋体"/>
                <w:b/>
                <w:i w:val="0"/>
                <w:color w:val="000000"/>
                <w:kern w:val="0"/>
                <w:sz w:val="18"/>
                <w:szCs w:val="18"/>
                <w:highlight w:val="none"/>
                <w:u w:val="none"/>
                <w:lang w:val="en-US" w:eastAsia="zh-CN" w:bidi="ar"/>
              </w:rPr>
              <w:t>项目总体目标</w:t>
            </w:r>
          </w:p>
        </w:tc>
        <w:tc>
          <w:tcPr>
            <w:tcW w:w="7990" w:type="dxa"/>
            <w:gridSpan w:val="8"/>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keepNext w:val="0"/>
              <w:keepLines w:val="0"/>
              <w:widowControl/>
              <w:suppressLineNumbers w:val="0"/>
              <w:spacing w:before="0" w:beforeAutospacing="0" w:after="0" w:afterAutospacing="0"/>
              <w:ind w:left="0" w:right="0"/>
              <w:jc w:val="left"/>
              <w:textAlignment w:val="top"/>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目标1：搞好对口支援省市的产业对接，指导各县市援疆办做好产业援疆工作;牵头负责援助资金投资的各类建设项目的审批协调服务及跟踪落实，负责指导州直各项目及各县市项目的组织实施，督促检查项目的进展情况。目标2：:与福建、山西两省援疆前方指挥部、援疆省市州援疆办及各县市州援疆办的联络工作。服务援疆省市各级领导考察、接待等工作。                                         目标3 ：福建援疆固投类项目58个、山西援疆固投类项目17个。</w:t>
            </w:r>
          </w:p>
        </w:tc>
      </w:tr>
      <w:tr>
        <w:tblPrEx>
          <w:tblCellMar>
            <w:top w:w="0" w:type="dxa"/>
            <w:left w:w="0" w:type="dxa"/>
            <w:bottom w:w="0" w:type="dxa"/>
            <w:right w:w="0" w:type="dxa"/>
          </w:tblCellMar>
        </w:tblPrEx>
        <w:trPr>
          <w:trHeight w:val="480" w:hRule="atLeast"/>
        </w:trPr>
        <w:tc>
          <w:tcPr>
            <w:tcW w:w="99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color w:val="000000"/>
                <w:sz w:val="18"/>
                <w:szCs w:val="18"/>
                <w:highlight w:val="none"/>
              </w:rPr>
            </w:pPr>
            <w:r>
              <w:rPr>
                <w:rFonts w:hint="eastAsia" w:ascii="宋体" w:hAnsi="宋体" w:eastAsia="宋体" w:cs="宋体"/>
                <w:b/>
                <w:i w:val="0"/>
                <w:color w:val="000000"/>
                <w:kern w:val="0"/>
                <w:sz w:val="18"/>
                <w:szCs w:val="18"/>
                <w:highlight w:val="none"/>
                <w:u w:val="none"/>
                <w:lang w:val="en-US" w:eastAsia="zh-CN" w:bidi="ar"/>
              </w:rPr>
              <w:t>一级指标</w:t>
            </w:r>
          </w:p>
        </w:tc>
        <w:tc>
          <w:tcPr>
            <w:tcW w:w="98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color w:val="000000"/>
                <w:sz w:val="18"/>
                <w:szCs w:val="18"/>
                <w:highlight w:val="none"/>
              </w:rPr>
            </w:pPr>
            <w:r>
              <w:rPr>
                <w:rFonts w:hint="eastAsia" w:ascii="宋体" w:hAnsi="宋体" w:eastAsia="宋体" w:cs="宋体"/>
                <w:b/>
                <w:i w:val="0"/>
                <w:color w:val="000000"/>
                <w:kern w:val="0"/>
                <w:sz w:val="18"/>
                <w:szCs w:val="18"/>
                <w:highlight w:val="none"/>
                <w:u w:val="none"/>
                <w:lang w:val="en-US" w:eastAsia="zh-CN" w:bidi="ar"/>
              </w:rPr>
              <w:t>二级指标</w:t>
            </w:r>
          </w:p>
        </w:tc>
        <w:tc>
          <w:tcPr>
            <w:tcW w:w="4386"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color w:val="000000"/>
                <w:sz w:val="18"/>
                <w:szCs w:val="18"/>
                <w:highlight w:val="none"/>
              </w:rPr>
            </w:pPr>
            <w:r>
              <w:rPr>
                <w:rFonts w:hint="eastAsia" w:ascii="宋体" w:hAnsi="宋体" w:eastAsia="宋体" w:cs="宋体"/>
                <w:b/>
                <w:i w:val="0"/>
                <w:color w:val="000000"/>
                <w:kern w:val="0"/>
                <w:sz w:val="18"/>
                <w:szCs w:val="18"/>
                <w:highlight w:val="none"/>
                <w:u w:val="none"/>
                <w:lang w:val="en-US" w:eastAsia="zh-CN" w:bidi="ar"/>
              </w:rPr>
              <w:t>三级指标</w:t>
            </w:r>
          </w:p>
        </w:tc>
        <w:tc>
          <w:tcPr>
            <w:tcW w:w="26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color w:val="000000"/>
                <w:sz w:val="18"/>
                <w:szCs w:val="18"/>
                <w:highlight w:val="none"/>
              </w:rPr>
            </w:pPr>
            <w:r>
              <w:rPr>
                <w:rFonts w:hint="eastAsia" w:ascii="宋体" w:hAnsi="宋体" w:eastAsia="宋体" w:cs="宋体"/>
                <w:b/>
                <w:i w:val="0"/>
                <w:color w:val="000000"/>
                <w:kern w:val="0"/>
                <w:sz w:val="18"/>
                <w:szCs w:val="18"/>
                <w:highlight w:val="none"/>
                <w:u w:val="none"/>
                <w:lang w:val="en-US" w:eastAsia="zh-CN" w:bidi="ar"/>
              </w:rPr>
              <w:t>指标值（包含数字及文字描述）</w:t>
            </w:r>
          </w:p>
        </w:tc>
      </w:tr>
      <w:tr>
        <w:tblPrEx>
          <w:tblCellMar>
            <w:top w:w="0" w:type="dxa"/>
            <w:left w:w="0" w:type="dxa"/>
            <w:bottom w:w="0" w:type="dxa"/>
            <w:right w:w="0" w:type="dxa"/>
          </w:tblCellMar>
        </w:tblPrEx>
        <w:trPr>
          <w:trHeight w:val="440" w:hRule="atLeast"/>
        </w:trPr>
        <w:tc>
          <w:tcPr>
            <w:tcW w:w="99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产出指标</w:t>
            </w:r>
          </w:p>
        </w:tc>
        <w:tc>
          <w:tcPr>
            <w:tcW w:w="98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386"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争取2022年福建对口支援昌吉州计划实施固投类项目</w:t>
            </w:r>
          </w:p>
        </w:tc>
        <w:tc>
          <w:tcPr>
            <w:tcW w:w="26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=58个</w:t>
            </w:r>
          </w:p>
        </w:tc>
      </w:tr>
      <w:tr>
        <w:tblPrEx>
          <w:tblCellMar>
            <w:top w:w="0" w:type="dxa"/>
            <w:left w:w="0" w:type="dxa"/>
            <w:bottom w:w="0" w:type="dxa"/>
            <w:right w:w="0" w:type="dxa"/>
          </w:tblCellMar>
        </w:tblPrEx>
        <w:trPr>
          <w:trHeight w:val="440" w:hRule="atLeast"/>
        </w:trPr>
        <w:tc>
          <w:tcPr>
            <w:tcW w:w="99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suppressLineNumbers w:val="0"/>
              <w:spacing w:before="0" w:beforeAutospacing="0" w:after="0" w:afterAutospacing="0"/>
              <w:ind w:left="0" w:right="0"/>
              <w:rPr>
                <w:rFonts w:hint="default" w:ascii="宋体" w:hAnsi="宋体" w:cs="宋体"/>
                <w:color w:val="000000"/>
                <w:sz w:val="18"/>
                <w:szCs w:val="18"/>
                <w:highlight w:val="none"/>
              </w:rPr>
            </w:pPr>
          </w:p>
        </w:tc>
        <w:tc>
          <w:tcPr>
            <w:tcW w:w="98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数量指标</w:t>
            </w:r>
          </w:p>
        </w:tc>
        <w:tc>
          <w:tcPr>
            <w:tcW w:w="4386"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争取2022年山西对口支援昌吉州计划实施固投类项目</w:t>
            </w:r>
          </w:p>
        </w:tc>
        <w:tc>
          <w:tcPr>
            <w:tcW w:w="26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=17个</w:t>
            </w:r>
          </w:p>
        </w:tc>
      </w:tr>
      <w:tr>
        <w:tblPrEx>
          <w:tblCellMar>
            <w:top w:w="0" w:type="dxa"/>
            <w:left w:w="0" w:type="dxa"/>
            <w:bottom w:w="0" w:type="dxa"/>
            <w:right w:w="0" w:type="dxa"/>
          </w:tblCellMar>
        </w:tblPrEx>
        <w:trPr>
          <w:trHeight w:val="440" w:hRule="atLeast"/>
        </w:trPr>
        <w:tc>
          <w:tcPr>
            <w:tcW w:w="99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suppressLineNumbers w:val="0"/>
              <w:spacing w:before="0" w:beforeAutospacing="0" w:after="0" w:afterAutospacing="0"/>
              <w:ind w:left="0" w:right="0"/>
              <w:rPr>
                <w:rFonts w:hint="default" w:ascii="宋体" w:hAnsi="宋体" w:cs="宋体"/>
                <w:color w:val="000000"/>
                <w:sz w:val="18"/>
                <w:szCs w:val="18"/>
                <w:highlight w:val="none"/>
              </w:rPr>
            </w:pPr>
          </w:p>
        </w:tc>
        <w:tc>
          <w:tcPr>
            <w:tcW w:w="98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4386"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争取援疆项目资金全部到位率</w:t>
            </w:r>
          </w:p>
        </w:tc>
        <w:tc>
          <w:tcPr>
            <w:tcW w:w="26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=100%</w:t>
            </w:r>
          </w:p>
        </w:tc>
      </w:tr>
      <w:tr>
        <w:tblPrEx>
          <w:tblCellMar>
            <w:top w:w="0" w:type="dxa"/>
            <w:left w:w="0" w:type="dxa"/>
            <w:bottom w:w="0" w:type="dxa"/>
            <w:right w:w="0" w:type="dxa"/>
          </w:tblCellMar>
        </w:tblPrEx>
        <w:trPr>
          <w:trHeight w:val="440" w:hRule="atLeast"/>
        </w:trPr>
        <w:tc>
          <w:tcPr>
            <w:tcW w:w="99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suppressLineNumbers w:val="0"/>
              <w:spacing w:before="0" w:beforeAutospacing="0" w:after="0" w:afterAutospacing="0"/>
              <w:ind w:left="0" w:right="0"/>
              <w:rPr>
                <w:rFonts w:hint="default" w:ascii="宋体" w:hAnsi="宋体" w:cs="宋体"/>
                <w:color w:val="000000"/>
                <w:sz w:val="18"/>
                <w:szCs w:val="18"/>
                <w:highlight w:val="none"/>
              </w:rPr>
            </w:pPr>
          </w:p>
        </w:tc>
        <w:tc>
          <w:tcPr>
            <w:tcW w:w="98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质量指标</w:t>
            </w:r>
          </w:p>
        </w:tc>
        <w:tc>
          <w:tcPr>
            <w:tcW w:w="4386"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提高援疆项目申报成功率</w:t>
            </w:r>
          </w:p>
        </w:tc>
        <w:tc>
          <w:tcPr>
            <w:tcW w:w="26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=100%</w:t>
            </w:r>
          </w:p>
        </w:tc>
      </w:tr>
      <w:tr>
        <w:tblPrEx>
          <w:tblCellMar>
            <w:top w:w="0" w:type="dxa"/>
            <w:left w:w="0" w:type="dxa"/>
            <w:bottom w:w="0" w:type="dxa"/>
            <w:right w:w="0" w:type="dxa"/>
          </w:tblCellMar>
        </w:tblPrEx>
        <w:trPr>
          <w:trHeight w:val="440" w:hRule="atLeast"/>
        </w:trPr>
        <w:tc>
          <w:tcPr>
            <w:tcW w:w="99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suppressLineNumbers w:val="0"/>
              <w:spacing w:before="0" w:beforeAutospacing="0" w:after="0" w:afterAutospacing="0"/>
              <w:ind w:left="0" w:right="0"/>
              <w:rPr>
                <w:rFonts w:hint="default" w:ascii="宋体" w:hAnsi="宋体" w:cs="宋体"/>
                <w:color w:val="000000"/>
                <w:sz w:val="18"/>
                <w:szCs w:val="18"/>
                <w:highlight w:val="none"/>
              </w:rPr>
            </w:pPr>
          </w:p>
        </w:tc>
        <w:tc>
          <w:tcPr>
            <w:tcW w:w="98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4386"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争取援疆项目资金及时到位率</w:t>
            </w:r>
          </w:p>
        </w:tc>
        <w:tc>
          <w:tcPr>
            <w:tcW w:w="26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=100%</w:t>
            </w:r>
          </w:p>
        </w:tc>
      </w:tr>
      <w:tr>
        <w:tblPrEx>
          <w:tblCellMar>
            <w:top w:w="0" w:type="dxa"/>
            <w:left w:w="0" w:type="dxa"/>
            <w:bottom w:w="0" w:type="dxa"/>
            <w:right w:w="0" w:type="dxa"/>
          </w:tblCellMar>
        </w:tblPrEx>
        <w:trPr>
          <w:trHeight w:val="440" w:hRule="atLeast"/>
        </w:trPr>
        <w:tc>
          <w:tcPr>
            <w:tcW w:w="99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suppressLineNumbers w:val="0"/>
              <w:spacing w:before="0" w:beforeAutospacing="0" w:after="0" w:afterAutospacing="0"/>
              <w:ind w:left="0" w:right="0"/>
              <w:rPr>
                <w:rFonts w:hint="default" w:ascii="宋体" w:hAnsi="宋体" w:cs="宋体"/>
                <w:color w:val="000000"/>
                <w:sz w:val="18"/>
                <w:szCs w:val="18"/>
                <w:highlight w:val="none"/>
              </w:rPr>
            </w:pPr>
          </w:p>
        </w:tc>
        <w:tc>
          <w:tcPr>
            <w:tcW w:w="98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时效指标</w:t>
            </w:r>
          </w:p>
        </w:tc>
        <w:tc>
          <w:tcPr>
            <w:tcW w:w="4386"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项目完成时限</w:t>
            </w:r>
          </w:p>
        </w:tc>
        <w:tc>
          <w:tcPr>
            <w:tcW w:w="26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2022年12月31日</w:t>
            </w:r>
          </w:p>
        </w:tc>
      </w:tr>
      <w:tr>
        <w:tblPrEx>
          <w:tblCellMar>
            <w:top w:w="0" w:type="dxa"/>
            <w:left w:w="0" w:type="dxa"/>
            <w:bottom w:w="0" w:type="dxa"/>
            <w:right w:w="0" w:type="dxa"/>
          </w:tblCellMar>
        </w:tblPrEx>
        <w:trPr>
          <w:trHeight w:val="440" w:hRule="atLeast"/>
        </w:trPr>
        <w:tc>
          <w:tcPr>
            <w:tcW w:w="99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suppressLineNumbers w:val="0"/>
              <w:spacing w:before="0" w:beforeAutospacing="0" w:after="0" w:afterAutospacing="0"/>
              <w:ind w:left="0" w:right="0"/>
              <w:rPr>
                <w:rFonts w:hint="default" w:ascii="宋体" w:hAnsi="宋体" w:cs="宋体"/>
                <w:color w:val="000000"/>
                <w:sz w:val="18"/>
                <w:szCs w:val="18"/>
                <w:highlight w:val="none"/>
              </w:rPr>
            </w:pPr>
          </w:p>
        </w:tc>
        <w:tc>
          <w:tcPr>
            <w:tcW w:w="98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386"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服务援疆省市各级领导考察、接待等工作经费</w:t>
            </w:r>
          </w:p>
        </w:tc>
        <w:tc>
          <w:tcPr>
            <w:tcW w:w="26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&lt;=80万元</w:t>
            </w:r>
          </w:p>
        </w:tc>
      </w:tr>
      <w:tr>
        <w:tblPrEx>
          <w:tblCellMar>
            <w:top w:w="0" w:type="dxa"/>
            <w:left w:w="0" w:type="dxa"/>
            <w:bottom w:w="0" w:type="dxa"/>
            <w:right w:w="0" w:type="dxa"/>
          </w:tblCellMar>
        </w:tblPrEx>
        <w:trPr>
          <w:trHeight w:val="440" w:hRule="atLeast"/>
        </w:trPr>
        <w:tc>
          <w:tcPr>
            <w:tcW w:w="99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suppressLineNumbers w:val="0"/>
              <w:spacing w:before="0" w:beforeAutospacing="0" w:after="0" w:afterAutospacing="0"/>
              <w:ind w:left="0" w:right="0"/>
              <w:rPr>
                <w:rFonts w:hint="default" w:ascii="宋体" w:hAnsi="宋体" w:cs="宋体"/>
                <w:color w:val="000000"/>
                <w:sz w:val="18"/>
                <w:szCs w:val="18"/>
                <w:highlight w:val="none"/>
              </w:rPr>
            </w:pPr>
          </w:p>
        </w:tc>
        <w:tc>
          <w:tcPr>
            <w:tcW w:w="98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成本指标</w:t>
            </w:r>
          </w:p>
        </w:tc>
        <w:tc>
          <w:tcPr>
            <w:tcW w:w="4386"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与援疆省市及各县市援疆办的联络工作经费</w:t>
            </w:r>
          </w:p>
        </w:tc>
        <w:tc>
          <w:tcPr>
            <w:tcW w:w="26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&lt;=20万元</w:t>
            </w:r>
          </w:p>
        </w:tc>
      </w:tr>
      <w:tr>
        <w:tblPrEx>
          <w:tblCellMar>
            <w:top w:w="0" w:type="dxa"/>
            <w:left w:w="0" w:type="dxa"/>
            <w:bottom w:w="0" w:type="dxa"/>
            <w:right w:w="0" w:type="dxa"/>
          </w:tblCellMar>
        </w:tblPrEx>
        <w:trPr>
          <w:trHeight w:val="440" w:hRule="atLeast"/>
        </w:trPr>
        <w:tc>
          <w:tcPr>
            <w:tcW w:w="99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效益指标</w:t>
            </w:r>
          </w:p>
        </w:tc>
        <w:tc>
          <w:tcPr>
            <w:tcW w:w="98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经济效益指标</w:t>
            </w:r>
          </w:p>
        </w:tc>
        <w:tc>
          <w:tcPr>
            <w:tcW w:w="4386"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000000"/>
                <w:sz w:val="18"/>
                <w:szCs w:val="18"/>
                <w:highlight w:val="none"/>
              </w:rPr>
            </w:pPr>
          </w:p>
        </w:tc>
        <w:tc>
          <w:tcPr>
            <w:tcW w:w="26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000000"/>
                <w:sz w:val="18"/>
                <w:szCs w:val="18"/>
                <w:highlight w:val="none"/>
              </w:rPr>
            </w:pPr>
          </w:p>
        </w:tc>
      </w:tr>
      <w:tr>
        <w:tblPrEx>
          <w:tblCellMar>
            <w:top w:w="0" w:type="dxa"/>
            <w:left w:w="0" w:type="dxa"/>
            <w:bottom w:w="0" w:type="dxa"/>
            <w:right w:w="0" w:type="dxa"/>
          </w:tblCellMar>
        </w:tblPrEx>
        <w:trPr>
          <w:trHeight w:val="440" w:hRule="atLeast"/>
        </w:trPr>
        <w:tc>
          <w:tcPr>
            <w:tcW w:w="99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suppressLineNumbers w:val="0"/>
              <w:spacing w:before="0" w:beforeAutospacing="0" w:after="0" w:afterAutospacing="0"/>
              <w:ind w:left="0" w:right="0"/>
              <w:rPr>
                <w:rFonts w:hint="default" w:ascii="宋体" w:hAnsi="宋体" w:cs="宋体"/>
                <w:color w:val="000000"/>
                <w:sz w:val="18"/>
                <w:szCs w:val="18"/>
                <w:highlight w:val="none"/>
              </w:rPr>
            </w:pPr>
          </w:p>
        </w:tc>
        <w:tc>
          <w:tcPr>
            <w:tcW w:w="98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社会效益指标</w:t>
            </w:r>
          </w:p>
        </w:tc>
        <w:tc>
          <w:tcPr>
            <w:tcW w:w="4386"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夯实农村基础设施，改善贫困村发展环境，加强协调服务。</w:t>
            </w:r>
          </w:p>
        </w:tc>
        <w:tc>
          <w:tcPr>
            <w:tcW w:w="26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提高</w:t>
            </w:r>
          </w:p>
        </w:tc>
      </w:tr>
      <w:tr>
        <w:tblPrEx>
          <w:tblCellMar>
            <w:top w:w="0" w:type="dxa"/>
            <w:left w:w="0" w:type="dxa"/>
            <w:bottom w:w="0" w:type="dxa"/>
            <w:right w:w="0" w:type="dxa"/>
          </w:tblCellMar>
        </w:tblPrEx>
        <w:trPr>
          <w:trHeight w:val="440" w:hRule="atLeast"/>
        </w:trPr>
        <w:tc>
          <w:tcPr>
            <w:tcW w:w="99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suppressLineNumbers w:val="0"/>
              <w:spacing w:before="0" w:beforeAutospacing="0" w:after="0" w:afterAutospacing="0"/>
              <w:ind w:left="0" w:right="0"/>
              <w:rPr>
                <w:rFonts w:hint="default" w:ascii="宋体" w:hAnsi="宋体" w:cs="宋体"/>
                <w:color w:val="000000"/>
                <w:sz w:val="18"/>
                <w:szCs w:val="18"/>
                <w:highlight w:val="none"/>
              </w:rPr>
            </w:pPr>
          </w:p>
        </w:tc>
        <w:tc>
          <w:tcPr>
            <w:tcW w:w="98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生态效益指标</w:t>
            </w:r>
          </w:p>
        </w:tc>
        <w:tc>
          <w:tcPr>
            <w:tcW w:w="4386"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000000"/>
                <w:sz w:val="18"/>
                <w:szCs w:val="18"/>
                <w:highlight w:val="none"/>
              </w:rPr>
            </w:pPr>
          </w:p>
        </w:tc>
        <w:tc>
          <w:tcPr>
            <w:tcW w:w="26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suppressLineNumbers w:val="0"/>
              <w:spacing w:before="0" w:beforeAutospacing="0" w:after="0" w:afterAutospacing="0"/>
              <w:ind w:left="0" w:right="0"/>
              <w:jc w:val="center"/>
              <w:rPr>
                <w:rFonts w:hint="default" w:ascii="宋体" w:hAnsi="宋体" w:cs="宋体"/>
                <w:color w:val="000000"/>
                <w:sz w:val="18"/>
                <w:szCs w:val="18"/>
                <w:highlight w:val="none"/>
              </w:rPr>
            </w:pPr>
          </w:p>
        </w:tc>
      </w:tr>
      <w:tr>
        <w:tblPrEx>
          <w:tblCellMar>
            <w:top w:w="0" w:type="dxa"/>
            <w:left w:w="0" w:type="dxa"/>
            <w:bottom w:w="0" w:type="dxa"/>
            <w:right w:w="0" w:type="dxa"/>
          </w:tblCellMar>
        </w:tblPrEx>
        <w:trPr>
          <w:trHeight w:val="440" w:hRule="atLeast"/>
        </w:trPr>
        <w:tc>
          <w:tcPr>
            <w:tcW w:w="99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suppressLineNumbers w:val="0"/>
              <w:spacing w:before="0" w:beforeAutospacing="0" w:after="0" w:afterAutospacing="0"/>
              <w:ind w:left="0" w:right="0"/>
              <w:rPr>
                <w:rFonts w:hint="default" w:ascii="宋体" w:hAnsi="宋体" w:cs="宋体"/>
                <w:color w:val="000000"/>
                <w:sz w:val="18"/>
                <w:szCs w:val="18"/>
                <w:highlight w:val="none"/>
              </w:rPr>
            </w:pPr>
          </w:p>
        </w:tc>
        <w:tc>
          <w:tcPr>
            <w:tcW w:w="98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可持续影响指标</w:t>
            </w:r>
          </w:p>
        </w:tc>
        <w:tc>
          <w:tcPr>
            <w:tcW w:w="4386"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持续改善群众生产生活条件、促进就业、教育和医疗卫生等方面。</w:t>
            </w:r>
          </w:p>
        </w:tc>
        <w:tc>
          <w:tcPr>
            <w:tcW w:w="26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长期</w:t>
            </w:r>
          </w:p>
        </w:tc>
      </w:tr>
      <w:tr>
        <w:tblPrEx>
          <w:tblCellMar>
            <w:top w:w="0" w:type="dxa"/>
            <w:left w:w="0" w:type="dxa"/>
            <w:bottom w:w="0" w:type="dxa"/>
            <w:right w:w="0" w:type="dxa"/>
          </w:tblCellMar>
        </w:tblPrEx>
        <w:trPr>
          <w:trHeight w:val="440" w:hRule="atLeast"/>
        </w:trPr>
        <w:tc>
          <w:tcPr>
            <w:tcW w:w="99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98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满意度指标</w:t>
            </w:r>
          </w:p>
        </w:tc>
        <w:tc>
          <w:tcPr>
            <w:tcW w:w="4386"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公众满意度</w:t>
            </w:r>
          </w:p>
        </w:tc>
        <w:tc>
          <w:tcPr>
            <w:tcW w:w="261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18"/>
                <w:szCs w:val="18"/>
                <w:highlight w:val="none"/>
              </w:rPr>
            </w:pPr>
            <w:r>
              <w:rPr>
                <w:rFonts w:hint="eastAsia" w:ascii="宋体" w:hAnsi="宋体" w:eastAsia="宋体" w:cs="宋体"/>
                <w:i w:val="0"/>
                <w:color w:val="000000"/>
                <w:kern w:val="0"/>
                <w:sz w:val="18"/>
                <w:szCs w:val="18"/>
                <w:highlight w:val="none"/>
                <w:u w:val="none"/>
                <w:lang w:val="en-US" w:eastAsia="zh-CN" w:bidi="ar"/>
              </w:rPr>
              <w:t>&gt;=90%</w:t>
            </w:r>
          </w:p>
        </w:tc>
      </w:tr>
    </w:tbl>
    <w:p>
      <w:pPr>
        <w:spacing w:line="60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（五）其他需说明的事项</w:t>
      </w:r>
    </w:p>
    <w:p>
      <w:pPr>
        <w:spacing w:line="60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无其他需要说明的事项。</w:t>
      </w:r>
    </w:p>
    <w:p>
      <w:pPr>
        <w:spacing w:line="600" w:lineRule="exact"/>
        <w:ind w:firstLine="640" w:firstLineChars="200"/>
        <w:rPr>
          <w:rFonts w:ascii="仿宋_GB2312" w:hAnsi="宋体" w:eastAsia="仿宋_GB2312" w:cs="宋体"/>
          <w:kern w:val="0"/>
          <w:sz w:val="32"/>
          <w:szCs w:val="32"/>
          <w:highlight w:val="none"/>
        </w:rPr>
      </w:pPr>
    </w:p>
    <w:p>
      <w:pPr>
        <w:spacing w:line="560" w:lineRule="exact"/>
        <w:jc w:val="center"/>
        <w:rPr>
          <w:rFonts w:ascii="黑体" w:hAnsi="黑体" w:eastAsia="黑体"/>
          <w:kern w:val="0"/>
          <w:sz w:val="32"/>
          <w:szCs w:val="32"/>
          <w:highlight w:val="none"/>
        </w:rPr>
      </w:pPr>
      <w:r>
        <w:rPr>
          <w:rFonts w:hint="eastAsia" w:ascii="黑体" w:hAnsi="黑体" w:eastAsia="黑体"/>
          <w:kern w:val="0"/>
          <w:sz w:val="32"/>
          <w:szCs w:val="32"/>
          <w:highlight w:val="none"/>
        </w:rPr>
        <w:t>第四部分  名词解释</w:t>
      </w:r>
    </w:p>
    <w:p>
      <w:pPr>
        <w:spacing w:line="560" w:lineRule="exact"/>
        <w:ind w:firstLine="640" w:firstLineChars="200"/>
        <w:rPr>
          <w:rFonts w:ascii="黑体" w:hAnsi="黑体" w:eastAsia="黑体"/>
          <w:sz w:val="32"/>
          <w:szCs w:val="32"/>
          <w:highlight w:val="none"/>
        </w:rPr>
      </w:pP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一、财政拨款：</w:t>
      </w:r>
      <w:r>
        <w:rPr>
          <w:rFonts w:hint="eastAsia" w:ascii="仿宋_GB2312" w:eastAsia="仿宋_GB2312"/>
          <w:sz w:val="32"/>
          <w:szCs w:val="32"/>
          <w:highlight w:val="none"/>
        </w:rPr>
        <w:t>指由一般公共预算、政府性基金预算、国有资本经营预算安排的财政拨款数。</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二、一般公共预算：</w:t>
      </w:r>
      <w:r>
        <w:rPr>
          <w:rFonts w:hint="eastAsia" w:ascii="仿宋_GB2312" w:eastAsia="仿宋_GB2312"/>
          <w:spacing w:val="-6"/>
          <w:sz w:val="32"/>
          <w:szCs w:val="32"/>
          <w:highlight w:val="none"/>
        </w:rPr>
        <w:t>包括公共财政拨款（补助）资金、专项收入。</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三、财政专户管理资金：</w:t>
      </w:r>
      <w:r>
        <w:rPr>
          <w:rFonts w:hint="eastAsia" w:ascii="仿宋_GB2312" w:eastAsia="仿宋_GB2312"/>
          <w:sz w:val="32"/>
          <w:szCs w:val="32"/>
          <w:highlight w:val="none"/>
        </w:rPr>
        <w:t>包括专户管理行政事业性收费（主要是教育收费）、其他非税收入。</w:t>
      </w:r>
    </w:p>
    <w:p>
      <w:pPr>
        <w:spacing w:line="560" w:lineRule="exact"/>
        <w:ind w:firstLine="643" w:firstLineChars="200"/>
        <w:rPr>
          <w:rFonts w:ascii="仿宋_GB2312" w:eastAsia="仿宋_GB2312"/>
          <w:spacing w:val="-17"/>
          <w:sz w:val="32"/>
          <w:szCs w:val="32"/>
          <w:highlight w:val="none"/>
        </w:rPr>
      </w:pPr>
      <w:r>
        <w:rPr>
          <w:rFonts w:hint="eastAsia" w:ascii="楷体_GB2312" w:hAnsi="楷体_GB2312" w:eastAsia="楷体_GB2312" w:cs="楷体_GB2312"/>
          <w:b/>
          <w:bCs/>
          <w:sz w:val="32"/>
          <w:szCs w:val="32"/>
          <w:highlight w:val="none"/>
        </w:rPr>
        <w:t>四、其他资金：</w:t>
      </w:r>
      <w:r>
        <w:rPr>
          <w:rFonts w:hint="eastAsia" w:ascii="仿宋_GB2312" w:eastAsia="仿宋_GB2312"/>
          <w:spacing w:val="-17"/>
          <w:sz w:val="32"/>
          <w:szCs w:val="32"/>
          <w:highlight w:val="none"/>
        </w:rPr>
        <w:t>包括事业收入、事业经营收入、其他收入等。</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五、基本支出：</w:t>
      </w:r>
      <w:r>
        <w:rPr>
          <w:rFonts w:hint="eastAsia" w:ascii="仿宋_GB2312" w:eastAsia="仿宋_GB2312"/>
          <w:sz w:val="32"/>
          <w:szCs w:val="32"/>
          <w:highlight w:val="none"/>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六、项目支出：</w:t>
      </w:r>
      <w:r>
        <w:rPr>
          <w:rFonts w:hint="eastAsia" w:ascii="仿宋_GB2312" w:eastAsia="仿宋_GB2312"/>
          <w:sz w:val="32"/>
          <w:szCs w:val="32"/>
          <w:highlight w:val="none"/>
        </w:rPr>
        <w:t>部门（单位）支出预算的组成部分，是</w:t>
      </w:r>
      <w:r>
        <w:rPr>
          <w:rFonts w:hint="eastAsia" w:ascii="仿宋_GB2312" w:eastAsia="仿宋_GB2312"/>
          <w:sz w:val="32"/>
          <w:szCs w:val="32"/>
          <w:highlight w:val="none"/>
          <w:lang w:eastAsia="zh-CN"/>
        </w:rPr>
        <w:t>州</w:t>
      </w:r>
      <w:r>
        <w:rPr>
          <w:rFonts w:hint="eastAsia" w:ascii="仿宋_GB2312" w:eastAsia="仿宋_GB2312"/>
          <w:sz w:val="32"/>
          <w:szCs w:val="32"/>
          <w:highlight w:val="none"/>
        </w:rPr>
        <w:t>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highlight w:val="none"/>
        </w:rPr>
      </w:pPr>
      <w:r>
        <w:rPr>
          <w:rFonts w:hint="eastAsia" w:ascii="楷体_GB2312" w:hAnsi="楷体_GB2312" w:eastAsia="楷体_GB2312" w:cs="楷体_GB2312"/>
          <w:b/>
          <w:bCs/>
          <w:sz w:val="32"/>
          <w:szCs w:val="32"/>
          <w:highlight w:val="none"/>
        </w:rPr>
        <w:t>七、“三公”经费：</w:t>
      </w:r>
      <w:r>
        <w:rPr>
          <w:rFonts w:hint="eastAsia" w:ascii="仿宋_GB2312" w:eastAsia="仿宋_GB2312"/>
          <w:sz w:val="32"/>
          <w:szCs w:val="32"/>
          <w:highlight w:val="none"/>
        </w:rPr>
        <w:t>指</w:t>
      </w:r>
      <w:r>
        <w:rPr>
          <w:rFonts w:hint="eastAsia" w:ascii="仿宋_GB2312" w:eastAsia="仿宋_GB2312"/>
          <w:sz w:val="32"/>
          <w:szCs w:val="32"/>
          <w:highlight w:val="none"/>
          <w:lang w:eastAsia="zh-CN"/>
        </w:rPr>
        <w:t>州</w:t>
      </w:r>
      <w:r>
        <w:rPr>
          <w:rFonts w:hint="eastAsia" w:ascii="仿宋_GB2312" w:eastAsia="仿宋_GB2312"/>
          <w:sz w:val="32"/>
          <w:szCs w:val="32"/>
          <w:highlight w:val="none"/>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highlight w:val="none"/>
        </w:rPr>
        <w:t>务接待费指单位按规定开支的各类公务接待（含外宾接待）支出。</w:t>
      </w:r>
    </w:p>
    <w:p>
      <w:pPr>
        <w:spacing w:line="560" w:lineRule="exact"/>
        <w:ind w:firstLine="643" w:firstLineChars="200"/>
        <w:rPr>
          <w:rFonts w:ascii="仿宋_GB2312" w:eastAsia="仿宋_GB2312"/>
          <w:spacing w:val="-11"/>
          <w:sz w:val="32"/>
          <w:szCs w:val="32"/>
          <w:highlight w:val="none"/>
        </w:rPr>
      </w:pPr>
      <w:r>
        <w:rPr>
          <w:rFonts w:hint="eastAsia" w:ascii="楷体_GB2312" w:hAnsi="楷体_GB2312" w:eastAsia="楷体_GB2312" w:cs="楷体_GB2312"/>
          <w:b/>
          <w:bCs/>
          <w:sz w:val="32"/>
          <w:szCs w:val="32"/>
          <w:highlight w:val="none"/>
        </w:rPr>
        <w:t>八、机关运行经费：</w:t>
      </w:r>
      <w:r>
        <w:rPr>
          <w:rFonts w:hint="eastAsia" w:ascii="仿宋_GB2312" w:eastAsia="仿宋_GB2312"/>
          <w:sz w:val="32"/>
          <w:szCs w:val="32"/>
          <w:highlight w:val="none"/>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highlight w:val="none"/>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highlight w:val="none"/>
        </w:rPr>
      </w:pP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昌吉州对口援疆工作领导小组办公室</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2022</w:t>
      </w:r>
      <w:r>
        <w:rPr>
          <w:rFonts w:ascii="仿宋_GB2312" w:hAnsi="宋体" w:eastAsia="仿宋_GB2312" w:cs="宋体"/>
          <w:kern w:val="0"/>
          <w:sz w:val="32"/>
          <w:szCs w:val="32"/>
          <w:highlight w:val="none"/>
        </w:rPr>
        <w:t>年</w:t>
      </w:r>
      <w:r>
        <w:rPr>
          <w:rFonts w:hint="eastAsia" w:ascii="仿宋_GB2312" w:hAnsi="宋体" w:eastAsia="仿宋_GB2312" w:cs="宋体"/>
          <w:kern w:val="0"/>
          <w:sz w:val="32"/>
          <w:szCs w:val="32"/>
          <w:highlight w:val="none"/>
        </w:rPr>
        <w:t>2</w:t>
      </w:r>
      <w:r>
        <w:rPr>
          <w:rFonts w:ascii="仿宋_GB2312" w:hAnsi="宋体" w:eastAsia="仿宋_GB2312" w:cs="宋体"/>
          <w:kern w:val="0"/>
          <w:sz w:val="32"/>
          <w:szCs w:val="32"/>
          <w:highlight w:val="none"/>
        </w:rPr>
        <w:t>月</w:t>
      </w:r>
      <w:r>
        <w:rPr>
          <w:rFonts w:hint="eastAsia" w:ascii="仿宋_GB2312" w:hAnsi="宋体" w:eastAsia="仿宋_GB2312" w:cs="宋体"/>
          <w:kern w:val="0"/>
          <w:sz w:val="32"/>
          <w:szCs w:val="32"/>
          <w:highlight w:val="none"/>
        </w:rPr>
        <w:t>12</w:t>
      </w:r>
      <w:r>
        <w:rPr>
          <w:rFonts w:ascii="仿宋_GB2312" w:hAnsi="宋体" w:eastAsia="仿宋_GB2312" w:cs="宋体"/>
          <w:kern w:val="0"/>
          <w:sz w:val="32"/>
          <w:szCs w:val="32"/>
          <w:highlight w:val="none"/>
        </w:rPr>
        <w:t>日</w:t>
      </w:r>
    </w:p>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Ir5F1HGAQAAiwMAAA4AAAAAAAAAAQAgAAAAIAEAAGRycy9lMm9Eb2Mu&#10;eG1sUEsFBgAAAAAGAAYAWQEAAFg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AquSaazwEAAJYDAAAOAAAAAAAAAAEAIAAAACEBAABk&#10;cnMvZTJvRG9jLnhtbFBLBQYAAAAABgAGAFkBAABiBQ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2E5250"/>
    <w:rsid w:val="003923D8"/>
    <w:rsid w:val="004265FD"/>
    <w:rsid w:val="00432BE1"/>
    <w:rsid w:val="0047118F"/>
    <w:rsid w:val="004D477F"/>
    <w:rsid w:val="0059437A"/>
    <w:rsid w:val="00613BAD"/>
    <w:rsid w:val="00830D13"/>
    <w:rsid w:val="0090107A"/>
    <w:rsid w:val="00944B81"/>
    <w:rsid w:val="00A50FEC"/>
    <w:rsid w:val="00AF3F7E"/>
    <w:rsid w:val="00B141E5"/>
    <w:rsid w:val="00B378C2"/>
    <w:rsid w:val="00C12D75"/>
    <w:rsid w:val="00CE4C77"/>
    <w:rsid w:val="00D85033"/>
    <w:rsid w:val="00F91EEB"/>
    <w:rsid w:val="022F15AA"/>
    <w:rsid w:val="02CA7A9B"/>
    <w:rsid w:val="02E94C2A"/>
    <w:rsid w:val="04336461"/>
    <w:rsid w:val="04414F9F"/>
    <w:rsid w:val="04ED3343"/>
    <w:rsid w:val="0538004E"/>
    <w:rsid w:val="0648795A"/>
    <w:rsid w:val="06D07E26"/>
    <w:rsid w:val="08CD2B3E"/>
    <w:rsid w:val="09694342"/>
    <w:rsid w:val="0A6268E3"/>
    <w:rsid w:val="0A662153"/>
    <w:rsid w:val="0B1C07F5"/>
    <w:rsid w:val="0B6544ED"/>
    <w:rsid w:val="0CB41320"/>
    <w:rsid w:val="0D817698"/>
    <w:rsid w:val="0DDA2B4C"/>
    <w:rsid w:val="0E3D7D69"/>
    <w:rsid w:val="0FF449C4"/>
    <w:rsid w:val="10C22703"/>
    <w:rsid w:val="119C3EBA"/>
    <w:rsid w:val="13A2055F"/>
    <w:rsid w:val="13A716A1"/>
    <w:rsid w:val="152A5208"/>
    <w:rsid w:val="16147EC1"/>
    <w:rsid w:val="16BB149D"/>
    <w:rsid w:val="16C77DF6"/>
    <w:rsid w:val="196A7A4D"/>
    <w:rsid w:val="19C85FAA"/>
    <w:rsid w:val="1A1906C3"/>
    <w:rsid w:val="1A6F3428"/>
    <w:rsid w:val="1C0535A5"/>
    <w:rsid w:val="1D64557F"/>
    <w:rsid w:val="1F625D07"/>
    <w:rsid w:val="1FB931F6"/>
    <w:rsid w:val="21431F70"/>
    <w:rsid w:val="241F2CDA"/>
    <w:rsid w:val="247B57A8"/>
    <w:rsid w:val="25A02DAC"/>
    <w:rsid w:val="25DB2AF3"/>
    <w:rsid w:val="26231E4A"/>
    <w:rsid w:val="26682D40"/>
    <w:rsid w:val="2773492C"/>
    <w:rsid w:val="2B0636C6"/>
    <w:rsid w:val="2B0C2304"/>
    <w:rsid w:val="2B4D061B"/>
    <w:rsid w:val="2BFB20D0"/>
    <w:rsid w:val="2CA173D4"/>
    <w:rsid w:val="2D71323A"/>
    <w:rsid w:val="2F433F7C"/>
    <w:rsid w:val="2F4B504E"/>
    <w:rsid w:val="305722AD"/>
    <w:rsid w:val="30CC159E"/>
    <w:rsid w:val="31D17DB6"/>
    <w:rsid w:val="31FF2AAF"/>
    <w:rsid w:val="325A029D"/>
    <w:rsid w:val="329B5DA2"/>
    <w:rsid w:val="332D1253"/>
    <w:rsid w:val="33932BFC"/>
    <w:rsid w:val="33CB6389"/>
    <w:rsid w:val="349C0E6D"/>
    <w:rsid w:val="354969F9"/>
    <w:rsid w:val="36550002"/>
    <w:rsid w:val="36A13EAA"/>
    <w:rsid w:val="37A40FFB"/>
    <w:rsid w:val="37D03323"/>
    <w:rsid w:val="37EB2DA7"/>
    <w:rsid w:val="39697EBC"/>
    <w:rsid w:val="39E63D44"/>
    <w:rsid w:val="3B5568F6"/>
    <w:rsid w:val="3BCB427B"/>
    <w:rsid w:val="3BFA548A"/>
    <w:rsid w:val="3ED7765D"/>
    <w:rsid w:val="3FC9312F"/>
    <w:rsid w:val="40815B02"/>
    <w:rsid w:val="415608DD"/>
    <w:rsid w:val="419D226F"/>
    <w:rsid w:val="43292652"/>
    <w:rsid w:val="43B81037"/>
    <w:rsid w:val="43E03869"/>
    <w:rsid w:val="44302C72"/>
    <w:rsid w:val="44C93912"/>
    <w:rsid w:val="452314FC"/>
    <w:rsid w:val="45F5305D"/>
    <w:rsid w:val="48574C18"/>
    <w:rsid w:val="496C43B4"/>
    <w:rsid w:val="49DE5737"/>
    <w:rsid w:val="4ABF11DF"/>
    <w:rsid w:val="4B5C6514"/>
    <w:rsid w:val="4BD158A2"/>
    <w:rsid w:val="4D1A093F"/>
    <w:rsid w:val="4D7D6CE6"/>
    <w:rsid w:val="4EE37C96"/>
    <w:rsid w:val="4EF518E8"/>
    <w:rsid w:val="4F344B64"/>
    <w:rsid w:val="4F3A5475"/>
    <w:rsid w:val="4FBE559E"/>
    <w:rsid w:val="4FF436F3"/>
    <w:rsid w:val="5155773B"/>
    <w:rsid w:val="51AA51F5"/>
    <w:rsid w:val="535F1DEC"/>
    <w:rsid w:val="539C68E1"/>
    <w:rsid w:val="540B51F2"/>
    <w:rsid w:val="55007E64"/>
    <w:rsid w:val="55317103"/>
    <w:rsid w:val="553418D3"/>
    <w:rsid w:val="55FE1F48"/>
    <w:rsid w:val="58562BDC"/>
    <w:rsid w:val="58B01F76"/>
    <w:rsid w:val="5924503B"/>
    <w:rsid w:val="59A41003"/>
    <w:rsid w:val="5A932001"/>
    <w:rsid w:val="5ABE757C"/>
    <w:rsid w:val="5C0448C8"/>
    <w:rsid w:val="5D395772"/>
    <w:rsid w:val="5DEB7AEE"/>
    <w:rsid w:val="603C09B4"/>
    <w:rsid w:val="60D742E6"/>
    <w:rsid w:val="64AF07BD"/>
    <w:rsid w:val="65E25E79"/>
    <w:rsid w:val="670A0B71"/>
    <w:rsid w:val="67B967FD"/>
    <w:rsid w:val="67BC23B4"/>
    <w:rsid w:val="6913437E"/>
    <w:rsid w:val="69826A33"/>
    <w:rsid w:val="6A01243F"/>
    <w:rsid w:val="6A6068D9"/>
    <w:rsid w:val="6A885329"/>
    <w:rsid w:val="6B3A3914"/>
    <w:rsid w:val="6B8A3367"/>
    <w:rsid w:val="6BC41D1B"/>
    <w:rsid w:val="6BEE5A49"/>
    <w:rsid w:val="6EA05262"/>
    <w:rsid w:val="6EBC0C31"/>
    <w:rsid w:val="6F12688E"/>
    <w:rsid w:val="6F34265B"/>
    <w:rsid w:val="6F4720EE"/>
    <w:rsid w:val="6F541AAE"/>
    <w:rsid w:val="6F5A48C6"/>
    <w:rsid w:val="6F9460F5"/>
    <w:rsid w:val="70105417"/>
    <w:rsid w:val="7034413C"/>
    <w:rsid w:val="70564538"/>
    <w:rsid w:val="707F1C7A"/>
    <w:rsid w:val="70B13CDA"/>
    <w:rsid w:val="70F24DA5"/>
    <w:rsid w:val="70FB78DA"/>
    <w:rsid w:val="71467BB3"/>
    <w:rsid w:val="72E121BF"/>
    <w:rsid w:val="73141A72"/>
    <w:rsid w:val="735071C9"/>
    <w:rsid w:val="738922B8"/>
    <w:rsid w:val="74652CFD"/>
    <w:rsid w:val="75F42F7D"/>
    <w:rsid w:val="760774A4"/>
    <w:rsid w:val="76282DDC"/>
    <w:rsid w:val="764F66DC"/>
    <w:rsid w:val="768D1E63"/>
    <w:rsid w:val="78811555"/>
    <w:rsid w:val="78CD730C"/>
    <w:rsid w:val="79A728F8"/>
    <w:rsid w:val="7ABB2BD0"/>
    <w:rsid w:val="7AE52A01"/>
    <w:rsid w:val="7B706983"/>
    <w:rsid w:val="7B8E0E49"/>
    <w:rsid w:val="7B9E1069"/>
    <w:rsid w:val="7BC93EAE"/>
    <w:rsid w:val="7C6C06C2"/>
    <w:rsid w:val="7E366FA9"/>
    <w:rsid w:val="7ED73E93"/>
    <w:rsid w:val="7EDF0B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3"/>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2"/>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22</Pages>
  <Words>7185</Words>
  <Characters>8569</Characters>
  <Lines>1</Lines>
  <Paragraphs>1</Paragraphs>
  <TotalTime>3</TotalTime>
  <ScaleCrop>false</ScaleCrop>
  <LinksUpToDate>false</LinksUpToDate>
  <CharactersWithSpaces>9157</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Administrator</cp:lastModifiedBy>
  <cp:lastPrinted>2022-04-01T04:01:00Z</cp:lastPrinted>
  <dcterms:modified xsi:type="dcterms:W3CDTF">2022-04-19T02:57:51Z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A9E2C117323E477886ACC41C62A4ABEC</vt:lpwstr>
  </property>
</Properties>
</file>