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both"/>
        <w:outlineLvl w:val="1"/>
        <w:rPr>
          <w:rFonts w:hint="eastAsia" w:ascii="方正小标宋_GBK" w:hAnsi="宋体" w:eastAsia="方正小标宋_GBK"/>
          <w:kern w:val="0"/>
          <w:sz w:val="44"/>
          <w:szCs w:val="44"/>
          <w:highlight w:val="none"/>
        </w:rPr>
      </w:pPr>
    </w:p>
    <w:p>
      <w:pPr>
        <w:widowControl/>
        <w:spacing w:before="100" w:beforeAutospacing="1" w:after="100" w:afterAutospacing="1"/>
        <w:jc w:val="both"/>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val="en-US" w:eastAsia="zh-CN"/>
        </w:rPr>
        <w:t xml:space="preserve">  </w:t>
      </w:r>
      <w:bookmarkStart w:id="0" w:name="_GoBack"/>
      <w:r>
        <w:rPr>
          <w:rFonts w:hint="eastAsia" w:ascii="方正小标宋_GBK" w:hAnsi="宋体" w:eastAsia="方正小标宋_GBK"/>
          <w:kern w:val="0"/>
          <w:sz w:val="44"/>
          <w:szCs w:val="44"/>
          <w:highlight w:val="none"/>
          <w:lang w:val="en-US" w:eastAsia="zh-CN"/>
        </w:rPr>
        <w:t>昌吉州国资委2022年部门</w:t>
      </w:r>
      <w:r>
        <w:rPr>
          <w:rFonts w:hint="eastAsia" w:ascii="方正小标宋_GBK" w:hAnsi="宋体" w:eastAsia="方正小标宋_GBK"/>
          <w:kern w:val="0"/>
          <w:sz w:val="44"/>
          <w:szCs w:val="44"/>
          <w:highlight w:val="none"/>
        </w:rPr>
        <w:t>预算公开</w:t>
      </w:r>
    </w:p>
    <w:bookmarkEnd w:id="0"/>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hint="eastAsia" w:ascii="黑体" w:hAnsi="黑体" w:eastAsia="黑体" w:cs="黑体"/>
          <w:kern w:val="0"/>
          <w:sz w:val="32"/>
          <w:szCs w:val="32"/>
          <w:highlight w:val="none"/>
          <w:lang w:val="en-US" w:eastAsia="zh-CN"/>
        </w:rPr>
      </w:pPr>
      <w:r>
        <w:rPr>
          <w:rFonts w:hint="eastAsia" w:ascii="方正小标宋简体" w:hAnsi="方正小标宋简体" w:eastAsia="方正小标宋简体" w:cs="方正小标宋简体"/>
          <w:kern w:val="0"/>
          <w:sz w:val="44"/>
          <w:szCs w:val="44"/>
          <w:highlight w:val="none"/>
        </w:rPr>
        <w:t xml:space="preserve">目 </w:t>
      </w:r>
      <w:r>
        <w:rPr>
          <w:rFonts w:hint="eastAsia" w:ascii="方正小标宋简体" w:hAnsi="方正小标宋简体" w:eastAsia="方正小标宋简体" w:cs="方正小标宋简体"/>
          <w:kern w:val="0"/>
          <w:sz w:val="44"/>
          <w:szCs w:val="44"/>
          <w:highlight w:val="none"/>
          <w:lang w:val="en-US" w:eastAsia="zh-CN"/>
        </w:rPr>
        <w:t xml:space="preserve"> </w:t>
      </w:r>
      <w:r>
        <w:rPr>
          <w:rFonts w:hint="eastAsia" w:ascii="方正小标宋简体" w:hAnsi="方正小标宋简体" w:eastAsia="方正小标宋简体" w:cs="方正小标宋简体"/>
          <w:kern w:val="0"/>
          <w:sz w:val="44"/>
          <w:szCs w:val="44"/>
          <w:highlight w:val="none"/>
        </w:rPr>
        <w:t>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仿宋_GB2312" w:eastAsia="仿宋_GB2312" w:cs="仿宋_GB2312"/>
          <w:b/>
          <w:kern w:val="0"/>
          <w:sz w:val="32"/>
          <w:szCs w:val="32"/>
          <w:highlight w:val="none"/>
          <w:lang w:eastAsia="zh-CN"/>
        </w:rPr>
        <w:t>昌吉州国资委</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w:t>
      </w:r>
      <w:r>
        <w:rPr>
          <w:rFonts w:hint="eastAsia" w:ascii="仿宋_GB2312" w:hAnsi="仿宋_GB2312" w:eastAsia="仿宋_GB2312" w:cs="仿宋_GB2312"/>
          <w:b/>
          <w:kern w:val="0"/>
          <w:sz w:val="32"/>
          <w:szCs w:val="32"/>
          <w:highlight w:val="none"/>
          <w:lang w:eastAsia="zh-CN"/>
        </w:rPr>
        <w:t>分昌吉州国资委</w:t>
      </w:r>
      <w:r>
        <w:rPr>
          <w:rFonts w:hint="eastAsia" w:ascii="仿宋_GB2312" w:hAnsi="仿宋_GB2312" w:eastAsia="仿宋_GB2312" w:cs="仿宋_GB2312"/>
          <w:b/>
          <w:kern w:val="0"/>
          <w:sz w:val="32"/>
          <w:szCs w:val="32"/>
          <w:highlight w:val="none"/>
        </w:rPr>
        <w:t>2022年部</w:t>
      </w:r>
      <w:r>
        <w:rPr>
          <w:rFonts w:hint="eastAsia" w:ascii="仿宋_GB2312" w:hAnsi="仿宋_GB2312" w:eastAsia="仿宋_GB2312" w:cs="仿宋_GB2312"/>
          <w:b/>
          <w:kern w:val="0"/>
          <w:sz w:val="32"/>
          <w:szCs w:val="32"/>
          <w:highlight w:val="none"/>
          <w:lang w:eastAsia="zh-CN"/>
        </w:rPr>
        <w:t>门</w:t>
      </w:r>
      <w:r>
        <w:rPr>
          <w:rFonts w:hint="eastAsia" w:ascii="仿宋_GB2312" w:hAnsi="仿宋_GB2312" w:eastAsia="仿宋_GB2312" w:cs="仿宋_GB2312"/>
          <w:b/>
          <w:kern w:val="0"/>
          <w:sz w:val="32"/>
          <w:szCs w:val="32"/>
          <w:highlight w:val="none"/>
        </w:rPr>
        <w:t>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仿宋_GB2312" w:eastAsia="仿宋_GB2312" w:cs="仿宋_GB2312"/>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仿宋_GB2312" w:eastAsia="仿宋_GB2312" w:cs="仿宋_GB2312"/>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仿宋_GB2312" w:eastAsia="仿宋_GB2312" w:cs="仿宋_GB2312"/>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bCs/>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pacing w:val="-6"/>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仿宋_GB2312" w:eastAsia="仿宋_GB2312" w:cs="仿宋_GB2312"/>
          <w:kern w:val="0"/>
          <w:sz w:val="32"/>
          <w:szCs w:val="32"/>
          <w:highlight w:val="none"/>
          <w:lang w:eastAsia="zh-CN"/>
        </w:rPr>
        <w:t>昌吉州国资委</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九、关于*部门（单位）2022年政府性基金预算拨款情况说明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420" w:firstLineChars="200"/>
        <w:rPr>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ind w:firstLine="1280" w:firstLineChars="400"/>
        <w:jc w:val="both"/>
        <w:outlineLvl w:val="1"/>
        <w:rPr>
          <w:rFonts w:hint="eastAsia" w:ascii="黑体" w:hAnsi="黑体" w:eastAsia="黑体"/>
          <w:kern w:val="0"/>
          <w:sz w:val="32"/>
          <w:szCs w:val="32"/>
          <w:highlight w:val="none"/>
        </w:rPr>
      </w:pPr>
    </w:p>
    <w:p>
      <w:pPr>
        <w:widowControl/>
        <w:spacing w:line="540" w:lineRule="exact"/>
        <w:ind w:firstLine="1280" w:firstLineChars="400"/>
        <w:jc w:val="both"/>
        <w:outlineLvl w:val="1"/>
        <w:rPr>
          <w:rFonts w:hint="eastAsia" w:ascii="黑体" w:hAnsi="黑体" w:eastAsia="黑体"/>
          <w:kern w:val="0"/>
          <w:sz w:val="32"/>
          <w:szCs w:val="32"/>
          <w:highlight w:val="none"/>
        </w:rPr>
      </w:pPr>
    </w:p>
    <w:p>
      <w:pPr>
        <w:widowControl/>
        <w:spacing w:line="540" w:lineRule="exact"/>
        <w:ind w:firstLine="1280" w:firstLineChars="400"/>
        <w:jc w:val="both"/>
        <w:outlineLvl w:val="1"/>
        <w:rPr>
          <w:rFonts w:ascii="黑体" w:hAnsi="黑体" w:eastAsia="黑体"/>
          <w:kern w:val="0"/>
          <w:sz w:val="32"/>
          <w:szCs w:val="32"/>
          <w:highlight w:val="none"/>
        </w:rPr>
      </w:pPr>
      <w:r>
        <w:rPr>
          <w:rFonts w:hint="eastAsia" w:ascii="黑体" w:hAnsi="黑体" w:eastAsia="黑体"/>
          <w:kern w:val="0"/>
          <w:sz w:val="32"/>
          <w:szCs w:val="32"/>
          <w:highlight w:val="none"/>
          <w:lang w:val="en-US" w:eastAsia="zh-CN"/>
        </w:rPr>
        <w:t xml:space="preserve">  </w:t>
      </w:r>
      <w:r>
        <w:rPr>
          <w:rFonts w:hint="eastAsia" w:ascii="黑体" w:hAnsi="黑体" w:eastAsia="黑体"/>
          <w:kern w:val="0"/>
          <w:sz w:val="32"/>
          <w:szCs w:val="32"/>
          <w:highlight w:val="none"/>
        </w:rPr>
        <w:t>第一部分</w:t>
      </w:r>
      <w:r>
        <w:rPr>
          <w:rFonts w:hint="eastAsia" w:ascii="黑体" w:hAnsi="黑体" w:eastAsia="黑体"/>
          <w:kern w:val="0"/>
          <w:sz w:val="32"/>
          <w:szCs w:val="32"/>
          <w:highlight w:val="none"/>
          <w:lang w:val="en-US" w:eastAsia="zh-CN"/>
        </w:rPr>
        <w:t>昌吉州国资委</w:t>
      </w:r>
      <w:r>
        <w:rPr>
          <w:rFonts w:hint="eastAsia" w:ascii="黑体" w:hAnsi="黑体" w:eastAsia="黑体"/>
          <w:kern w:val="0"/>
          <w:sz w:val="32"/>
          <w:szCs w:val="32"/>
          <w:highlight w:val="none"/>
        </w:rPr>
        <w:t>单位概况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480" w:lineRule="exact"/>
        <w:outlineLvl w:val="1"/>
        <w:rPr>
          <w:rFonts w:hint="eastAsia" w:ascii="仿宋_GB2312" w:hAnsi="宋体" w:eastAsia="仿宋_GB2312"/>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w:t>
      </w:r>
      <w:r>
        <w:rPr>
          <w:rFonts w:hint="eastAsia" w:ascii="仿宋_GB2312" w:hAnsi="黑体" w:eastAsia="仿宋_GB2312" w:cs="宋体"/>
          <w:bCs/>
          <w:kern w:val="0"/>
          <w:sz w:val="32"/>
          <w:szCs w:val="32"/>
          <w:highlight w:val="none"/>
          <w:lang w:val="en-US" w:eastAsia="zh-CN"/>
        </w:rPr>
        <w:t xml:space="preserve"> </w:t>
      </w:r>
      <w:r>
        <w:rPr>
          <w:rFonts w:hint="eastAsia" w:ascii="仿宋_GB2312" w:hAnsi="宋体" w:eastAsia="仿宋_GB2312"/>
          <w:kern w:val="0"/>
          <w:sz w:val="32"/>
          <w:szCs w:val="32"/>
          <w:highlight w:val="none"/>
          <w:lang w:val="en-US" w:eastAsia="zh-CN"/>
        </w:rPr>
        <w:t xml:space="preserve"> </w:t>
      </w:r>
      <w:r>
        <w:rPr>
          <w:rFonts w:hint="eastAsia" w:ascii="仿宋_GB2312" w:hAnsi="宋体" w:eastAsia="仿宋_GB2312"/>
          <w:kern w:val="0"/>
          <w:sz w:val="32"/>
          <w:szCs w:val="32"/>
          <w:highlight w:val="none"/>
        </w:rPr>
        <w:t>1、</w:t>
      </w:r>
      <w:r>
        <w:rPr>
          <w:rFonts w:hint="eastAsia" w:ascii="仿宋_GB2312" w:hAnsi="宋体" w:eastAsia="仿宋_GB2312"/>
          <w:kern w:val="0"/>
          <w:sz w:val="32"/>
          <w:szCs w:val="32"/>
          <w:highlight w:val="none"/>
          <w:lang w:val="en-US" w:eastAsia="zh-CN"/>
        </w:rPr>
        <w:t>根据自治州人民政府授权，依照《中华人民共和国企业国有资产法》等法律，法规履行出资人职责，监管自治州直属企业的国有资产，加强国有资产管理，对各县（市）国有资产管理工作进行指导和监督。</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2、</w:t>
      </w:r>
      <w:r>
        <w:rPr>
          <w:rFonts w:hint="eastAsia" w:ascii="仿宋_GB2312" w:hAnsi="宋体" w:eastAsia="仿宋_GB2312"/>
          <w:kern w:val="0"/>
          <w:sz w:val="32"/>
          <w:szCs w:val="32"/>
          <w:highlight w:val="none"/>
          <w:lang w:val="en-US" w:eastAsia="zh-CN"/>
        </w:rPr>
        <w:t>承担监督所监管企业国有资产保值增值的责任，建立和完善国有资产保值增值指标体系，拟定所监管企业领导时期经营目标、考核标准等，对监管企业国有资产保值增值情况进行监管；依法向自治州人民政府报告所监管企业国有资产监管运营情况。</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3、</w:t>
      </w:r>
      <w:r>
        <w:rPr>
          <w:rFonts w:hint="eastAsia" w:ascii="仿宋_GB2312" w:hAnsi="宋体" w:eastAsia="仿宋_GB2312"/>
          <w:kern w:val="0"/>
          <w:sz w:val="32"/>
          <w:szCs w:val="32"/>
          <w:highlight w:val="none"/>
          <w:lang w:val="en-US" w:eastAsia="zh-CN"/>
        </w:rPr>
        <w:t>坚持和加强党的全面领导，履行所监管企业党建工作的日常管理职责。指导监管企业做好党的建设和全面从严治党工作；会同有关部门做好所监管企业领导班子管理和人才队伍建设工作；通过法定程序、依照干部管理权限对所监管企业领导人员进行考核，任免并根据其经营业绩进行奖惩，建立适应中国特色现代国有企业制度要求和市场竞争需要的选人用人机制，完善经营者激励和约束机制。</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4、</w:t>
      </w:r>
      <w:r>
        <w:rPr>
          <w:rFonts w:hint="eastAsia" w:ascii="仿宋_GB2312" w:hAnsi="宋体" w:eastAsia="仿宋_GB2312"/>
          <w:kern w:val="0"/>
          <w:sz w:val="32"/>
          <w:szCs w:val="32"/>
          <w:highlight w:val="none"/>
          <w:lang w:val="en-US" w:eastAsia="zh-CN"/>
        </w:rPr>
        <w:t>指导推进国有企业改革和重组，推进国有企业的现代企业制度建设，完善公司治理结构。组织实施改组（组建）国有资本投资、运营公司，指导企业开展国有资本投资运营；按照“政企分开、政资分开、政事分开”的要求，推进经营性国有资产集中统一监管；以管资本为主推动国有资本合理流动，加快国有经济布局优化、结构调整、战略性重组，会同有关部门协调中央企业和援疆省（市）国有企业产业援疆工作。</w:t>
      </w:r>
    </w:p>
    <w:p>
      <w:pPr>
        <w:widowControl/>
        <w:spacing w:line="480" w:lineRule="exact"/>
        <w:ind w:firstLine="640" w:firstLineChars="200"/>
        <w:outlineLvl w:val="1"/>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5.负责所监管企业负责人经营业绩考核和薪酬管理，提出所监管企业负责人收入分配政策并组织实施和监督检查；完善所监管企业经营业绩考核制度、促进企业履行经济责任、政治责任、稳定责任、社会责任。</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6</w:t>
      </w:r>
      <w:r>
        <w:rPr>
          <w:rFonts w:hint="eastAsia" w:ascii="仿宋_GB2312" w:hAnsi="宋体" w:eastAsia="仿宋_GB2312"/>
          <w:kern w:val="0"/>
          <w:sz w:val="32"/>
          <w:szCs w:val="32"/>
          <w:highlight w:val="none"/>
          <w:lang w:val="en-US" w:eastAsia="zh-CN"/>
        </w:rPr>
        <w:t>.负责组织所监管企业上交国有资本收益、参与制度国有资本经营预算有关管理制度和办法，承办所监管企业国有资本经营预决算编制和执行等工作。</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7</w:t>
      </w:r>
      <w:r>
        <w:rPr>
          <w:rFonts w:hint="eastAsia" w:ascii="仿宋_GB2312" w:hAnsi="宋体" w:eastAsia="仿宋_GB2312"/>
          <w:kern w:val="0"/>
          <w:sz w:val="32"/>
          <w:szCs w:val="32"/>
          <w:highlight w:val="none"/>
          <w:lang w:val="en-US" w:eastAsia="zh-CN"/>
        </w:rPr>
        <w:t>.依据监管清单，审核所监管企业的发展战略和规划、重大项目投资、重大资产处置等事项；督促检查所监管企业贯彻落实国家安全生产、环境保护方针政策及有关法律法规、标准等工作。</w:t>
      </w:r>
    </w:p>
    <w:p>
      <w:pPr>
        <w:widowControl/>
        <w:spacing w:line="480" w:lineRule="exact"/>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8</w:t>
      </w:r>
      <w:r>
        <w:rPr>
          <w:rFonts w:hint="eastAsia" w:ascii="仿宋_GB2312" w:hAnsi="宋体" w:eastAsia="仿宋_GB2312"/>
          <w:kern w:val="0"/>
          <w:sz w:val="32"/>
          <w:szCs w:val="32"/>
          <w:highlight w:val="none"/>
          <w:lang w:val="en-US" w:eastAsia="zh-CN"/>
        </w:rPr>
        <w:t>.起草国有资产管理的地方性法规和政府规章草案；制定有关制度，指导所监管企业法律顾问和法治国企建设工作；负责企业国有资产基础管理工作，规范国有产权转让及交易行为；负责所监管企业违规经营投资责任追究工作，强化国有资产监督，防止国有资产流失；依法对县（市）人民政府、州本级管理的园区管理委员会企业国有资产监督管理工作进行指导和监督。</w:t>
      </w:r>
    </w:p>
    <w:p>
      <w:pPr>
        <w:widowControl/>
        <w:spacing w:line="480" w:lineRule="exact"/>
        <w:ind w:firstLine="640" w:firstLineChars="200"/>
        <w:outlineLvl w:val="1"/>
        <w:rPr>
          <w:rFonts w:ascii="仿宋_GB2312" w:hAnsi="宋体" w:eastAsia="仿宋_GB2312" w:cs="宋体"/>
          <w:bCs/>
          <w:kern w:val="0"/>
          <w:sz w:val="32"/>
          <w:szCs w:val="32"/>
          <w:highlight w:val="none"/>
        </w:rPr>
      </w:pPr>
      <w:r>
        <w:rPr>
          <w:rFonts w:hint="eastAsia" w:ascii="仿宋_GB2312" w:hAnsi="宋体" w:eastAsia="仿宋_GB2312"/>
          <w:kern w:val="0"/>
          <w:sz w:val="32"/>
          <w:szCs w:val="32"/>
          <w:highlight w:val="none"/>
        </w:rPr>
        <w:t>9</w:t>
      </w:r>
      <w:r>
        <w:rPr>
          <w:rFonts w:hint="eastAsia" w:ascii="仿宋_GB2312" w:hAnsi="宋体" w:eastAsia="仿宋_GB2312"/>
          <w:kern w:val="0"/>
          <w:sz w:val="32"/>
          <w:szCs w:val="32"/>
          <w:highlight w:val="none"/>
          <w:lang w:val="en-US" w:eastAsia="zh-CN"/>
        </w:rPr>
        <w:t>.完成自治州党委、自治州人民政府交办的其它任务。</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4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昌吉州国资委</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4</w:t>
      </w:r>
      <w:r>
        <w:rPr>
          <w:rFonts w:hint="eastAsia" w:ascii="仿宋_GB2312" w:hAnsi="黑体" w:eastAsia="仿宋_GB2312" w:cs="宋体"/>
          <w:bCs/>
          <w:kern w:val="0"/>
          <w:sz w:val="32"/>
          <w:szCs w:val="32"/>
          <w:highlight w:val="none"/>
        </w:rPr>
        <w:t>个科室，分别是：</w:t>
      </w:r>
      <w:r>
        <w:rPr>
          <w:rFonts w:hint="eastAsia" w:ascii="仿宋_GB2312" w:hAnsi="黑体" w:eastAsia="仿宋_GB2312" w:cs="宋体"/>
          <w:bCs/>
          <w:kern w:val="0"/>
          <w:sz w:val="32"/>
          <w:szCs w:val="32"/>
          <w:highlight w:val="none"/>
          <w:lang w:val="en-US" w:eastAsia="zh-CN"/>
        </w:rPr>
        <w:t>办公室、组织宣传科、统计考核科、改革发展科</w:t>
      </w:r>
      <w:r>
        <w:rPr>
          <w:rFonts w:hint="eastAsia" w:ascii="仿宋_GB2312" w:hAnsi="宋体" w:eastAsia="仿宋_GB2312" w:cs="宋体"/>
          <w:kern w:val="0"/>
          <w:sz w:val="32"/>
          <w:szCs w:val="32"/>
          <w:highlight w:val="none"/>
        </w:rPr>
        <w:t>。</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昌吉州国资委</w:t>
      </w:r>
      <w:r>
        <w:rPr>
          <w:rFonts w:hint="eastAsia" w:ascii="仿宋_GB2312" w:hAnsi="宋体" w:eastAsia="仿宋_GB2312" w:cs="宋体"/>
          <w:kern w:val="0"/>
          <w:sz w:val="32"/>
          <w:szCs w:val="32"/>
          <w:highlight w:val="none"/>
        </w:rPr>
        <w:t>单位编制数</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29</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24</w:t>
      </w:r>
      <w:r>
        <w:rPr>
          <w:rFonts w:hint="eastAsia" w:ascii="仿宋_GB2312" w:hAnsi="宋体" w:eastAsia="仿宋_GB2312" w:cs="宋体"/>
          <w:kern w:val="0"/>
          <w:sz w:val="32"/>
          <w:szCs w:val="32"/>
          <w:highlight w:val="none"/>
        </w:rPr>
        <w:t>人，减少</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 退休</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ind w:firstLine="1280" w:firstLineChars="400"/>
        <w:jc w:val="both"/>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昌吉州国资委</w:t>
      </w:r>
      <w:r>
        <w:rPr>
          <w:rFonts w:hint="eastAsia" w:ascii="仿宋_GB2312" w:hAnsi="宋体" w:eastAsia="仿宋_GB2312"/>
          <w:kern w:val="0"/>
          <w:sz w:val="24"/>
          <w:highlight w:val="none"/>
        </w:rPr>
        <w:t xml:space="preserve">                            单位：万元</w:t>
      </w:r>
    </w:p>
    <w:tbl>
      <w:tblPr>
        <w:tblStyle w:val="6"/>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550.8</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550.8</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37.31</w:t>
            </w: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451.76</w:t>
            </w: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32.79</w:t>
            </w: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550.8</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550.80</w:t>
            </w:r>
            <w:r>
              <w:rPr>
                <w:rFonts w:hint="eastAsia" w:ascii="仿宋_GB2312" w:hAnsi="宋体" w:eastAsia="仿宋_GB2312" w:cs="宋体"/>
                <w:kern w:val="0"/>
                <w:sz w:val="18"/>
                <w:szCs w:val="18"/>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昌吉州国资委</w:t>
      </w:r>
      <w:r>
        <w:rPr>
          <w:rFonts w:hint="eastAsia" w:ascii="仿宋_GB2312" w:hAnsi="宋体" w:eastAsia="仿宋_GB2312"/>
          <w:kern w:val="0"/>
          <w:sz w:val="24"/>
          <w:highlight w:val="none"/>
        </w:rPr>
        <w:t xml:space="preserve">                             单位：万元</w:t>
      </w:r>
    </w:p>
    <w:tbl>
      <w:tblPr>
        <w:tblStyle w:val="6"/>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417"/>
        <w:gridCol w:w="417"/>
        <w:gridCol w:w="2145"/>
        <w:gridCol w:w="1018"/>
        <w:gridCol w:w="1234"/>
        <w:gridCol w:w="540"/>
        <w:gridCol w:w="580"/>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123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5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5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2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5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5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highlight w:val="none"/>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highlight w:val="none"/>
                <w:lang w:val="en-US" w:eastAsia="zh-CN"/>
              </w:rPr>
            </w:pPr>
          </w:p>
        </w:tc>
        <w:tc>
          <w:tcPr>
            <w:tcW w:w="2145" w:type="dxa"/>
            <w:tcBorders>
              <w:top w:val="nil"/>
              <w:left w:val="nil"/>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37.31</w:t>
            </w:r>
          </w:p>
        </w:tc>
        <w:tc>
          <w:tcPr>
            <w:tcW w:w="1234" w:type="dxa"/>
            <w:tcBorders>
              <w:top w:val="nil"/>
              <w:left w:val="nil"/>
              <w:bottom w:val="single" w:color="auto" w:sz="4" w:space="0"/>
              <w:right w:val="single" w:color="auto" w:sz="4" w:space="0"/>
            </w:tcBorders>
            <w:shd w:val="clear" w:color="000000" w:fill="FFFFFF"/>
            <w:vAlign w:val="center"/>
          </w:tcPr>
          <w:p>
            <w:pPr>
              <w:widowControl/>
              <w:tabs>
                <w:tab w:val="left" w:pos="241"/>
              </w:tabs>
              <w:spacing w:line="280" w:lineRule="exact"/>
              <w:jc w:val="lef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ab/>
            </w:r>
            <w:r>
              <w:rPr>
                <w:rFonts w:hint="eastAsia" w:ascii="仿宋" w:hAnsi="仿宋" w:eastAsia="仿宋" w:cs="仿宋"/>
                <w:b/>
                <w:bCs/>
                <w:color w:val="000000"/>
                <w:kern w:val="0"/>
                <w:sz w:val="20"/>
                <w:szCs w:val="20"/>
                <w:highlight w:val="none"/>
                <w:lang w:val="en-US" w:eastAsia="zh-CN"/>
              </w:rPr>
              <w:t>37.31</w:t>
            </w:r>
          </w:p>
        </w:tc>
        <w:tc>
          <w:tcPr>
            <w:tcW w:w="5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5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37.31</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37.31</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0.5</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0.5</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28.93</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28.93</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28.93</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28.93</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13.73</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13.73</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8.13</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8.13</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03</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6.9</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6.9</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99</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其它行政事业单位医疗支出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0.17</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0.17</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资源勘探工业信息等支出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451.76</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451.76</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07</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国有资产监管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451.76</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451.76</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07</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298.76</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298.76</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215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07</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153</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153</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eastAsia="zh-CN"/>
              </w:rPr>
            </w:pPr>
            <w:r>
              <w:rPr>
                <w:rFonts w:hint="eastAsia" w:ascii="仿宋_GB2312" w:hAnsi="宋体" w:eastAsia="仿宋_GB2312" w:cs="宋体"/>
                <w:color w:val="000000"/>
                <w:sz w:val="20"/>
                <w:szCs w:val="20"/>
                <w:highlight w:val="none"/>
                <w:lang w:eastAsia="zh-CN"/>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32.79</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550.8</w:t>
            </w:r>
          </w:p>
        </w:tc>
        <w:tc>
          <w:tcPr>
            <w:tcW w:w="123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550.8</w:t>
            </w:r>
          </w:p>
        </w:tc>
        <w:tc>
          <w:tcPr>
            <w:tcW w:w="5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5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昌吉州国资委</w:t>
      </w:r>
      <w:r>
        <w:rPr>
          <w:rFonts w:hint="eastAsia" w:ascii="仿宋_GB2312" w:hAnsi="宋体" w:eastAsia="仿宋_GB2312"/>
          <w:kern w:val="0"/>
          <w:sz w:val="24"/>
          <w:highlight w:val="none"/>
        </w:rPr>
        <w:t xml:space="preserve">                                             单位：万元</w:t>
      </w:r>
    </w:p>
    <w:tbl>
      <w:tblPr>
        <w:tblStyle w:val="6"/>
        <w:tblW w:w="9496"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1"/>
        <w:gridCol w:w="480"/>
        <w:gridCol w:w="160"/>
        <w:gridCol w:w="262"/>
        <w:gridCol w:w="2342"/>
        <w:gridCol w:w="76"/>
        <w:gridCol w:w="1779"/>
        <w:gridCol w:w="76"/>
        <w:gridCol w:w="1780"/>
        <w:gridCol w:w="76"/>
        <w:gridCol w:w="1828"/>
        <w:gridCol w:w="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345" w:hRule="atLeast"/>
        </w:trPr>
        <w:tc>
          <w:tcPr>
            <w:tcW w:w="3805" w:type="dxa"/>
            <w:gridSpan w:val="5"/>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6"/>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418"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社会保障和就业支出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05</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行政事业单位养老支出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05</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01</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行政单位离退休</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05</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05</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机关事业单位基本养老支出</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36.81</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36.81</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卫生健康支出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行政事业单位医疗</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01</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行政单位医疗</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13.73</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13.73</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02</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事业单位医疗</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8.13</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8.13</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03</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公务员医疗补助</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6.9</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6.9</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09</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其它行政事业单位医疗支出</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0.17</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0.17</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资源勘探工业信息等支出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451.76</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07</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国有资产监管</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451.76</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07</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01</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行政运行</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07</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02</w:t>
            </w:r>
          </w:p>
        </w:tc>
        <w:tc>
          <w:tcPr>
            <w:tcW w:w="2418"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一般行政管理事务</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p>
        </w:tc>
        <w:tc>
          <w:tcPr>
            <w:tcW w:w="190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 保障支出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02</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住房改革支出</w:t>
            </w:r>
          </w:p>
        </w:tc>
        <w:tc>
          <w:tcPr>
            <w:tcW w:w="1855"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02</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01</w:t>
            </w:r>
          </w:p>
        </w:tc>
        <w:tc>
          <w:tcPr>
            <w:tcW w:w="2418"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住房公积金</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90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highlight w:val="none"/>
              </w:rPr>
            </w:pPr>
          </w:p>
        </w:tc>
        <w:tc>
          <w:tcPr>
            <w:tcW w:w="2418"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highlight w:val="none"/>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highlight w:val="none"/>
              </w:rPr>
            </w:pPr>
          </w:p>
        </w:tc>
        <w:tc>
          <w:tcPr>
            <w:tcW w:w="2418"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highlight w:val="none"/>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2"/>
                <w:szCs w:val="22"/>
                <w:highlight w:val="none"/>
              </w:rPr>
            </w:pPr>
          </w:p>
        </w:tc>
        <w:tc>
          <w:tcPr>
            <w:tcW w:w="422" w:type="dxa"/>
            <w:gridSpan w:val="2"/>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color w:val="000000"/>
                <w:kern w:val="0"/>
                <w:sz w:val="24"/>
                <w:highlight w:val="none"/>
              </w:rPr>
            </w:pPr>
          </w:p>
        </w:tc>
        <w:tc>
          <w:tcPr>
            <w:tcW w:w="2418"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highlight w:val="none"/>
              </w:rPr>
            </w:pPr>
          </w:p>
        </w:tc>
        <w:tc>
          <w:tcPr>
            <w:tcW w:w="185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856"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c>
          <w:tcPr>
            <w:tcW w:w="1904"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2"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418"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550.8</w:t>
            </w:r>
          </w:p>
        </w:tc>
        <w:tc>
          <w:tcPr>
            <w:tcW w:w="1856"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397.8</w:t>
            </w:r>
          </w:p>
        </w:tc>
        <w:tc>
          <w:tcPr>
            <w:tcW w:w="190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表4</w:t>
      </w:r>
    </w:p>
    <w:p>
      <w:pPr>
        <w:widowControl/>
        <w:spacing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Cs w:val="21"/>
          <w:highlight w:val="none"/>
          <w:lang w:eastAsia="zh-CN"/>
        </w:rPr>
        <w:t>昌吉州</w:t>
      </w:r>
      <w:r>
        <w:rPr>
          <w:rFonts w:hint="eastAsia" w:ascii="仿宋_GB2312" w:hAnsi="宋体" w:eastAsia="仿宋_GB2312"/>
          <w:kern w:val="0"/>
          <w:szCs w:val="21"/>
          <w:highlight w:val="none"/>
        </w:rPr>
        <w:t xml:space="preserve"> </w:t>
      </w:r>
      <w:r>
        <w:rPr>
          <w:rFonts w:hint="eastAsia" w:ascii="仿宋_GB2312" w:hAnsi="宋体" w:eastAsia="仿宋_GB2312"/>
          <w:kern w:val="0"/>
          <w:szCs w:val="21"/>
          <w:highlight w:val="none"/>
          <w:lang w:eastAsia="zh-CN"/>
        </w:rPr>
        <w:t>国资委</w:t>
      </w:r>
      <w:r>
        <w:rPr>
          <w:rFonts w:hint="eastAsia" w:ascii="仿宋_GB2312" w:hAnsi="宋体" w:eastAsia="仿宋_GB2312"/>
          <w:kern w:val="0"/>
          <w:szCs w:val="21"/>
          <w:highlight w:val="none"/>
        </w:rPr>
        <w:t xml:space="preserve">                                     单位：万元</w:t>
      </w:r>
    </w:p>
    <w:tbl>
      <w:tblPr>
        <w:tblStyle w:val="6"/>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550.8</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37.31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37.31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28.93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28.93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451.76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451.76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32.79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32.79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550.8</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550.8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550.8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表5</w:t>
      </w:r>
    </w:p>
    <w:tbl>
      <w:tblPr>
        <w:tblStyle w:val="6"/>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eastAsia="zh-CN"/>
              </w:rPr>
              <w:t>昌吉州国资委</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37.31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0.5</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05</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机关事业单位基本养老支出</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36.81</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36.81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28.93</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行政单位医疗</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13.73</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13.73</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8.13</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8.13</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03</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6.9</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6.9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09</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其它行政事业单位医疗支出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0.17</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0.17</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资源勘探工业信息等支出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451.76</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215</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r>
              <w:rPr>
                <w:rFonts w:hint="eastAsia" w:ascii="宋体" w:hAnsi="宋体" w:cs="宋体"/>
                <w:b/>
                <w:bCs/>
                <w:color w:val="000000"/>
                <w:kern w:val="0"/>
                <w:sz w:val="16"/>
                <w:szCs w:val="16"/>
                <w:highlight w:val="none"/>
                <w:lang w:val="en-US" w:eastAsia="zh-CN"/>
              </w:rPr>
              <w:t>07</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highlight w:val="none"/>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国有资产监管</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451.76</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215</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07</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行政运行</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298.76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215</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07</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一般行政管理事务</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r>
              <w:rPr>
                <w:rFonts w:hint="eastAsia" w:ascii="宋体" w:hAnsi="宋体" w:cs="宋体"/>
                <w:b/>
                <w:bCs/>
                <w:color w:val="000000"/>
                <w:kern w:val="0"/>
                <w:sz w:val="16"/>
                <w:szCs w:val="16"/>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highlight w:val="none"/>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both"/>
              <w:rPr>
                <w:rFonts w:hint="default" w:ascii="宋体" w:hAnsi="宋体" w:eastAsia="宋体" w:cs="宋体"/>
                <w:b/>
                <w:bCs/>
                <w:color w:val="000000"/>
                <w:kern w:val="0"/>
                <w:sz w:val="16"/>
                <w:szCs w:val="16"/>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32.79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r>
              <w:rPr>
                <w:rFonts w:hint="eastAsia" w:ascii="宋体" w:hAnsi="宋体" w:cs="宋体"/>
                <w:b/>
                <w:bCs/>
                <w:color w:val="000000"/>
                <w:kern w:val="0"/>
                <w:sz w:val="16"/>
                <w:szCs w:val="16"/>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r>
              <w:rPr>
                <w:rFonts w:hint="eastAsia" w:ascii="宋体" w:hAnsi="宋体" w:cs="宋体"/>
                <w:b/>
                <w:bCs/>
                <w:color w:val="000000"/>
                <w:kern w:val="0"/>
                <w:sz w:val="16"/>
                <w:szCs w:val="16"/>
                <w:highlight w:val="none"/>
                <w:lang w:val="en-US" w:eastAsia="zh-CN"/>
              </w:rPr>
              <w:t>02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r>
              <w:rPr>
                <w:rFonts w:hint="eastAsia" w:ascii="宋体" w:hAnsi="宋体" w:cs="宋体"/>
                <w:b/>
                <w:bCs/>
                <w:color w:val="000000"/>
                <w:kern w:val="0"/>
                <w:sz w:val="16"/>
                <w:szCs w:val="16"/>
                <w:highlight w:val="none"/>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r>
              <w:rPr>
                <w:rFonts w:hint="eastAsia" w:ascii="仿宋_GB2312" w:hAnsi="宋体" w:eastAsia="仿宋_GB2312" w:cs="宋体"/>
                <w:color w:val="000000"/>
                <w:sz w:val="20"/>
                <w:szCs w:val="20"/>
                <w:highlight w:val="none"/>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r>
              <w:rPr>
                <w:rFonts w:hint="eastAsia" w:ascii="仿宋_GB2312" w:hAnsi="宋体" w:eastAsia="仿宋_GB2312" w:cs="宋体"/>
                <w:color w:val="000000"/>
                <w:sz w:val="20"/>
                <w:szCs w:val="20"/>
                <w:highlight w:val="none"/>
                <w:lang w:val="en-US" w:eastAsia="zh-CN"/>
              </w:rPr>
              <w:t>32.79</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highlight w:val="none"/>
              </w:rPr>
            </w:pPr>
            <w:r>
              <w:rPr>
                <w:rFonts w:hint="eastAsia" w:ascii="仿宋_GB2312" w:hAnsi="宋体" w:eastAsia="仿宋_GB2312" w:cs="宋体"/>
                <w:color w:val="000000"/>
                <w:sz w:val="20"/>
                <w:szCs w:val="20"/>
                <w:highlight w:val="none"/>
                <w:lang w:val="en-US" w:eastAsia="zh-CN"/>
              </w:rPr>
              <w:t>32.79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550.8</w:t>
            </w:r>
          </w:p>
        </w:tc>
        <w:tc>
          <w:tcPr>
            <w:tcW w:w="1842"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397.8</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highlight w:val="none"/>
                <w:lang w:val="en-US" w:eastAsia="zh-CN"/>
              </w:rPr>
            </w:pPr>
            <w:r>
              <w:rPr>
                <w:rFonts w:hint="eastAsia" w:ascii="仿宋_GB2312" w:hAnsi="宋体" w:eastAsia="仿宋_GB2312" w:cs="宋体"/>
                <w:color w:val="000000"/>
                <w:sz w:val="20"/>
                <w:szCs w:val="20"/>
                <w:highlight w:val="none"/>
                <w:lang w:val="en-US" w:eastAsia="zh-CN"/>
              </w:rPr>
              <w:t>153</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表6</w:t>
      </w:r>
    </w:p>
    <w:tbl>
      <w:tblPr>
        <w:tblStyle w:val="6"/>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eastAsia="zh-CN"/>
              </w:rPr>
              <w:t>昌吉州国资委</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351.95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351.95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112.19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112.19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76.2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9.17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34.93</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34.93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机关事业单位基本养老保险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36.81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36.81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城镇职工基本保险缴费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21.86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21.86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其它社会保障缴费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32.79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32.79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其它工资福利支出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20.58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20.58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39.65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4.49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取暖费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4.45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物业管理费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8.91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维修费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14</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租赁费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培训费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公务接待费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26</w:t>
            </w:r>
          </w:p>
        </w:tc>
        <w:tc>
          <w:tcPr>
            <w:tcW w:w="2891" w:type="dxa"/>
            <w:tcBorders>
              <w:top w:val="nil"/>
              <w:left w:val="nil"/>
              <w:bottom w:val="nil"/>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劳务费</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1.2</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28</w:t>
            </w: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工会经费</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4.33</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29</w:t>
            </w:r>
          </w:p>
        </w:tc>
        <w:tc>
          <w:tcPr>
            <w:tcW w:w="2891" w:type="dxa"/>
            <w:tcBorders>
              <w:top w:val="nil"/>
              <w:left w:val="nil"/>
              <w:bottom w:val="nil"/>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福利费</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3.9</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31</w:t>
            </w: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公务用车运行维护费</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3.4</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39</w:t>
            </w: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其它交通费用</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其他商品和服务支出</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3.06</w:t>
            </w:r>
          </w:p>
        </w:tc>
        <w:tc>
          <w:tcPr>
            <w:tcW w:w="1701" w:type="dxa"/>
            <w:gridSpan w:val="2"/>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303</w:t>
            </w:r>
          </w:p>
        </w:tc>
        <w:tc>
          <w:tcPr>
            <w:tcW w:w="577"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对个人和家庭补助</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6.2</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6.2</w:t>
            </w:r>
          </w:p>
        </w:tc>
        <w:tc>
          <w:tcPr>
            <w:tcW w:w="1701" w:type="dxa"/>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303</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891" w:type="dxa"/>
            <w:tcBorders>
              <w:top w:val="nil"/>
              <w:left w:val="nil"/>
              <w:bottom w:val="nil"/>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离休费</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1701" w:type="dxa"/>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303</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医疗费补助</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5.09</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5.09</w:t>
            </w:r>
          </w:p>
        </w:tc>
        <w:tc>
          <w:tcPr>
            <w:tcW w:w="1701" w:type="dxa"/>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303</w:t>
            </w:r>
          </w:p>
        </w:tc>
        <w:tc>
          <w:tcPr>
            <w:tcW w:w="577" w:type="dxa"/>
            <w:tcBorders>
              <w:top w:val="nil"/>
              <w:left w:val="nil"/>
              <w:bottom w:val="nil"/>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09</w:t>
            </w:r>
          </w:p>
        </w:tc>
        <w:tc>
          <w:tcPr>
            <w:tcW w:w="2891" w:type="dxa"/>
            <w:tcBorders>
              <w:top w:val="nil"/>
              <w:left w:val="nil"/>
              <w:bottom w:val="nil"/>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奖励金</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0.61</w:t>
            </w:r>
          </w:p>
        </w:tc>
        <w:tc>
          <w:tcPr>
            <w:tcW w:w="1701" w:type="dxa"/>
            <w:gridSpan w:val="2"/>
            <w:tcBorders>
              <w:top w:val="nil"/>
              <w:left w:val="nil"/>
              <w:bottom w:val="nil"/>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0.61</w:t>
            </w:r>
          </w:p>
        </w:tc>
        <w:tc>
          <w:tcPr>
            <w:tcW w:w="1701" w:type="dxa"/>
            <w:tcBorders>
              <w:top w:val="nil"/>
              <w:left w:val="nil"/>
              <w:bottom w:val="nil"/>
              <w:right w:val="single" w:color="auto" w:sz="4" w:space="0"/>
            </w:tcBorders>
            <w:vAlign w:val="center"/>
          </w:tcPr>
          <w:p>
            <w:pPr>
              <w:widowControl/>
              <w:jc w:val="right"/>
              <w:rPr>
                <w:rFonts w:ascii="宋体" w:hAnsi="宋体" w:cs="宋体"/>
                <w:color w:val="000000"/>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0"/>
                <w:szCs w:val="20"/>
                <w:highlight w:val="none"/>
                <w:lang w:val="en-US" w:eastAsia="zh-CN"/>
              </w:rPr>
            </w:pPr>
            <w:r>
              <w:rPr>
                <w:rFonts w:hint="eastAsia" w:ascii="宋体" w:hAnsi="宋体" w:cs="宋体"/>
                <w:b/>
                <w:bCs/>
                <w:color w:val="000000"/>
                <w:kern w:val="0"/>
                <w:sz w:val="20"/>
                <w:szCs w:val="20"/>
                <w:highlight w:val="none"/>
                <w:lang w:val="en-US" w:eastAsia="zh-CN"/>
              </w:rPr>
              <w:t>合计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bl>
    <w:p>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hint="eastAsia" w:ascii="仿宋_GB2312" w:hAnsi="宋体" w:eastAsia="仿宋_GB2312"/>
          <w:b/>
          <w:kern w:val="0"/>
          <w:sz w:val="28"/>
          <w:szCs w:val="32"/>
          <w:highlight w:val="none"/>
        </w:rPr>
      </w:pPr>
    </w:p>
    <w:p>
      <w:pPr>
        <w:widowControl/>
        <w:outlineLvl w:val="1"/>
        <w:rPr>
          <w:rFonts w:hint="eastAsia"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表7</w:t>
      </w:r>
    </w:p>
    <w:tbl>
      <w:tblPr>
        <w:tblStyle w:val="6"/>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46"/>
        <w:gridCol w:w="240"/>
        <w:gridCol w:w="397"/>
        <w:gridCol w:w="1247"/>
        <w:gridCol w:w="1060"/>
        <w:gridCol w:w="750"/>
        <w:gridCol w:w="110"/>
        <w:gridCol w:w="459"/>
        <w:gridCol w:w="536"/>
        <w:gridCol w:w="652"/>
        <w:gridCol w:w="652"/>
        <w:gridCol w:w="378"/>
        <w:gridCol w:w="200"/>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eastAsia="zh-CN"/>
              </w:rPr>
              <w:t>昌吉州国资委</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247"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060"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554"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240"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24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06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554" w:type="dxa"/>
            <w:gridSpan w:val="2"/>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hint="eastAsia" w:ascii="宋体" w:hAnsi="宋体" w:cs="宋体"/>
                <w:color w:val="000000"/>
                <w:kern w:val="0"/>
                <w:sz w:val="20"/>
                <w:szCs w:val="20"/>
                <w:highlight w:val="none"/>
                <w:lang w:val="en-US" w:eastAsia="zh-CN"/>
              </w:rPr>
            </w:pPr>
          </w:p>
        </w:tc>
        <w:tc>
          <w:tcPr>
            <w:tcW w:w="397" w:type="dxa"/>
            <w:vAlign w:val="top"/>
          </w:tcPr>
          <w:p>
            <w:pPr>
              <w:widowControl/>
              <w:jc w:val="center"/>
              <w:rPr>
                <w:rFonts w:hint="eastAsia" w:ascii="宋体" w:hAnsi="宋体" w:cs="宋体"/>
                <w:color w:val="000000"/>
                <w:kern w:val="0"/>
                <w:sz w:val="20"/>
                <w:szCs w:val="20"/>
                <w:highlight w:val="none"/>
                <w:lang w:val="en-US" w:eastAsia="zh-CN"/>
              </w:rPr>
            </w:pPr>
          </w:p>
        </w:tc>
        <w:tc>
          <w:tcPr>
            <w:tcW w:w="1247"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资源勘探工业信息等支出</w:t>
            </w:r>
          </w:p>
        </w:tc>
        <w:tc>
          <w:tcPr>
            <w:tcW w:w="1060" w:type="dxa"/>
            <w:vAlign w:val="top"/>
          </w:tcPr>
          <w:p>
            <w:pPr>
              <w:widowControl/>
              <w:jc w:val="center"/>
              <w:rPr>
                <w:rFonts w:hint="eastAsia" w:ascii="宋体" w:hAnsi="宋体" w:cs="宋体"/>
                <w:color w:val="000000"/>
                <w:kern w:val="0"/>
                <w:sz w:val="20"/>
                <w:szCs w:val="20"/>
                <w:highlight w:val="none"/>
                <w:lang w:val="en-US" w:eastAsia="zh-CN"/>
              </w:rPr>
            </w:pP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153</w:t>
            </w:r>
          </w:p>
        </w:tc>
        <w:tc>
          <w:tcPr>
            <w:tcW w:w="569"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419"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68" w:type="dxa"/>
            <w:gridSpan w:val="2"/>
            <w:vAlign w:val="top"/>
          </w:tcPr>
          <w:p>
            <w:pPr>
              <w:widowControl/>
              <w:jc w:val="center"/>
              <w:rPr>
                <w:rFonts w:hint="eastAsia" w:ascii="宋体" w:hAnsi="宋体"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554" w:type="dxa"/>
            <w:gridSpan w:val="2"/>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hint="eastAsia" w:ascii="宋体" w:hAnsi="宋体" w:cs="宋体"/>
                <w:color w:val="000000"/>
                <w:kern w:val="0"/>
                <w:sz w:val="20"/>
                <w:szCs w:val="20"/>
                <w:highlight w:val="none"/>
                <w:lang w:val="en-US" w:eastAsia="zh-CN"/>
              </w:rPr>
            </w:pPr>
          </w:p>
        </w:tc>
        <w:tc>
          <w:tcPr>
            <w:tcW w:w="1247"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国有资产监管</w:t>
            </w:r>
          </w:p>
        </w:tc>
        <w:tc>
          <w:tcPr>
            <w:tcW w:w="1060" w:type="dxa"/>
            <w:vAlign w:val="top"/>
          </w:tcPr>
          <w:p>
            <w:pPr>
              <w:widowControl/>
              <w:jc w:val="center"/>
              <w:rPr>
                <w:rFonts w:hint="eastAsia" w:ascii="宋体" w:hAnsi="宋体" w:cs="宋体"/>
                <w:color w:val="000000"/>
                <w:kern w:val="0"/>
                <w:sz w:val="20"/>
                <w:szCs w:val="20"/>
                <w:highlight w:val="none"/>
                <w:lang w:val="en-US" w:eastAsia="zh-CN"/>
              </w:rPr>
            </w:pP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153</w:t>
            </w:r>
          </w:p>
        </w:tc>
        <w:tc>
          <w:tcPr>
            <w:tcW w:w="569"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419"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68" w:type="dxa"/>
            <w:gridSpan w:val="2"/>
            <w:vAlign w:val="top"/>
          </w:tcPr>
          <w:p>
            <w:pPr>
              <w:widowControl/>
              <w:jc w:val="center"/>
              <w:rPr>
                <w:rFonts w:hint="eastAsia" w:ascii="宋体" w:hAnsi="宋体"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554" w:type="dxa"/>
            <w:gridSpan w:val="2"/>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财政补助工作经费</w:t>
            </w: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35</w:t>
            </w:r>
          </w:p>
        </w:tc>
        <w:tc>
          <w:tcPr>
            <w:tcW w:w="569"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35</w:t>
            </w: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419"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68" w:type="dxa"/>
            <w:gridSpan w:val="2"/>
            <w:vAlign w:val="top"/>
          </w:tcPr>
          <w:p>
            <w:pPr>
              <w:widowControl/>
              <w:jc w:val="center"/>
              <w:rPr>
                <w:rFonts w:hint="eastAsia" w:ascii="宋体" w:hAnsi="宋体"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eastAsia" w:ascii="宋体" w:hAnsi="宋体" w:cs="宋体"/>
                <w:color w:val="000000"/>
                <w:kern w:val="0"/>
                <w:sz w:val="20"/>
                <w:szCs w:val="20"/>
                <w:highlight w:val="none"/>
                <w:lang w:val="en-US" w:eastAsia="zh-CN"/>
              </w:rPr>
            </w:pPr>
          </w:p>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年终财务审计费</w:t>
            </w: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90</w:t>
            </w:r>
          </w:p>
        </w:tc>
        <w:tc>
          <w:tcPr>
            <w:tcW w:w="569" w:type="dxa"/>
            <w:gridSpan w:val="2"/>
            <w:vAlign w:val="top"/>
          </w:tcPr>
          <w:p>
            <w:pPr>
              <w:widowControl/>
              <w:jc w:val="both"/>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90</w:t>
            </w: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419"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68" w:type="dxa"/>
            <w:gridSpan w:val="2"/>
            <w:vAlign w:val="top"/>
          </w:tcPr>
          <w:p>
            <w:pPr>
              <w:widowControl/>
              <w:jc w:val="center"/>
              <w:rPr>
                <w:rFonts w:hint="eastAsia" w:ascii="宋体" w:hAnsi="宋体"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党务干部培训费</w:t>
            </w: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w:t>
            </w:r>
          </w:p>
        </w:tc>
        <w:tc>
          <w:tcPr>
            <w:tcW w:w="569" w:type="dxa"/>
            <w:gridSpan w:val="2"/>
            <w:vAlign w:val="top"/>
          </w:tcPr>
          <w:p>
            <w:pPr>
              <w:widowControl/>
              <w:jc w:val="both"/>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w:t>
            </w: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652"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419" w:type="dxa"/>
            <w:vAlign w:val="top"/>
          </w:tcPr>
          <w:p>
            <w:pPr>
              <w:widowControl/>
              <w:jc w:val="center"/>
              <w:rPr>
                <w:rFonts w:hint="eastAsia" w:ascii="宋体" w:hAnsi="宋体" w:cs="宋体"/>
                <w:color w:val="000000"/>
                <w:kern w:val="0"/>
                <w:sz w:val="20"/>
                <w:szCs w:val="20"/>
                <w:highlight w:val="none"/>
                <w:lang w:val="en-US" w:eastAsia="zh-CN"/>
              </w:rPr>
            </w:pPr>
          </w:p>
        </w:tc>
        <w:tc>
          <w:tcPr>
            <w:tcW w:w="578"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20" w:type="dxa"/>
            <w:vAlign w:val="top"/>
          </w:tcPr>
          <w:p>
            <w:pPr>
              <w:widowControl/>
              <w:jc w:val="center"/>
              <w:rPr>
                <w:rFonts w:hint="eastAsia" w:ascii="宋体" w:hAnsi="宋体" w:cs="宋体"/>
                <w:color w:val="000000"/>
                <w:kern w:val="0"/>
                <w:sz w:val="20"/>
                <w:szCs w:val="20"/>
                <w:highlight w:val="none"/>
                <w:lang w:val="en-US" w:eastAsia="zh-CN"/>
              </w:rPr>
            </w:pPr>
          </w:p>
        </w:tc>
        <w:tc>
          <w:tcPr>
            <w:tcW w:w="468" w:type="dxa"/>
            <w:gridSpan w:val="2"/>
            <w:vAlign w:val="top"/>
          </w:tcPr>
          <w:p>
            <w:pPr>
              <w:widowControl/>
              <w:jc w:val="center"/>
              <w:rPr>
                <w:rFonts w:hint="eastAsia" w:ascii="宋体" w:hAnsi="宋体"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专项监督检查费</w:t>
            </w:r>
          </w:p>
        </w:tc>
        <w:tc>
          <w:tcPr>
            <w:tcW w:w="750" w:type="dxa"/>
            <w:vAlign w:val="top"/>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w:t>
            </w:r>
          </w:p>
        </w:tc>
        <w:tc>
          <w:tcPr>
            <w:tcW w:w="569" w:type="dxa"/>
            <w:gridSpan w:val="2"/>
            <w:vAlign w:val="top"/>
          </w:tcPr>
          <w:p>
            <w:pPr>
              <w:widowControl/>
              <w:jc w:val="center"/>
              <w:rPr>
                <w:rFonts w:hint="eastAsia" w:ascii="宋体" w:hAnsi="宋体" w:cs="宋体"/>
                <w:color w:val="000000"/>
                <w:kern w:val="0"/>
                <w:sz w:val="20"/>
                <w:szCs w:val="20"/>
                <w:highlight w:val="none"/>
                <w:lang w:val="en-US" w:eastAsia="zh-CN"/>
              </w:rPr>
            </w:pPr>
          </w:p>
        </w:tc>
        <w:tc>
          <w:tcPr>
            <w:tcW w:w="536"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w:t>
            </w:r>
          </w:p>
        </w:tc>
        <w:tc>
          <w:tcPr>
            <w:tcW w:w="652" w:type="dxa"/>
            <w:vAlign w:val="top"/>
          </w:tcPr>
          <w:p>
            <w:pPr>
              <w:widowControl/>
              <w:jc w:val="right"/>
              <w:outlineLvl w:val="1"/>
              <w:rPr>
                <w:rFonts w:ascii="仿宋_GB2312" w:hAnsi="宋体" w:eastAsia="仿宋_GB2312"/>
                <w:kern w:val="0"/>
                <w:sz w:val="21"/>
                <w:szCs w:val="21"/>
                <w:highlight w:val="none"/>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国有企业党建智能管理系统</w:t>
            </w:r>
          </w:p>
        </w:tc>
        <w:tc>
          <w:tcPr>
            <w:tcW w:w="750" w:type="dxa"/>
            <w:vAlign w:val="top"/>
          </w:tcPr>
          <w:p>
            <w:pPr>
              <w:widowControl/>
              <w:jc w:val="right"/>
              <w:outlineLvl w:val="1"/>
              <w:rPr>
                <w:rFonts w:hint="eastAsia" w:asciiTheme="majorEastAsia" w:hAnsiTheme="majorEastAsia" w:eastAsiaTheme="majorEastAsia" w:cstheme="majorEastAsia"/>
                <w:kern w:val="0"/>
                <w:sz w:val="20"/>
                <w:szCs w:val="20"/>
                <w:highlight w:val="none"/>
                <w:lang w:val="en-US" w:eastAsia="zh-CN"/>
              </w:rPr>
            </w:pPr>
            <w:r>
              <w:rPr>
                <w:rFonts w:hint="eastAsia" w:asciiTheme="majorEastAsia" w:hAnsiTheme="majorEastAsia" w:eastAsiaTheme="majorEastAsia" w:cstheme="majorEastAsia"/>
                <w:kern w:val="0"/>
                <w:sz w:val="20"/>
                <w:szCs w:val="20"/>
                <w:highlight w:val="none"/>
                <w:lang w:val="en-US" w:eastAsia="zh-CN"/>
              </w:rPr>
              <w:t>5</w:t>
            </w:r>
          </w:p>
        </w:tc>
        <w:tc>
          <w:tcPr>
            <w:tcW w:w="569" w:type="dxa"/>
            <w:gridSpan w:val="2"/>
            <w:vAlign w:val="top"/>
          </w:tcPr>
          <w:p>
            <w:pPr>
              <w:widowControl/>
              <w:jc w:val="right"/>
              <w:outlineLvl w:val="1"/>
              <w:rPr>
                <w:rFonts w:hint="eastAsia" w:asciiTheme="majorEastAsia" w:hAnsiTheme="majorEastAsia" w:eastAsiaTheme="majorEastAsia" w:cstheme="majorEastAsia"/>
                <w:kern w:val="0"/>
                <w:sz w:val="20"/>
                <w:szCs w:val="20"/>
                <w:highlight w:val="none"/>
              </w:rPr>
            </w:pPr>
          </w:p>
        </w:tc>
        <w:tc>
          <w:tcPr>
            <w:tcW w:w="536" w:type="dxa"/>
            <w:vAlign w:val="top"/>
          </w:tcPr>
          <w:p>
            <w:pPr>
              <w:widowControl/>
              <w:jc w:val="right"/>
              <w:rPr>
                <w:rFonts w:hint="eastAsia" w:asciiTheme="majorEastAsia" w:hAnsiTheme="majorEastAsia" w:eastAsiaTheme="majorEastAsia" w:cstheme="majorEastAsia"/>
                <w:color w:val="000000"/>
                <w:kern w:val="0"/>
                <w:sz w:val="20"/>
                <w:szCs w:val="20"/>
                <w:highlight w:val="none"/>
                <w:lang w:val="en-US" w:eastAsia="zh-CN"/>
              </w:rPr>
            </w:pPr>
            <w:r>
              <w:rPr>
                <w:rFonts w:hint="eastAsia" w:asciiTheme="majorEastAsia" w:hAnsiTheme="majorEastAsia" w:eastAsiaTheme="majorEastAsia" w:cstheme="majorEastAsia"/>
                <w:color w:val="000000"/>
                <w:kern w:val="0"/>
                <w:sz w:val="20"/>
                <w:szCs w:val="20"/>
                <w:highlight w:val="none"/>
                <w:lang w:val="en-US" w:eastAsia="zh-CN"/>
              </w:rPr>
              <w:t>5</w:t>
            </w:r>
          </w:p>
        </w:tc>
        <w:tc>
          <w:tcPr>
            <w:tcW w:w="652" w:type="dxa"/>
            <w:vAlign w:val="top"/>
          </w:tcPr>
          <w:p>
            <w:pPr>
              <w:widowControl/>
              <w:jc w:val="right"/>
              <w:outlineLvl w:val="1"/>
              <w:rPr>
                <w:rFonts w:ascii="仿宋_GB2312" w:hAnsi="宋体" w:eastAsia="仿宋_GB2312"/>
                <w:kern w:val="0"/>
                <w:sz w:val="32"/>
                <w:szCs w:val="32"/>
                <w:highlight w:val="none"/>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律师咨询费</w:t>
            </w:r>
          </w:p>
        </w:tc>
        <w:tc>
          <w:tcPr>
            <w:tcW w:w="750" w:type="dxa"/>
            <w:vAlign w:val="top"/>
          </w:tcPr>
          <w:p>
            <w:pPr>
              <w:widowControl/>
              <w:jc w:val="right"/>
              <w:outlineLvl w:val="1"/>
              <w:rPr>
                <w:rFonts w:hint="eastAsia" w:asciiTheme="majorEastAsia" w:hAnsiTheme="majorEastAsia" w:eastAsiaTheme="majorEastAsia" w:cstheme="majorEastAsia"/>
                <w:kern w:val="0"/>
                <w:sz w:val="20"/>
                <w:szCs w:val="20"/>
                <w:highlight w:val="none"/>
                <w:lang w:val="en-US" w:eastAsia="zh-CN"/>
              </w:rPr>
            </w:pPr>
            <w:r>
              <w:rPr>
                <w:rFonts w:hint="eastAsia" w:asciiTheme="majorEastAsia" w:hAnsiTheme="majorEastAsia" w:eastAsiaTheme="majorEastAsia" w:cstheme="majorEastAsia"/>
                <w:kern w:val="0"/>
                <w:sz w:val="20"/>
                <w:szCs w:val="20"/>
                <w:highlight w:val="none"/>
                <w:lang w:val="en-US" w:eastAsia="zh-CN"/>
              </w:rPr>
              <w:t>4</w:t>
            </w:r>
          </w:p>
        </w:tc>
        <w:tc>
          <w:tcPr>
            <w:tcW w:w="569" w:type="dxa"/>
            <w:gridSpan w:val="2"/>
            <w:vAlign w:val="top"/>
          </w:tcPr>
          <w:p>
            <w:pPr>
              <w:widowControl/>
              <w:jc w:val="right"/>
              <w:outlineLvl w:val="1"/>
              <w:rPr>
                <w:rFonts w:hint="eastAsia" w:asciiTheme="majorEastAsia" w:hAnsiTheme="majorEastAsia" w:eastAsiaTheme="majorEastAsia" w:cstheme="majorEastAsia"/>
                <w:kern w:val="0"/>
                <w:sz w:val="20"/>
                <w:szCs w:val="20"/>
                <w:highlight w:val="none"/>
              </w:rPr>
            </w:pPr>
          </w:p>
        </w:tc>
        <w:tc>
          <w:tcPr>
            <w:tcW w:w="536" w:type="dxa"/>
            <w:vAlign w:val="top"/>
          </w:tcPr>
          <w:p>
            <w:pPr>
              <w:widowControl/>
              <w:jc w:val="right"/>
              <w:outlineLvl w:val="1"/>
              <w:rPr>
                <w:rFonts w:hint="eastAsia" w:asciiTheme="majorEastAsia" w:hAnsiTheme="majorEastAsia" w:eastAsiaTheme="majorEastAsia" w:cstheme="majorEastAsia"/>
                <w:kern w:val="0"/>
                <w:sz w:val="20"/>
                <w:szCs w:val="20"/>
                <w:highlight w:val="none"/>
                <w:lang w:val="en-US" w:eastAsia="zh-CN"/>
              </w:rPr>
            </w:pPr>
            <w:r>
              <w:rPr>
                <w:rFonts w:hint="eastAsia" w:asciiTheme="majorEastAsia" w:hAnsiTheme="majorEastAsia" w:eastAsiaTheme="majorEastAsia" w:cstheme="majorEastAsia"/>
                <w:color w:val="000000"/>
                <w:kern w:val="0"/>
                <w:sz w:val="20"/>
                <w:szCs w:val="20"/>
                <w:highlight w:val="none"/>
                <w:lang w:val="en-US" w:eastAsia="zh-CN"/>
              </w:rPr>
              <w:t>4</w:t>
            </w:r>
          </w:p>
        </w:tc>
        <w:tc>
          <w:tcPr>
            <w:tcW w:w="652" w:type="dxa"/>
            <w:vAlign w:val="top"/>
          </w:tcPr>
          <w:p>
            <w:pPr>
              <w:widowControl/>
              <w:jc w:val="right"/>
              <w:outlineLvl w:val="1"/>
              <w:rPr>
                <w:rFonts w:ascii="仿宋_GB2312" w:hAnsi="宋体" w:eastAsia="仿宋_GB2312"/>
                <w:kern w:val="0"/>
                <w:sz w:val="32"/>
                <w:szCs w:val="32"/>
                <w:highlight w:val="none"/>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554" w:type="dxa"/>
            <w:gridSpan w:val="2"/>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215</w:t>
            </w:r>
          </w:p>
        </w:tc>
        <w:tc>
          <w:tcPr>
            <w:tcW w:w="240"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07</w:t>
            </w:r>
          </w:p>
        </w:tc>
        <w:tc>
          <w:tcPr>
            <w:tcW w:w="39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02</w:t>
            </w:r>
          </w:p>
        </w:tc>
        <w:tc>
          <w:tcPr>
            <w:tcW w:w="1247" w:type="dxa"/>
            <w:vAlign w:val="top"/>
          </w:tcPr>
          <w:p>
            <w:pPr>
              <w:widowControl/>
              <w:jc w:val="center"/>
              <w:rPr>
                <w:rFonts w:ascii="仿宋_GB2312" w:hAnsi="宋体" w:eastAsia="仿宋_GB2312"/>
                <w:kern w:val="0"/>
                <w:sz w:val="32"/>
                <w:szCs w:val="32"/>
                <w:highlight w:val="none"/>
              </w:rPr>
            </w:pPr>
            <w:r>
              <w:rPr>
                <w:rFonts w:hint="eastAsia" w:ascii="宋体" w:hAnsi="宋体" w:cs="宋体"/>
                <w:color w:val="000000"/>
                <w:kern w:val="0"/>
                <w:sz w:val="20"/>
                <w:szCs w:val="20"/>
                <w:highlight w:val="none"/>
                <w:lang w:val="en-US" w:eastAsia="zh-CN"/>
              </w:rPr>
              <w:t>一般行政管理事务</w:t>
            </w:r>
          </w:p>
        </w:tc>
        <w:tc>
          <w:tcPr>
            <w:tcW w:w="1060" w:type="dxa"/>
            <w:vAlign w:val="top"/>
          </w:tcPr>
          <w:p>
            <w:pPr>
              <w:widowControl/>
              <w:jc w:val="center"/>
              <w:outlineLvl w:val="1"/>
              <w:rPr>
                <w:rFonts w:hint="default" w:ascii="仿宋_GB2312" w:hAnsi="宋体" w:eastAsia="仿宋_GB2312"/>
                <w:kern w:val="0"/>
                <w:sz w:val="32"/>
                <w:szCs w:val="32"/>
                <w:highlight w:val="none"/>
                <w:lang w:val="en-US" w:eastAsia="zh-CN"/>
              </w:rPr>
            </w:pPr>
            <w:r>
              <w:rPr>
                <w:rFonts w:hint="eastAsia" w:ascii="宋体" w:hAnsi="宋体" w:cs="宋体"/>
                <w:color w:val="000000"/>
                <w:kern w:val="0"/>
                <w:sz w:val="20"/>
                <w:szCs w:val="20"/>
                <w:highlight w:val="none"/>
                <w:lang w:val="en-US" w:eastAsia="zh-CN"/>
              </w:rPr>
              <w:t>微信平台公众号专项资金</w:t>
            </w:r>
          </w:p>
        </w:tc>
        <w:tc>
          <w:tcPr>
            <w:tcW w:w="750" w:type="dxa"/>
            <w:vAlign w:val="top"/>
          </w:tcPr>
          <w:p>
            <w:pPr>
              <w:widowControl/>
              <w:jc w:val="right"/>
              <w:outlineLvl w:val="1"/>
              <w:rPr>
                <w:rFonts w:hint="eastAsia" w:asciiTheme="majorEastAsia" w:hAnsiTheme="majorEastAsia" w:eastAsiaTheme="majorEastAsia" w:cstheme="majorEastAsia"/>
                <w:kern w:val="0"/>
                <w:sz w:val="20"/>
                <w:szCs w:val="20"/>
                <w:highlight w:val="none"/>
                <w:lang w:val="en-US" w:eastAsia="zh-CN"/>
              </w:rPr>
            </w:pPr>
            <w:r>
              <w:rPr>
                <w:rFonts w:hint="eastAsia" w:asciiTheme="majorEastAsia" w:hAnsiTheme="majorEastAsia" w:eastAsiaTheme="majorEastAsia" w:cstheme="majorEastAsia"/>
                <w:kern w:val="0"/>
                <w:sz w:val="20"/>
                <w:szCs w:val="20"/>
                <w:highlight w:val="none"/>
                <w:lang w:val="en-US" w:eastAsia="zh-CN"/>
              </w:rPr>
              <w:t>3</w:t>
            </w:r>
          </w:p>
        </w:tc>
        <w:tc>
          <w:tcPr>
            <w:tcW w:w="569" w:type="dxa"/>
            <w:gridSpan w:val="2"/>
            <w:vAlign w:val="top"/>
          </w:tcPr>
          <w:p>
            <w:pPr>
              <w:widowControl/>
              <w:jc w:val="right"/>
              <w:outlineLvl w:val="1"/>
              <w:rPr>
                <w:rFonts w:hint="eastAsia" w:asciiTheme="majorEastAsia" w:hAnsiTheme="majorEastAsia" w:eastAsiaTheme="majorEastAsia" w:cstheme="majorEastAsia"/>
                <w:kern w:val="0"/>
                <w:sz w:val="20"/>
                <w:szCs w:val="20"/>
                <w:highlight w:val="none"/>
              </w:rPr>
            </w:pPr>
          </w:p>
        </w:tc>
        <w:tc>
          <w:tcPr>
            <w:tcW w:w="536" w:type="dxa"/>
            <w:vAlign w:val="top"/>
          </w:tcPr>
          <w:p>
            <w:pPr>
              <w:widowControl/>
              <w:jc w:val="right"/>
              <w:outlineLvl w:val="1"/>
              <w:rPr>
                <w:rFonts w:hint="eastAsia" w:asciiTheme="majorEastAsia" w:hAnsiTheme="majorEastAsia" w:eastAsiaTheme="majorEastAsia" w:cstheme="majorEastAsia"/>
                <w:kern w:val="0"/>
                <w:sz w:val="20"/>
                <w:szCs w:val="20"/>
                <w:highlight w:val="none"/>
                <w:lang w:val="en-US" w:eastAsia="zh-CN"/>
              </w:rPr>
            </w:pPr>
            <w:r>
              <w:rPr>
                <w:rFonts w:hint="eastAsia" w:asciiTheme="majorEastAsia" w:hAnsiTheme="majorEastAsia" w:eastAsiaTheme="majorEastAsia" w:cstheme="majorEastAsia"/>
                <w:color w:val="000000"/>
                <w:kern w:val="0"/>
                <w:sz w:val="20"/>
                <w:szCs w:val="20"/>
                <w:highlight w:val="none"/>
                <w:lang w:val="en-US" w:eastAsia="zh-CN"/>
              </w:rPr>
              <w:t>3</w:t>
            </w:r>
          </w:p>
        </w:tc>
        <w:tc>
          <w:tcPr>
            <w:tcW w:w="652" w:type="dxa"/>
            <w:vAlign w:val="top"/>
          </w:tcPr>
          <w:p>
            <w:pPr>
              <w:widowControl/>
              <w:jc w:val="right"/>
              <w:outlineLvl w:val="1"/>
              <w:rPr>
                <w:rFonts w:ascii="仿宋_GB2312" w:hAnsi="宋体" w:eastAsia="仿宋_GB2312"/>
                <w:kern w:val="0"/>
                <w:sz w:val="32"/>
                <w:szCs w:val="32"/>
                <w:highlight w:val="none"/>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54" w:type="dxa"/>
            <w:gridSpan w:val="2"/>
            <w:vAlign w:val="top"/>
          </w:tcPr>
          <w:p>
            <w:pPr>
              <w:widowControl/>
              <w:jc w:val="center"/>
              <w:outlineLvl w:val="1"/>
              <w:rPr>
                <w:rFonts w:ascii="仿宋_GB2312" w:hAnsi="宋体" w:eastAsia="仿宋_GB2312"/>
                <w:kern w:val="0"/>
                <w:sz w:val="32"/>
                <w:szCs w:val="32"/>
                <w:highlight w:val="none"/>
              </w:rPr>
            </w:pPr>
          </w:p>
        </w:tc>
        <w:tc>
          <w:tcPr>
            <w:tcW w:w="240" w:type="dxa"/>
            <w:vAlign w:val="top"/>
          </w:tcPr>
          <w:p>
            <w:pPr>
              <w:widowControl/>
              <w:jc w:val="center"/>
              <w:outlineLvl w:val="1"/>
              <w:rPr>
                <w:rFonts w:ascii="仿宋_GB2312" w:hAnsi="宋体" w:eastAsia="仿宋_GB2312"/>
                <w:kern w:val="0"/>
                <w:sz w:val="32"/>
                <w:szCs w:val="32"/>
                <w:highlight w:val="none"/>
              </w:rPr>
            </w:pPr>
          </w:p>
        </w:tc>
        <w:tc>
          <w:tcPr>
            <w:tcW w:w="397" w:type="dxa"/>
            <w:vAlign w:val="top"/>
          </w:tcPr>
          <w:p>
            <w:pPr>
              <w:widowControl/>
              <w:jc w:val="center"/>
              <w:outlineLvl w:val="1"/>
              <w:rPr>
                <w:rFonts w:ascii="仿宋_GB2312" w:hAnsi="宋体" w:eastAsia="仿宋_GB2312"/>
                <w:kern w:val="0"/>
                <w:sz w:val="32"/>
                <w:szCs w:val="32"/>
                <w:highlight w:val="none"/>
              </w:rPr>
            </w:pPr>
          </w:p>
        </w:tc>
        <w:tc>
          <w:tcPr>
            <w:tcW w:w="1247" w:type="dxa"/>
            <w:vAlign w:val="top"/>
          </w:tcPr>
          <w:p>
            <w:pPr>
              <w:widowControl/>
              <w:jc w:val="center"/>
              <w:outlineLvl w:val="1"/>
              <w:rPr>
                <w:rFonts w:ascii="仿宋_GB2312" w:hAnsi="宋体" w:eastAsia="仿宋_GB2312"/>
                <w:kern w:val="0"/>
                <w:sz w:val="32"/>
                <w:szCs w:val="32"/>
                <w:highlight w:val="none"/>
              </w:rPr>
            </w:pPr>
          </w:p>
        </w:tc>
        <w:tc>
          <w:tcPr>
            <w:tcW w:w="1060" w:type="dxa"/>
            <w:vAlign w:val="center"/>
          </w:tcPr>
          <w:p>
            <w:pPr>
              <w:widowControl/>
              <w:jc w:val="center"/>
              <w:outlineLvl w:val="1"/>
              <w:rPr>
                <w:rFonts w:hint="eastAsia" w:ascii="仿宋_GB2312" w:hAnsi="宋体" w:eastAsia="仿宋_GB2312"/>
                <w:b/>
                <w:bCs/>
                <w:kern w:val="0"/>
                <w:szCs w:val="21"/>
                <w:highlight w:val="none"/>
              </w:rPr>
            </w:pPr>
          </w:p>
        </w:tc>
        <w:tc>
          <w:tcPr>
            <w:tcW w:w="750" w:type="dxa"/>
            <w:vAlign w:val="center"/>
          </w:tcPr>
          <w:p>
            <w:pPr>
              <w:widowControl/>
              <w:jc w:val="right"/>
              <w:outlineLvl w:val="1"/>
              <w:rPr>
                <w:rFonts w:ascii="仿宋_GB2312" w:hAnsi="宋体" w:eastAsia="仿宋_GB2312"/>
                <w:kern w:val="0"/>
                <w:szCs w:val="21"/>
                <w:highlight w:val="none"/>
              </w:rPr>
            </w:pPr>
          </w:p>
        </w:tc>
        <w:tc>
          <w:tcPr>
            <w:tcW w:w="569" w:type="dxa"/>
            <w:gridSpan w:val="2"/>
            <w:vAlign w:val="top"/>
          </w:tcPr>
          <w:p>
            <w:pPr>
              <w:widowControl/>
              <w:jc w:val="right"/>
              <w:outlineLvl w:val="1"/>
              <w:rPr>
                <w:rFonts w:ascii="仿宋_GB2312" w:hAnsi="宋体" w:eastAsia="仿宋_GB2312"/>
                <w:kern w:val="0"/>
                <w:sz w:val="32"/>
                <w:szCs w:val="32"/>
                <w:highlight w:val="none"/>
              </w:rPr>
            </w:pPr>
          </w:p>
        </w:tc>
        <w:tc>
          <w:tcPr>
            <w:tcW w:w="536" w:type="dxa"/>
            <w:vAlign w:val="top"/>
          </w:tcPr>
          <w:p>
            <w:pPr>
              <w:widowControl/>
              <w:jc w:val="right"/>
              <w:outlineLvl w:val="1"/>
              <w:rPr>
                <w:rFonts w:hint="eastAsia" w:ascii="宋体" w:hAnsi="宋体" w:cs="宋体"/>
                <w:color w:val="000000"/>
                <w:kern w:val="0"/>
                <w:sz w:val="20"/>
                <w:szCs w:val="20"/>
                <w:highlight w:val="none"/>
                <w:lang w:val="en-US" w:eastAsia="zh-CN"/>
              </w:rPr>
            </w:pPr>
          </w:p>
        </w:tc>
        <w:tc>
          <w:tcPr>
            <w:tcW w:w="652" w:type="dxa"/>
            <w:vAlign w:val="top"/>
          </w:tcPr>
          <w:p>
            <w:pPr>
              <w:widowControl/>
              <w:jc w:val="right"/>
              <w:outlineLvl w:val="1"/>
              <w:rPr>
                <w:rFonts w:hint="eastAsia" w:ascii="宋体" w:hAnsi="宋体" w:cs="宋体"/>
                <w:color w:val="000000"/>
                <w:kern w:val="0"/>
                <w:sz w:val="20"/>
                <w:szCs w:val="20"/>
                <w:highlight w:val="none"/>
                <w:lang w:val="en-US" w:eastAsia="zh-CN"/>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54" w:type="dxa"/>
            <w:gridSpan w:val="2"/>
            <w:vAlign w:val="top"/>
          </w:tcPr>
          <w:p>
            <w:pPr>
              <w:widowControl/>
              <w:jc w:val="center"/>
              <w:outlineLvl w:val="1"/>
              <w:rPr>
                <w:rFonts w:ascii="仿宋_GB2312" w:hAnsi="宋体" w:eastAsia="仿宋_GB2312"/>
                <w:kern w:val="0"/>
                <w:sz w:val="32"/>
                <w:szCs w:val="32"/>
                <w:highlight w:val="none"/>
              </w:rPr>
            </w:pPr>
          </w:p>
        </w:tc>
        <w:tc>
          <w:tcPr>
            <w:tcW w:w="240" w:type="dxa"/>
            <w:vAlign w:val="top"/>
          </w:tcPr>
          <w:p>
            <w:pPr>
              <w:widowControl/>
              <w:jc w:val="center"/>
              <w:outlineLvl w:val="1"/>
              <w:rPr>
                <w:rFonts w:ascii="仿宋_GB2312" w:hAnsi="宋体" w:eastAsia="仿宋_GB2312"/>
                <w:kern w:val="0"/>
                <w:sz w:val="32"/>
                <w:szCs w:val="32"/>
                <w:highlight w:val="none"/>
              </w:rPr>
            </w:pPr>
          </w:p>
        </w:tc>
        <w:tc>
          <w:tcPr>
            <w:tcW w:w="397" w:type="dxa"/>
            <w:vAlign w:val="top"/>
          </w:tcPr>
          <w:p>
            <w:pPr>
              <w:widowControl/>
              <w:jc w:val="center"/>
              <w:outlineLvl w:val="1"/>
              <w:rPr>
                <w:rFonts w:ascii="仿宋_GB2312" w:hAnsi="宋体" w:eastAsia="仿宋_GB2312"/>
                <w:kern w:val="0"/>
                <w:sz w:val="32"/>
                <w:szCs w:val="32"/>
                <w:highlight w:val="none"/>
              </w:rPr>
            </w:pPr>
          </w:p>
        </w:tc>
        <w:tc>
          <w:tcPr>
            <w:tcW w:w="1247" w:type="dxa"/>
            <w:vAlign w:val="top"/>
          </w:tcPr>
          <w:p>
            <w:pPr>
              <w:widowControl/>
              <w:jc w:val="center"/>
              <w:outlineLvl w:val="1"/>
              <w:rPr>
                <w:rFonts w:ascii="仿宋_GB2312" w:hAnsi="宋体" w:eastAsia="仿宋_GB2312"/>
                <w:kern w:val="0"/>
                <w:sz w:val="32"/>
                <w:szCs w:val="32"/>
                <w:highlight w:val="none"/>
              </w:rPr>
            </w:pPr>
          </w:p>
        </w:tc>
        <w:tc>
          <w:tcPr>
            <w:tcW w:w="1060" w:type="dxa"/>
            <w:vAlign w:val="center"/>
          </w:tcPr>
          <w:p>
            <w:pPr>
              <w:widowControl/>
              <w:jc w:val="center"/>
              <w:outlineLvl w:val="1"/>
              <w:rPr>
                <w:rFonts w:hint="eastAsia" w:ascii="仿宋_GB2312" w:hAnsi="宋体" w:eastAsia="仿宋_GB2312"/>
                <w:b/>
                <w:bCs/>
                <w:kern w:val="0"/>
                <w:szCs w:val="21"/>
                <w:highlight w:val="none"/>
              </w:rPr>
            </w:pPr>
          </w:p>
        </w:tc>
        <w:tc>
          <w:tcPr>
            <w:tcW w:w="750" w:type="dxa"/>
            <w:vAlign w:val="center"/>
          </w:tcPr>
          <w:p>
            <w:pPr>
              <w:widowControl/>
              <w:jc w:val="right"/>
              <w:outlineLvl w:val="1"/>
              <w:rPr>
                <w:rFonts w:ascii="仿宋_GB2312" w:hAnsi="宋体" w:eastAsia="仿宋_GB2312"/>
                <w:kern w:val="0"/>
                <w:szCs w:val="21"/>
                <w:highlight w:val="none"/>
              </w:rPr>
            </w:pPr>
          </w:p>
        </w:tc>
        <w:tc>
          <w:tcPr>
            <w:tcW w:w="569" w:type="dxa"/>
            <w:gridSpan w:val="2"/>
            <w:vAlign w:val="top"/>
          </w:tcPr>
          <w:p>
            <w:pPr>
              <w:widowControl/>
              <w:jc w:val="right"/>
              <w:outlineLvl w:val="1"/>
              <w:rPr>
                <w:rFonts w:ascii="仿宋_GB2312" w:hAnsi="宋体" w:eastAsia="仿宋_GB2312"/>
                <w:kern w:val="0"/>
                <w:sz w:val="32"/>
                <w:szCs w:val="32"/>
                <w:highlight w:val="none"/>
              </w:rPr>
            </w:pPr>
          </w:p>
        </w:tc>
        <w:tc>
          <w:tcPr>
            <w:tcW w:w="536" w:type="dxa"/>
            <w:vAlign w:val="top"/>
          </w:tcPr>
          <w:p>
            <w:pPr>
              <w:widowControl/>
              <w:jc w:val="right"/>
              <w:outlineLvl w:val="1"/>
              <w:rPr>
                <w:rFonts w:hint="eastAsia" w:ascii="宋体" w:hAnsi="宋体" w:cs="宋体"/>
                <w:color w:val="000000"/>
                <w:kern w:val="0"/>
                <w:sz w:val="20"/>
                <w:szCs w:val="20"/>
                <w:highlight w:val="none"/>
                <w:lang w:val="en-US" w:eastAsia="zh-CN"/>
              </w:rPr>
            </w:pPr>
          </w:p>
        </w:tc>
        <w:tc>
          <w:tcPr>
            <w:tcW w:w="652" w:type="dxa"/>
            <w:vAlign w:val="top"/>
          </w:tcPr>
          <w:p>
            <w:pPr>
              <w:widowControl/>
              <w:jc w:val="right"/>
              <w:outlineLvl w:val="1"/>
              <w:rPr>
                <w:rFonts w:hint="eastAsia" w:ascii="宋体" w:hAnsi="宋体" w:cs="宋体"/>
                <w:color w:val="000000"/>
                <w:kern w:val="0"/>
                <w:sz w:val="20"/>
                <w:szCs w:val="20"/>
                <w:highlight w:val="none"/>
                <w:lang w:val="en-US" w:eastAsia="zh-CN"/>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54" w:type="dxa"/>
            <w:gridSpan w:val="2"/>
            <w:vAlign w:val="top"/>
          </w:tcPr>
          <w:p>
            <w:pPr>
              <w:widowControl/>
              <w:jc w:val="center"/>
              <w:outlineLvl w:val="1"/>
              <w:rPr>
                <w:rFonts w:ascii="仿宋_GB2312" w:hAnsi="宋体" w:eastAsia="仿宋_GB2312"/>
                <w:kern w:val="0"/>
                <w:sz w:val="32"/>
                <w:szCs w:val="32"/>
                <w:highlight w:val="none"/>
              </w:rPr>
            </w:pPr>
          </w:p>
        </w:tc>
        <w:tc>
          <w:tcPr>
            <w:tcW w:w="240" w:type="dxa"/>
            <w:vAlign w:val="top"/>
          </w:tcPr>
          <w:p>
            <w:pPr>
              <w:widowControl/>
              <w:jc w:val="center"/>
              <w:outlineLvl w:val="1"/>
              <w:rPr>
                <w:rFonts w:ascii="仿宋_GB2312" w:hAnsi="宋体" w:eastAsia="仿宋_GB2312"/>
                <w:kern w:val="0"/>
                <w:sz w:val="32"/>
                <w:szCs w:val="32"/>
                <w:highlight w:val="none"/>
              </w:rPr>
            </w:pPr>
          </w:p>
        </w:tc>
        <w:tc>
          <w:tcPr>
            <w:tcW w:w="397" w:type="dxa"/>
            <w:vAlign w:val="top"/>
          </w:tcPr>
          <w:p>
            <w:pPr>
              <w:widowControl/>
              <w:jc w:val="center"/>
              <w:outlineLvl w:val="1"/>
              <w:rPr>
                <w:rFonts w:ascii="仿宋_GB2312" w:hAnsi="宋体" w:eastAsia="仿宋_GB2312"/>
                <w:kern w:val="0"/>
                <w:sz w:val="32"/>
                <w:szCs w:val="32"/>
                <w:highlight w:val="none"/>
              </w:rPr>
            </w:pPr>
          </w:p>
        </w:tc>
        <w:tc>
          <w:tcPr>
            <w:tcW w:w="1247" w:type="dxa"/>
            <w:vAlign w:val="top"/>
          </w:tcPr>
          <w:p>
            <w:pPr>
              <w:widowControl/>
              <w:jc w:val="center"/>
              <w:outlineLvl w:val="1"/>
              <w:rPr>
                <w:rFonts w:ascii="仿宋_GB2312" w:hAnsi="宋体" w:eastAsia="仿宋_GB2312"/>
                <w:kern w:val="0"/>
                <w:sz w:val="32"/>
                <w:szCs w:val="32"/>
                <w:highlight w:val="none"/>
              </w:rPr>
            </w:pPr>
          </w:p>
        </w:tc>
        <w:tc>
          <w:tcPr>
            <w:tcW w:w="1060"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widowControl/>
              <w:jc w:val="right"/>
              <w:outlineLvl w:val="1"/>
              <w:rPr>
                <w:rFonts w:ascii="仿宋_GB2312" w:hAnsi="宋体" w:eastAsia="仿宋_GB2312"/>
                <w:kern w:val="0"/>
                <w:szCs w:val="21"/>
                <w:highlight w:val="none"/>
              </w:rPr>
            </w:pPr>
          </w:p>
        </w:tc>
        <w:tc>
          <w:tcPr>
            <w:tcW w:w="569" w:type="dxa"/>
            <w:gridSpan w:val="2"/>
            <w:vAlign w:val="top"/>
          </w:tcPr>
          <w:p>
            <w:pPr>
              <w:widowControl/>
              <w:jc w:val="right"/>
              <w:outlineLvl w:val="1"/>
              <w:rPr>
                <w:rFonts w:ascii="仿宋_GB2312" w:hAnsi="宋体" w:eastAsia="仿宋_GB2312"/>
                <w:kern w:val="0"/>
                <w:sz w:val="32"/>
                <w:szCs w:val="32"/>
                <w:highlight w:val="none"/>
              </w:rPr>
            </w:pPr>
          </w:p>
        </w:tc>
        <w:tc>
          <w:tcPr>
            <w:tcW w:w="536" w:type="dxa"/>
            <w:vAlign w:val="top"/>
          </w:tcPr>
          <w:p>
            <w:pPr>
              <w:widowControl/>
              <w:jc w:val="right"/>
              <w:outlineLvl w:val="1"/>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153</w:t>
            </w:r>
          </w:p>
        </w:tc>
        <w:tc>
          <w:tcPr>
            <w:tcW w:w="652" w:type="dxa"/>
            <w:vAlign w:val="top"/>
          </w:tcPr>
          <w:p>
            <w:pPr>
              <w:widowControl/>
              <w:jc w:val="right"/>
              <w:outlineLvl w:val="1"/>
              <w:rPr>
                <w:rFonts w:hint="eastAsia" w:ascii="宋体" w:hAnsi="宋体" w:cs="宋体"/>
                <w:color w:val="000000"/>
                <w:kern w:val="0"/>
                <w:sz w:val="20"/>
                <w:szCs w:val="20"/>
                <w:highlight w:val="none"/>
                <w:lang w:val="en-US" w:eastAsia="zh-CN"/>
              </w:rPr>
            </w:pPr>
          </w:p>
        </w:tc>
        <w:tc>
          <w:tcPr>
            <w:tcW w:w="652" w:type="dxa"/>
            <w:vAlign w:val="top"/>
          </w:tcPr>
          <w:p>
            <w:pPr>
              <w:widowControl/>
              <w:jc w:val="right"/>
              <w:outlineLvl w:val="1"/>
              <w:rPr>
                <w:rFonts w:ascii="仿宋_GB2312" w:hAnsi="宋体" w:eastAsia="仿宋_GB2312"/>
                <w:kern w:val="0"/>
                <w:sz w:val="32"/>
                <w:szCs w:val="32"/>
                <w:highlight w:val="none"/>
              </w:rPr>
            </w:pPr>
          </w:p>
        </w:tc>
        <w:tc>
          <w:tcPr>
            <w:tcW w:w="578" w:type="dxa"/>
            <w:gridSpan w:val="2"/>
            <w:vAlign w:val="top"/>
          </w:tcPr>
          <w:p>
            <w:pPr>
              <w:widowControl/>
              <w:jc w:val="right"/>
              <w:outlineLvl w:val="1"/>
              <w:rPr>
                <w:rFonts w:ascii="仿宋_GB2312" w:hAnsi="宋体" w:eastAsia="仿宋_GB2312"/>
                <w:kern w:val="0"/>
                <w:sz w:val="32"/>
                <w:szCs w:val="32"/>
                <w:highlight w:val="none"/>
              </w:rPr>
            </w:pPr>
          </w:p>
        </w:tc>
        <w:tc>
          <w:tcPr>
            <w:tcW w:w="419" w:type="dxa"/>
            <w:vAlign w:val="top"/>
          </w:tcPr>
          <w:p>
            <w:pPr>
              <w:widowControl/>
              <w:jc w:val="right"/>
              <w:outlineLvl w:val="1"/>
              <w:rPr>
                <w:rFonts w:ascii="仿宋_GB2312" w:hAnsi="宋体" w:eastAsia="仿宋_GB2312"/>
                <w:kern w:val="0"/>
                <w:sz w:val="32"/>
                <w:szCs w:val="32"/>
                <w:highlight w:val="none"/>
              </w:rPr>
            </w:pPr>
          </w:p>
        </w:tc>
        <w:tc>
          <w:tcPr>
            <w:tcW w:w="578"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20" w:type="dxa"/>
            <w:vAlign w:val="top"/>
          </w:tcPr>
          <w:p>
            <w:pPr>
              <w:widowControl/>
              <w:jc w:val="right"/>
              <w:outlineLvl w:val="1"/>
              <w:rPr>
                <w:rFonts w:ascii="仿宋_GB2312" w:hAnsi="宋体" w:eastAsia="仿宋_GB2312"/>
                <w:kern w:val="0"/>
                <w:sz w:val="32"/>
                <w:szCs w:val="32"/>
                <w:highlight w:val="none"/>
              </w:rPr>
            </w:pPr>
          </w:p>
        </w:tc>
        <w:tc>
          <w:tcPr>
            <w:tcW w:w="468" w:type="dxa"/>
            <w:gridSpan w:val="2"/>
            <w:vAlign w:val="top"/>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昌吉州国资委</w:t>
      </w:r>
      <w:r>
        <w:rPr>
          <w:rFonts w:hint="eastAsia" w:ascii="仿宋_GB2312" w:hAnsi="宋体" w:eastAsia="仿宋_GB2312"/>
          <w:kern w:val="0"/>
          <w:sz w:val="24"/>
          <w:highlight w:val="none"/>
        </w:rPr>
        <w:t xml:space="preserve">                                             单位：万元</w:t>
      </w:r>
    </w:p>
    <w:tbl>
      <w:tblPr>
        <w:tblStyle w:val="6"/>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3.75</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3.4</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3.4</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lang w:val="en-US" w:eastAsia="zh-CN"/>
              </w:rPr>
              <w:t>0.35</w:t>
            </w:r>
            <w:r>
              <w:rPr>
                <w:rFonts w:hint="eastAsia" w:ascii="宋体" w:hAnsi="宋体" w:cs="宋体"/>
                <w:color w:val="000000"/>
                <w:kern w:val="0"/>
                <w:sz w:val="24"/>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p>
    <w:p>
      <w:pPr>
        <w:widowControl/>
        <w:jc w:val="left"/>
        <w:textAlignment w:val="bottom"/>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昌吉州国资委</w:t>
      </w:r>
      <w:r>
        <w:rPr>
          <w:rFonts w:hint="eastAsia" w:ascii="仿宋_GB2312" w:hAnsi="宋体" w:eastAsia="仿宋_GB2312"/>
          <w:kern w:val="0"/>
          <w:sz w:val="24"/>
          <w:highlight w:val="none"/>
        </w:rPr>
        <w:t xml:space="preserve">                              单位：万元</w:t>
      </w:r>
    </w:p>
    <w:tbl>
      <w:tblPr>
        <w:tblStyle w:val="6"/>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b/>
                <w:bCs/>
                <w:color w:val="000000"/>
                <w:kern w:val="0"/>
                <w:sz w:val="32"/>
                <w:szCs w:val="3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spacing w:line="280" w:lineRule="exact"/>
        <w:jc w:val="left"/>
        <w:outlineLvl w:val="1"/>
        <w:rPr>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w:t>
      </w:r>
      <w:r>
        <w:rPr>
          <w:rFonts w:hint="eastAsia" w:ascii="黑体" w:hAnsi="黑体" w:eastAsia="黑体"/>
          <w:kern w:val="0"/>
          <w:sz w:val="32"/>
          <w:szCs w:val="32"/>
          <w:highlight w:val="none"/>
          <w:lang w:val="en-US" w:eastAsia="zh-CN"/>
        </w:rPr>
        <w:t>昌吉州国资委</w:t>
      </w:r>
      <w:r>
        <w:rPr>
          <w:rFonts w:hint="eastAsia" w:ascii="黑体" w:hAnsi="黑体" w:eastAsia="黑体"/>
          <w:kern w:val="0"/>
          <w:sz w:val="32"/>
          <w:szCs w:val="32"/>
          <w:highlight w:val="none"/>
        </w:rPr>
        <w:t>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w:t>
      </w:r>
      <w:r>
        <w:rPr>
          <w:rFonts w:hint="eastAsia" w:ascii="楷体_GB2312" w:hAnsi="楷体_GB2312" w:eastAsia="楷体_GB2312" w:cs="楷体_GB2312"/>
          <w:b/>
          <w:kern w:val="0"/>
          <w:sz w:val="32"/>
          <w:szCs w:val="32"/>
          <w:highlight w:val="none"/>
          <w:lang w:val="en-US" w:eastAsia="zh-CN"/>
        </w:rPr>
        <w:t>昌吉州国资委</w:t>
      </w:r>
      <w:r>
        <w:rPr>
          <w:rFonts w:hint="eastAsia" w:ascii="楷体_GB2312" w:hAnsi="楷体_GB2312" w:eastAsia="楷体_GB2312" w:cs="楷体_GB2312"/>
          <w:b/>
          <w:kern w:val="0"/>
          <w:sz w:val="32"/>
          <w:szCs w:val="32"/>
          <w:highlight w:val="none"/>
        </w:rPr>
        <w:t>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val="en-US" w:eastAsia="zh-CN"/>
        </w:rPr>
        <w:t>昌吉州国资委</w:t>
      </w:r>
      <w:r>
        <w:rPr>
          <w:rFonts w:hint="eastAsia" w:ascii="仿宋_GB2312" w:hAnsi="宋体" w:eastAsia="仿宋_GB2312" w:cs="宋体"/>
          <w:kern w:val="0"/>
          <w:sz w:val="32"/>
          <w:szCs w:val="32"/>
          <w:highlight w:val="none"/>
        </w:rPr>
        <w:t>2022年所有收入和支出均纳入</w:t>
      </w:r>
      <w:r>
        <w:rPr>
          <w:rFonts w:hint="eastAsia" w:ascii="仿宋_GB2312" w:hAnsi="宋体" w:eastAsia="仿宋_GB2312" w:cs="宋体"/>
          <w:kern w:val="0"/>
          <w:sz w:val="32"/>
          <w:szCs w:val="32"/>
          <w:highlight w:val="none"/>
          <w:lang w:val="en-US" w:eastAsia="zh-CN"/>
        </w:rPr>
        <w:t>单位</w:t>
      </w:r>
      <w:r>
        <w:rPr>
          <w:rFonts w:hint="eastAsia" w:ascii="仿宋_GB2312" w:hAnsi="宋体" w:eastAsia="仿宋_GB2312" w:cs="宋体"/>
          <w:kern w:val="0"/>
          <w:sz w:val="32"/>
          <w:szCs w:val="32"/>
          <w:highlight w:val="none"/>
        </w:rPr>
        <w:t>预算管理。收支总预算</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w:t>
      </w:r>
      <w:r>
        <w:rPr>
          <w:rFonts w:hint="eastAsia" w:ascii="仿宋_GB2312" w:hAnsi="宋体" w:eastAsia="仿宋_GB2312" w:cs="宋体"/>
          <w:kern w:val="0"/>
          <w:sz w:val="32"/>
          <w:szCs w:val="32"/>
          <w:highlight w:val="none"/>
          <w:lang w:eastAsia="zh-CN"/>
        </w:rPr>
        <w:t>一般公共预算</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支出预算包括：</w:t>
      </w:r>
      <w:r>
        <w:rPr>
          <w:rFonts w:hint="eastAsia" w:ascii="仿宋_GB2312" w:hAnsi="宋体" w:eastAsia="仿宋_GB2312" w:cs="宋体"/>
          <w:kern w:val="0"/>
          <w:sz w:val="32"/>
          <w:szCs w:val="32"/>
          <w:highlight w:val="none"/>
        </w:rPr>
        <w:t>社会保障和就业支出、医疗卫生健康支出、资源勘探信息等支出、住房保障支出</w:t>
      </w:r>
      <w:r>
        <w:rPr>
          <w:rFonts w:hint="eastAsia" w:ascii="仿宋_GB2312" w:hAnsi="宋体" w:eastAsia="仿宋_GB2312" w:cs="宋体"/>
          <w:kern w:val="0"/>
          <w:sz w:val="32"/>
          <w:szCs w:val="32"/>
          <w:highlight w:val="none"/>
          <w:lang w:eastAsia="zh-CN"/>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bCs/>
          <w:kern w:val="0"/>
          <w:sz w:val="32"/>
          <w:szCs w:val="32"/>
          <w:highlight w:val="none"/>
          <w:lang w:val="en-US" w:eastAsia="zh-CN"/>
        </w:rPr>
        <w:t>昌吉州国资委</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昌吉州国资委</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25.01</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4.8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项目资金比去年增加</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bCs/>
          <w:kern w:val="0"/>
          <w:sz w:val="32"/>
          <w:szCs w:val="32"/>
          <w:highlight w:val="none"/>
          <w:lang w:val="en-US" w:eastAsia="zh-CN"/>
        </w:rPr>
        <w:t>昌吉州国资委</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昌吉州国资委</w:t>
      </w:r>
      <w:r>
        <w:rPr>
          <w:rFonts w:hint="eastAsia" w:ascii="仿宋_GB2312" w:hAnsi="宋体" w:eastAsia="仿宋_GB2312" w:cs="宋体"/>
          <w:kern w:val="0"/>
          <w:sz w:val="32"/>
          <w:szCs w:val="32"/>
          <w:highlight w:val="none"/>
        </w:rPr>
        <w:t>2022年支出预算</w:t>
      </w:r>
      <w:r>
        <w:rPr>
          <w:rFonts w:hint="eastAsia" w:ascii="仿宋_GB2312" w:hAnsi="宋体" w:eastAsia="仿宋_GB2312" w:cs="宋体"/>
          <w:kern w:val="0"/>
          <w:sz w:val="32"/>
          <w:szCs w:val="32"/>
          <w:highlight w:val="none"/>
          <w:lang w:val="en-US" w:eastAsia="zh-CN"/>
        </w:rPr>
        <w:t>550.8万</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397.8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72.2</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23.01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 xml:space="preserve"> 5.5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有一个手续未办完，实际预算人员比去年少一人</w:t>
      </w:r>
      <w:r>
        <w:rPr>
          <w:rFonts w:hint="eastAsia" w:ascii="仿宋_GB2312" w:hAnsi="宋体" w:eastAsia="仿宋_GB2312" w:cs="宋体"/>
          <w:kern w:val="0"/>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153</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27.8</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45.7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项目资金增加了48万元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年终财务审计费增加了33万元，运转类项目增加了15万元</w:t>
      </w:r>
      <w:r>
        <w:rPr>
          <w:rFonts w:hint="eastAsia" w:ascii="仿宋_GB2312" w:hAnsi="宋体" w:eastAsia="仿宋_GB2312" w:cs="宋体"/>
          <w:kern w:val="0"/>
          <w:sz w:val="32"/>
          <w:szCs w:val="32"/>
          <w:highlight w:val="none"/>
          <w:lang w:eastAsia="zh-CN"/>
        </w:rPr>
        <w:t>）。</w:t>
      </w:r>
    </w:p>
    <w:p>
      <w:pPr>
        <w:spacing w:line="560" w:lineRule="exact"/>
        <w:ind w:firstLine="619" w:firstLineChars="200"/>
        <w:rPr>
          <w:rFonts w:ascii="仿宋_GB2312" w:hAnsi="宋体" w:eastAsia="仿宋_GB2312" w:cs="宋体"/>
          <w:b/>
          <w:spacing w:val="-6"/>
          <w:kern w:val="0"/>
          <w:sz w:val="32"/>
          <w:szCs w:val="32"/>
          <w:highlight w:val="none"/>
        </w:rPr>
      </w:pP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w:t>
      </w:r>
      <w:r>
        <w:rPr>
          <w:rFonts w:hint="eastAsia" w:ascii="楷体_GB2312" w:hAnsi="楷体_GB2312" w:eastAsia="楷体_GB2312" w:cs="楷体_GB2312"/>
          <w:b/>
          <w:bCs/>
          <w:kern w:val="0"/>
          <w:sz w:val="32"/>
          <w:szCs w:val="32"/>
          <w:highlight w:val="none"/>
          <w:lang w:val="en-US" w:eastAsia="zh-CN"/>
        </w:rPr>
        <w:t>于昌吉州国资委</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550.8</w:t>
      </w:r>
      <w:r>
        <w:rPr>
          <w:rFonts w:hint="eastAsia" w:ascii="仿宋_GB2312" w:hAnsi="宋体" w:eastAsia="仿宋_GB2312" w:cs="宋体"/>
          <w:kern w:val="0"/>
          <w:sz w:val="32"/>
          <w:szCs w:val="32"/>
          <w:highlight w:val="none"/>
        </w:rPr>
        <w:t>万元，主要用于</w:t>
      </w:r>
      <w:r>
        <w:rPr>
          <w:rFonts w:hint="eastAsia" w:ascii="仿宋_GB2312" w:hAnsi="宋体" w:eastAsia="仿宋_GB2312" w:cs="宋体"/>
          <w:kern w:val="0"/>
          <w:sz w:val="32"/>
          <w:szCs w:val="32"/>
          <w:highlight w:val="none"/>
          <w:lang w:val="en-US" w:eastAsia="zh-CN"/>
        </w:rPr>
        <w:t>社会保障和就业支出37.31万元，卫生健康支出28.93万元，资源勘探工业信息等支出451.76万元，住房保障支出32.79万元</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昌吉州国资委</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昌吉州国资委</w:t>
      </w:r>
      <w:r>
        <w:rPr>
          <w:rFonts w:hint="eastAsia" w:ascii="仿宋_GB2312" w:hAnsi="仿宋_GB2312" w:eastAsia="仿宋_GB2312" w:cs="仿宋_GB2312"/>
          <w:kern w:val="0"/>
          <w:sz w:val="32"/>
          <w:szCs w:val="32"/>
          <w:highlight w:val="none"/>
        </w:rPr>
        <w:t>2022年一般公共预算拨款合计</w:t>
      </w:r>
      <w:r>
        <w:rPr>
          <w:rFonts w:hint="eastAsia" w:ascii="仿宋_GB2312" w:hAnsi="仿宋_GB2312" w:eastAsia="仿宋_GB2312" w:cs="仿宋_GB2312"/>
          <w:kern w:val="0"/>
          <w:sz w:val="32"/>
          <w:szCs w:val="32"/>
          <w:highlight w:val="none"/>
          <w:lang w:val="en-US" w:eastAsia="zh-CN"/>
        </w:rPr>
        <w:t>550.8</w:t>
      </w:r>
      <w:r>
        <w:rPr>
          <w:rFonts w:hint="eastAsia" w:ascii="仿宋_GB2312" w:hAnsi="仿宋_GB2312" w:eastAsia="仿宋_GB2312" w:cs="仿宋_GB2312"/>
          <w:kern w:val="0"/>
          <w:sz w:val="32"/>
          <w:szCs w:val="32"/>
          <w:highlight w:val="none"/>
        </w:rPr>
        <w:t>万元，其中：基本支出</w:t>
      </w:r>
      <w:r>
        <w:rPr>
          <w:rFonts w:hint="eastAsia" w:ascii="仿宋_GB2312" w:hAnsi="仿宋_GB2312" w:eastAsia="仿宋_GB2312" w:cs="仿宋_GB2312"/>
          <w:kern w:val="0"/>
          <w:sz w:val="32"/>
          <w:szCs w:val="32"/>
          <w:highlight w:val="none"/>
          <w:lang w:val="en-US" w:eastAsia="zh-CN"/>
        </w:rPr>
        <w:t>397.8</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23.01</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5.5</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人员减少一人</w:t>
      </w:r>
      <w:r>
        <w:rPr>
          <w:rFonts w:hint="eastAsia" w:ascii="仿宋_GB2312" w:hAnsi="仿宋_GB2312" w:eastAsia="仿宋_GB2312" w:cs="仿宋_GB2312"/>
          <w:kern w:val="0"/>
          <w:sz w:val="32"/>
          <w:szCs w:val="32"/>
          <w:highlight w:val="none"/>
        </w:rPr>
        <w:t>。项目支出</w:t>
      </w:r>
      <w:r>
        <w:rPr>
          <w:rFonts w:hint="eastAsia" w:ascii="仿宋_GB2312" w:hAnsi="仿宋_GB2312" w:eastAsia="仿宋_GB2312" w:cs="仿宋_GB2312"/>
          <w:kern w:val="0"/>
          <w:sz w:val="32"/>
          <w:szCs w:val="32"/>
          <w:highlight w:val="none"/>
          <w:lang w:val="en-US" w:eastAsia="zh-CN"/>
        </w:rPr>
        <w:t>153</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48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45.7</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项目资金的增加</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kern w:val="0"/>
          <w:sz w:val="32"/>
          <w:szCs w:val="32"/>
          <w:highlight w:val="none"/>
          <w:lang w:val="en-US" w:eastAsia="zh-CN"/>
        </w:rPr>
        <w:t>社会保障和就业支出合计37.31万元，占6.7%。</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2.卫生健康支出28.93万元，占5.2%。</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3.资源勘探工业信息等支出451.76万元，占82%。</w:t>
      </w:r>
    </w:p>
    <w:p>
      <w:pPr>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4.住房保障支出32.79万元，占6%。</w:t>
      </w:r>
    </w:p>
    <w:p>
      <w:pPr>
        <w:spacing w:line="560" w:lineRule="exact"/>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lang w:val="en-US" w:eastAsia="zh-CN"/>
        </w:rPr>
        <w:t xml:space="preserve">  </w:t>
      </w: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1.一般公共服务（类）财政事务（款）行政运行（项）:2022年预算数为</w:t>
      </w:r>
      <w:r>
        <w:rPr>
          <w:rFonts w:hint="eastAsia" w:ascii="仿宋_GB2312" w:hAnsi="仿宋_GB2312" w:eastAsia="仿宋_GB2312" w:cs="仿宋_GB2312"/>
          <w:kern w:val="0"/>
          <w:sz w:val="32"/>
          <w:szCs w:val="32"/>
          <w:highlight w:val="none"/>
          <w:lang w:val="en-US" w:eastAsia="zh-CN"/>
        </w:rPr>
        <w:t>550.8</w:t>
      </w:r>
      <w:r>
        <w:rPr>
          <w:rFonts w:hint="eastAsia" w:ascii="仿宋_GB2312" w:hAnsi="仿宋_GB2312" w:eastAsia="仿宋_GB2312" w:cs="仿宋_GB2312"/>
          <w:kern w:val="0"/>
          <w:sz w:val="32"/>
          <w:szCs w:val="32"/>
          <w:highlight w:val="none"/>
        </w:rPr>
        <w:t>万元，比上年预算增</w:t>
      </w:r>
      <w:r>
        <w:rPr>
          <w:rFonts w:hint="eastAsia" w:ascii="仿宋_GB2312" w:hAnsi="仿宋_GB2312" w:eastAsia="仿宋_GB2312" w:cs="仿宋_GB2312"/>
          <w:kern w:val="0"/>
          <w:sz w:val="32"/>
          <w:szCs w:val="32"/>
          <w:highlight w:val="none"/>
          <w:lang w:val="en-US" w:eastAsia="zh-CN"/>
        </w:rPr>
        <w:t>加24.99</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4.76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项目资金的增加。其中210卫生健康支出增加24.99万元。</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昌吉州国资委</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lang w:val="en-US" w:eastAsia="zh-CN"/>
        </w:rPr>
        <w:t>昌吉州国资委</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spacing w:val="-6"/>
          <w:kern w:val="0"/>
          <w:sz w:val="32"/>
          <w:szCs w:val="32"/>
          <w:highlight w:val="none"/>
          <w:lang w:val="en-US" w:eastAsia="zh-CN"/>
        </w:rPr>
        <w:t>397.8</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358.15</w:t>
      </w:r>
      <w:r>
        <w:rPr>
          <w:rFonts w:hint="eastAsia" w:ascii="仿宋_GB2312" w:hAnsi="宋体" w:eastAsia="仿宋_GB2312" w:cs="宋体"/>
          <w:kern w:val="0"/>
          <w:sz w:val="32"/>
          <w:szCs w:val="32"/>
          <w:highlight w:val="none"/>
        </w:rPr>
        <w:t>万元，主要包括：基本工资</w:t>
      </w:r>
      <w:r>
        <w:rPr>
          <w:rFonts w:hint="eastAsia" w:ascii="仿宋_GB2312" w:hAnsi="宋体" w:eastAsia="仿宋_GB2312" w:cs="宋体"/>
          <w:kern w:val="0"/>
          <w:sz w:val="32"/>
          <w:szCs w:val="32"/>
          <w:highlight w:val="none"/>
          <w:lang w:val="en-US" w:eastAsia="zh-CN"/>
        </w:rPr>
        <w:t>112.19万元</w:t>
      </w:r>
      <w:r>
        <w:rPr>
          <w:rFonts w:hint="eastAsia" w:ascii="仿宋_GB2312" w:hAnsi="宋体" w:eastAsia="仿宋_GB2312" w:cs="宋体"/>
          <w:kern w:val="0"/>
          <w:sz w:val="32"/>
          <w:szCs w:val="32"/>
          <w:highlight w:val="none"/>
        </w:rPr>
        <w:t>、津贴补贴</w:t>
      </w:r>
      <w:r>
        <w:rPr>
          <w:rFonts w:hint="eastAsia" w:ascii="仿宋_GB2312" w:hAnsi="宋体" w:eastAsia="仿宋_GB2312" w:cs="宋体"/>
          <w:kern w:val="0"/>
          <w:sz w:val="32"/>
          <w:szCs w:val="32"/>
          <w:highlight w:val="none"/>
          <w:lang w:val="en-US" w:eastAsia="zh-CN"/>
        </w:rPr>
        <w:t>76.2万元</w:t>
      </w:r>
      <w:r>
        <w:rPr>
          <w:rFonts w:hint="eastAsia" w:ascii="仿宋_GB2312" w:hAnsi="宋体" w:eastAsia="仿宋_GB2312" w:cs="宋体"/>
          <w:kern w:val="0"/>
          <w:sz w:val="32"/>
          <w:szCs w:val="32"/>
          <w:highlight w:val="none"/>
        </w:rPr>
        <w:t>、奖金</w:t>
      </w:r>
      <w:r>
        <w:rPr>
          <w:rFonts w:hint="eastAsia" w:ascii="仿宋_GB2312" w:hAnsi="宋体" w:eastAsia="仿宋_GB2312" w:cs="宋体"/>
          <w:kern w:val="0"/>
          <w:sz w:val="32"/>
          <w:szCs w:val="32"/>
          <w:highlight w:val="none"/>
          <w:lang w:val="en-US" w:eastAsia="zh-CN"/>
        </w:rPr>
        <w:t>9.17万元</w:t>
      </w:r>
      <w:r>
        <w:rPr>
          <w:rFonts w:hint="eastAsia" w:ascii="仿宋_GB2312" w:hAnsi="宋体" w:eastAsia="仿宋_GB2312" w:cs="宋体"/>
          <w:kern w:val="0"/>
          <w:sz w:val="32"/>
          <w:szCs w:val="32"/>
          <w:highlight w:val="none"/>
        </w:rPr>
        <w:t>、绩效工资</w:t>
      </w:r>
      <w:r>
        <w:rPr>
          <w:rFonts w:hint="eastAsia" w:ascii="仿宋_GB2312" w:hAnsi="宋体" w:eastAsia="仿宋_GB2312" w:cs="宋体"/>
          <w:kern w:val="0"/>
          <w:sz w:val="32"/>
          <w:szCs w:val="32"/>
          <w:highlight w:val="none"/>
          <w:lang w:val="en-US" w:eastAsia="zh-CN"/>
        </w:rPr>
        <w:t>34.93万元</w:t>
      </w:r>
      <w:r>
        <w:rPr>
          <w:rFonts w:hint="eastAsia" w:ascii="仿宋_GB2312" w:hAnsi="宋体" w:eastAsia="仿宋_GB2312" w:cs="宋体"/>
          <w:kern w:val="0"/>
          <w:sz w:val="32"/>
          <w:szCs w:val="32"/>
          <w:highlight w:val="none"/>
        </w:rPr>
        <w:t>、机关事业单位基本养老保险缴费</w:t>
      </w:r>
      <w:r>
        <w:rPr>
          <w:rFonts w:hint="eastAsia" w:ascii="仿宋_GB2312" w:hAnsi="宋体" w:eastAsia="仿宋_GB2312" w:cs="宋体"/>
          <w:kern w:val="0"/>
          <w:sz w:val="32"/>
          <w:szCs w:val="32"/>
          <w:highlight w:val="none"/>
          <w:lang w:val="en-US" w:eastAsia="zh-CN"/>
        </w:rPr>
        <w:t>36.81万元</w:t>
      </w:r>
      <w:r>
        <w:rPr>
          <w:rFonts w:hint="eastAsia" w:ascii="仿宋_GB2312" w:hAnsi="宋体" w:eastAsia="仿宋_GB2312" w:cs="宋体"/>
          <w:kern w:val="0"/>
          <w:sz w:val="32"/>
          <w:szCs w:val="32"/>
          <w:highlight w:val="none"/>
        </w:rPr>
        <w:t>、职工基本医疗保险缴费</w:t>
      </w:r>
      <w:r>
        <w:rPr>
          <w:rFonts w:hint="eastAsia" w:ascii="仿宋_GB2312" w:hAnsi="宋体" w:eastAsia="仿宋_GB2312" w:cs="宋体"/>
          <w:kern w:val="0"/>
          <w:sz w:val="32"/>
          <w:szCs w:val="32"/>
          <w:highlight w:val="none"/>
          <w:lang w:val="en-US" w:eastAsia="zh-CN"/>
        </w:rPr>
        <w:t>21.86万元</w:t>
      </w:r>
      <w:r>
        <w:rPr>
          <w:rFonts w:hint="eastAsia" w:ascii="仿宋_GB2312" w:hAnsi="宋体" w:eastAsia="仿宋_GB2312" w:cs="宋体"/>
          <w:kern w:val="0"/>
          <w:sz w:val="32"/>
          <w:szCs w:val="32"/>
          <w:highlight w:val="none"/>
        </w:rPr>
        <w:t>、公务员医疗补助缴费</w:t>
      </w:r>
      <w:r>
        <w:rPr>
          <w:rFonts w:hint="eastAsia" w:ascii="仿宋_GB2312" w:hAnsi="宋体" w:eastAsia="仿宋_GB2312" w:cs="宋体"/>
          <w:kern w:val="0"/>
          <w:sz w:val="32"/>
          <w:szCs w:val="32"/>
          <w:highlight w:val="none"/>
          <w:lang w:val="en-US" w:eastAsia="zh-CN"/>
        </w:rPr>
        <w:t>6.9万元</w:t>
      </w:r>
      <w:r>
        <w:rPr>
          <w:rFonts w:hint="eastAsia" w:ascii="仿宋_GB2312" w:hAnsi="宋体" w:eastAsia="仿宋_GB2312" w:cs="宋体"/>
          <w:kern w:val="0"/>
          <w:sz w:val="32"/>
          <w:szCs w:val="32"/>
          <w:highlight w:val="none"/>
        </w:rPr>
        <w:t>、其他社会保障缴费</w:t>
      </w:r>
      <w:r>
        <w:rPr>
          <w:rFonts w:hint="eastAsia" w:ascii="仿宋_GB2312" w:hAnsi="宋体" w:eastAsia="仿宋_GB2312" w:cs="宋体"/>
          <w:kern w:val="0"/>
          <w:sz w:val="32"/>
          <w:szCs w:val="32"/>
          <w:highlight w:val="none"/>
          <w:lang w:val="en-US" w:eastAsia="zh-CN"/>
        </w:rPr>
        <w:t>0.52万元</w:t>
      </w:r>
      <w:r>
        <w:rPr>
          <w:rFonts w:hint="eastAsia" w:ascii="仿宋_GB2312" w:hAnsi="宋体" w:eastAsia="仿宋_GB2312" w:cs="宋体"/>
          <w:kern w:val="0"/>
          <w:sz w:val="32"/>
          <w:szCs w:val="32"/>
          <w:highlight w:val="none"/>
        </w:rPr>
        <w:t>、住房公积金</w:t>
      </w:r>
      <w:r>
        <w:rPr>
          <w:rFonts w:hint="eastAsia" w:ascii="仿宋_GB2312" w:hAnsi="宋体" w:eastAsia="仿宋_GB2312" w:cs="宋体"/>
          <w:kern w:val="0"/>
          <w:sz w:val="32"/>
          <w:szCs w:val="32"/>
          <w:highlight w:val="none"/>
          <w:lang w:val="en-US" w:eastAsia="zh-CN"/>
        </w:rPr>
        <w:t>32.79万元</w:t>
      </w:r>
      <w:r>
        <w:rPr>
          <w:rFonts w:hint="eastAsia" w:ascii="仿宋_GB2312" w:hAnsi="宋体" w:eastAsia="仿宋_GB2312" w:cs="宋体"/>
          <w:kern w:val="0"/>
          <w:sz w:val="32"/>
          <w:szCs w:val="32"/>
          <w:highlight w:val="none"/>
        </w:rPr>
        <w:t>、其他工资福利支出</w:t>
      </w:r>
      <w:r>
        <w:rPr>
          <w:rFonts w:hint="eastAsia" w:ascii="仿宋_GB2312" w:hAnsi="宋体" w:eastAsia="仿宋_GB2312" w:cs="宋体"/>
          <w:kern w:val="0"/>
          <w:sz w:val="32"/>
          <w:szCs w:val="32"/>
          <w:highlight w:val="none"/>
          <w:lang w:val="en-US" w:eastAsia="zh-CN"/>
        </w:rPr>
        <w:t>20.58万元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对个人和家庭补助6.2万元、</w:t>
      </w:r>
      <w:r>
        <w:rPr>
          <w:rFonts w:hint="eastAsia" w:ascii="仿宋_GB2312" w:hAnsi="宋体" w:eastAsia="仿宋_GB2312" w:cs="宋体"/>
          <w:kern w:val="0"/>
          <w:sz w:val="32"/>
          <w:szCs w:val="32"/>
          <w:highlight w:val="none"/>
        </w:rPr>
        <w:t>离休费</w:t>
      </w:r>
      <w:r>
        <w:rPr>
          <w:rFonts w:hint="eastAsia" w:ascii="仿宋_GB2312" w:hAnsi="宋体" w:eastAsia="仿宋_GB2312" w:cs="宋体"/>
          <w:kern w:val="0"/>
          <w:sz w:val="32"/>
          <w:szCs w:val="32"/>
          <w:highlight w:val="none"/>
          <w:lang w:val="en-US" w:eastAsia="zh-CN"/>
        </w:rPr>
        <w:t>0.5万元</w:t>
      </w:r>
      <w:r>
        <w:rPr>
          <w:rFonts w:hint="eastAsia" w:ascii="仿宋_GB2312" w:hAnsi="宋体" w:eastAsia="仿宋_GB2312" w:cs="宋体"/>
          <w:kern w:val="0"/>
          <w:sz w:val="32"/>
          <w:szCs w:val="32"/>
          <w:highlight w:val="none"/>
        </w:rPr>
        <w:t>、退休费、医疗费补助</w:t>
      </w:r>
      <w:r>
        <w:rPr>
          <w:rFonts w:hint="eastAsia" w:ascii="仿宋_GB2312" w:hAnsi="宋体" w:eastAsia="仿宋_GB2312" w:cs="宋体"/>
          <w:kern w:val="0"/>
          <w:sz w:val="32"/>
          <w:szCs w:val="32"/>
          <w:highlight w:val="none"/>
          <w:lang w:val="en-US" w:eastAsia="zh-CN"/>
        </w:rPr>
        <w:t>5.09万元</w:t>
      </w:r>
      <w:r>
        <w:rPr>
          <w:rFonts w:hint="eastAsia" w:ascii="仿宋_GB2312" w:hAnsi="宋体" w:eastAsia="仿宋_GB2312" w:cs="宋体"/>
          <w:kern w:val="0"/>
          <w:sz w:val="32"/>
          <w:szCs w:val="32"/>
          <w:highlight w:val="none"/>
        </w:rPr>
        <w:t>、奖励金</w:t>
      </w:r>
      <w:r>
        <w:rPr>
          <w:rFonts w:hint="eastAsia" w:ascii="仿宋_GB2312" w:hAnsi="宋体" w:eastAsia="仿宋_GB2312" w:cs="宋体"/>
          <w:kern w:val="0"/>
          <w:sz w:val="32"/>
          <w:szCs w:val="32"/>
          <w:highlight w:val="none"/>
          <w:lang w:val="en-US" w:eastAsia="zh-CN"/>
        </w:rPr>
        <w:t>0.61万元。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39.65</w:t>
      </w:r>
      <w:r>
        <w:rPr>
          <w:rFonts w:hint="eastAsia" w:ascii="仿宋_GB2312" w:hAnsi="宋体" w:eastAsia="仿宋_GB2312" w:cs="宋体"/>
          <w:kern w:val="0"/>
          <w:sz w:val="32"/>
          <w:szCs w:val="32"/>
          <w:highlight w:val="none"/>
        </w:rPr>
        <w:t>万元，主要包括：办公费</w:t>
      </w:r>
      <w:r>
        <w:rPr>
          <w:rFonts w:hint="eastAsia" w:ascii="仿宋_GB2312" w:hAnsi="宋体" w:eastAsia="仿宋_GB2312" w:cs="宋体"/>
          <w:kern w:val="0"/>
          <w:sz w:val="32"/>
          <w:szCs w:val="32"/>
          <w:highlight w:val="none"/>
          <w:lang w:val="en-US" w:eastAsia="zh-CN"/>
        </w:rPr>
        <w:t>4.49万元</w:t>
      </w:r>
      <w:r>
        <w:rPr>
          <w:rFonts w:hint="eastAsia" w:ascii="仿宋_GB2312" w:hAnsi="宋体" w:eastAsia="仿宋_GB2312" w:cs="宋体"/>
          <w:kern w:val="0"/>
          <w:sz w:val="32"/>
          <w:szCs w:val="32"/>
          <w:highlight w:val="none"/>
        </w:rPr>
        <w:t>、印刷费</w:t>
      </w:r>
      <w:r>
        <w:rPr>
          <w:rFonts w:hint="eastAsia" w:ascii="仿宋_GB2312" w:hAnsi="宋体" w:eastAsia="仿宋_GB2312" w:cs="宋体"/>
          <w:kern w:val="0"/>
          <w:sz w:val="32"/>
          <w:szCs w:val="32"/>
          <w:highlight w:val="none"/>
          <w:lang w:val="en-US" w:eastAsia="zh-CN"/>
        </w:rPr>
        <w:t>0.4万元</w:t>
      </w:r>
      <w:r>
        <w:rPr>
          <w:rFonts w:hint="eastAsia" w:ascii="仿宋_GB2312" w:hAnsi="宋体" w:eastAsia="仿宋_GB2312" w:cs="宋体"/>
          <w:kern w:val="0"/>
          <w:sz w:val="32"/>
          <w:szCs w:val="32"/>
          <w:highlight w:val="none"/>
        </w:rPr>
        <w:t>、水费</w:t>
      </w:r>
      <w:r>
        <w:rPr>
          <w:rFonts w:hint="eastAsia" w:ascii="仿宋_GB2312" w:hAnsi="宋体" w:eastAsia="仿宋_GB2312" w:cs="宋体"/>
          <w:kern w:val="0"/>
          <w:sz w:val="32"/>
          <w:szCs w:val="32"/>
          <w:highlight w:val="none"/>
          <w:lang w:val="en-US" w:eastAsia="zh-CN"/>
        </w:rPr>
        <w:t>0.7万元</w:t>
      </w:r>
      <w:r>
        <w:rPr>
          <w:rFonts w:hint="eastAsia" w:ascii="仿宋_GB2312" w:hAnsi="宋体" w:eastAsia="仿宋_GB2312" w:cs="宋体"/>
          <w:kern w:val="0"/>
          <w:sz w:val="32"/>
          <w:szCs w:val="32"/>
          <w:highlight w:val="none"/>
        </w:rPr>
        <w:t>、电费</w:t>
      </w:r>
      <w:r>
        <w:rPr>
          <w:rFonts w:hint="eastAsia" w:ascii="仿宋_GB2312" w:hAnsi="宋体" w:eastAsia="仿宋_GB2312" w:cs="宋体"/>
          <w:kern w:val="0"/>
          <w:sz w:val="32"/>
          <w:szCs w:val="32"/>
          <w:highlight w:val="none"/>
          <w:lang w:val="en-US" w:eastAsia="zh-CN"/>
        </w:rPr>
        <w:t>1.3万元</w:t>
      </w:r>
      <w:r>
        <w:rPr>
          <w:rFonts w:hint="eastAsia" w:ascii="仿宋_GB2312" w:hAnsi="宋体" w:eastAsia="仿宋_GB2312" w:cs="宋体"/>
          <w:kern w:val="0"/>
          <w:sz w:val="32"/>
          <w:szCs w:val="32"/>
          <w:highlight w:val="none"/>
        </w:rPr>
        <w:t>、邮电费</w:t>
      </w:r>
      <w:r>
        <w:rPr>
          <w:rFonts w:hint="eastAsia" w:ascii="仿宋_GB2312" w:hAnsi="宋体" w:eastAsia="仿宋_GB2312" w:cs="宋体"/>
          <w:kern w:val="0"/>
          <w:sz w:val="32"/>
          <w:szCs w:val="32"/>
          <w:highlight w:val="none"/>
          <w:lang w:val="en-US" w:eastAsia="zh-CN"/>
        </w:rPr>
        <w:t>1.3万元</w:t>
      </w:r>
      <w:r>
        <w:rPr>
          <w:rFonts w:hint="eastAsia" w:ascii="仿宋_GB2312" w:hAnsi="宋体" w:eastAsia="仿宋_GB2312" w:cs="宋体"/>
          <w:kern w:val="0"/>
          <w:sz w:val="32"/>
          <w:szCs w:val="32"/>
          <w:highlight w:val="none"/>
        </w:rPr>
        <w:t>、取暖费</w:t>
      </w:r>
      <w:r>
        <w:rPr>
          <w:rFonts w:hint="eastAsia" w:ascii="仿宋_GB2312" w:hAnsi="宋体" w:eastAsia="仿宋_GB2312" w:cs="宋体"/>
          <w:kern w:val="0"/>
          <w:sz w:val="32"/>
          <w:szCs w:val="32"/>
          <w:highlight w:val="none"/>
          <w:lang w:val="en-US" w:eastAsia="zh-CN"/>
        </w:rPr>
        <w:t>4.45万元</w:t>
      </w:r>
      <w:r>
        <w:rPr>
          <w:rFonts w:hint="eastAsia" w:ascii="仿宋_GB2312" w:hAnsi="宋体" w:eastAsia="仿宋_GB2312" w:cs="宋体"/>
          <w:kern w:val="0"/>
          <w:sz w:val="32"/>
          <w:szCs w:val="32"/>
          <w:highlight w:val="none"/>
        </w:rPr>
        <w:t>、物业管理费</w:t>
      </w:r>
      <w:r>
        <w:rPr>
          <w:rFonts w:hint="eastAsia" w:ascii="仿宋_GB2312" w:hAnsi="宋体" w:eastAsia="仿宋_GB2312" w:cs="宋体"/>
          <w:kern w:val="0"/>
          <w:sz w:val="32"/>
          <w:szCs w:val="32"/>
          <w:highlight w:val="none"/>
          <w:lang w:val="en-US" w:eastAsia="zh-CN"/>
        </w:rPr>
        <w:t>8.91万元</w:t>
      </w:r>
      <w:r>
        <w:rPr>
          <w:rFonts w:hint="eastAsia" w:ascii="仿宋_GB2312" w:hAnsi="宋体" w:eastAsia="仿宋_GB2312" w:cs="宋体"/>
          <w:kern w:val="0"/>
          <w:sz w:val="32"/>
          <w:szCs w:val="32"/>
          <w:highlight w:val="none"/>
        </w:rPr>
        <w:t>、差旅费</w:t>
      </w:r>
      <w:r>
        <w:rPr>
          <w:rFonts w:hint="eastAsia" w:ascii="仿宋_GB2312" w:hAnsi="宋体" w:eastAsia="仿宋_GB2312" w:cs="宋体"/>
          <w:kern w:val="0"/>
          <w:sz w:val="32"/>
          <w:szCs w:val="32"/>
          <w:highlight w:val="none"/>
          <w:lang w:val="en-US" w:eastAsia="zh-CN"/>
        </w:rPr>
        <w:t>0.6万元</w:t>
      </w:r>
      <w:r>
        <w:rPr>
          <w:rFonts w:hint="eastAsia" w:ascii="仿宋_GB2312" w:hAnsi="宋体" w:eastAsia="仿宋_GB2312" w:cs="宋体"/>
          <w:kern w:val="0"/>
          <w:sz w:val="32"/>
          <w:szCs w:val="32"/>
          <w:highlight w:val="none"/>
        </w:rPr>
        <w:t>、维修（护）费</w:t>
      </w:r>
      <w:r>
        <w:rPr>
          <w:rFonts w:hint="eastAsia" w:ascii="仿宋_GB2312" w:hAnsi="宋体" w:eastAsia="仿宋_GB2312" w:cs="宋体"/>
          <w:kern w:val="0"/>
          <w:sz w:val="32"/>
          <w:szCs w:val="32"/>
          <w:highlight w:val="none"/>
          <w:lang w:val="en-US" w:eastAsia="zh-CN"/>
        </w:rPr>
        <w:t>0.36万元</w:t>
      </w:r>
      <w:r>
        <w:rPr>
          <w:rFonts w:hint="eastAsia" w:ascii="仿宋_GB2312" w:hAnsi="宋体" w:eastAsia="仿宋_GB2312" w:cs="宋体"/>
          <w:kern w:val="0"/>
          <w:sz w:val="32"/>
          <w:szCs w:val="32"/>
          <w:highlight w:val="none"/>
        </w:rPr>
        <w:t>、租赁费</w:t>
      </w:r>
      <w:r>
        <w:rPr>
          <w:rFonts w:hint="eastAsia" w:ascii="仿宋_GB2312" w:hAnsi="宋体" w:eastAsia="仿宋_GB2312" w:cs="宋体"/>
          <w:kern w:val="0"/>
          <w:sz w:val="32"/>
          <w:szCs w:val="32"/>
          <w:highlight w:val="none"/>
          <w:lang w:val="en-US" w:eastAsia="zh-CN"/>
        </w:rPr>
        <w:t>0.4万元</w:t>
      </w:r>
      <w:r>
        <w:rPr>
          <w:rFonts w:hint="eastAsia" w:ascii="仿宋_GB2312" w:hAnsi="宋体" w:eastAsia="仿宋_GB2312" w:cs="宋体"/>
          <w:kern w:val="0"/>
          <w:sz w:val="32"/>
          <w:szCs w:val="32"/>
          <w:highlight w:val="none"/>
        </w:rPr>
        <w:t>、培训费</w:t>
      </w:r>
      <w:r>
        <w:rPr>
          <w:rFonts w:hint="eastAsia" w:ascii="仿宋_GB2312" w:hAnsi="宋体" w:eastAsia="仿宋_GB2312" w:cs="宋体"/>
          <w:kern w:val="0"/>
          <w:sz w:val="32"/>
          <w:szCs w:val="32"/>
          <w:highlight w:val="none"/>
          <w:lang w:val="en-US" w:eastAsia="zh-CN"/>
        </w:rPr>
        <w:t>0.3万元</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val="en-US" w:eastAsia="zh-CN"/>
        </w:rPr>
        <w:t>0.35万元</w:t>
      </w:r>
      <w:r>
        <w:rPr>
          <w:rFonts w:hint="eastAsia" w:ascii="仿宋_GB2312" w:hAnsi="宋体" w:eastAsia="仿宋_GB2312" w:cs="宋体"/>
          <w:kern w:val="0"/>
          <w:sz w:val="32"/>
          <w:szCs w:val="32"/>
          <w:highlight w:val="none"/>
        </w:rPr>
        <w:t>、劳务费</w:t>
      </w:r>
      <w:r>
        <w:rPr>
          <w:rFonts w:hint="eastAsia" w:ascii="仿宋_GB2312" w:hAnsi="宋体" w:eastAsia="仿宋_GB2312" w:cs="宋体"/>
          <w:kern w:val="0"/>
          <w:sz w:val="32"/>
          <w:szCs w:val="32"/>
          <w:highlight w:val="none"/>
          <w:lang w:val="en-US" w:eastAsia="zh-CN"/>
        </w:rPr>
        <w:t>1.2万元</w:t>
      </w:r>
      <w:r>
        <w:rPr>
          <w:rFonts w:hint="eastAsia" w:ascii="仿宋_GB2312" w:hAnsi="宋体" w:eastAsia="仿宋_GB2312" w:cs="宋体"/>
          <w:kern w:val="0"/>
          <w:sz w:val="32"/>
          <w:szCs w:val="32"/>
          <w:highlight w:val="none"/>
        </w:rPr>
        <w:t>、工会经费</w:t>
      </w:r>
      <w:r>
        <w:rPr>
          <w:rFonts w:hint="eastAsia" w:ascii="仿宋_GB2312" w:hAnsi="宋体" w:eastAsia="仿宋_GB2312" w:cs="宋体"/>
          <w:kern w:val="0"/>
          <w:sz w:val="32"/>
          <w:szCs w:val="32"/>
          <w:highlight w:val="none"/>
          <w:lang w:val="en-US" w:eastAsia="zh-CN"/>
        </w:rPr>
        <w:t>4.33万元</w:t>
      </w:r>
      <w:r>
        <w:rPr>
          <w:rFonts w:hint="eastAsia" w:ascii="仿宋_GB2312" w:hAnsi="宋体" w:eastAsia="仿宋_GB2312" w:cs="宋体"/>
          <w:kern w:val="0"/>
          <w:sz w:val="32"/>
          <w:szCs w:val="32"/>
          <w:highlight w:val="none"/>
        </w:rPr>
        <w:t>、福利费</w:t>
      </w:r>
      <w:r>
        <w:rPr>
          <w:rFonts w:hint="eastAsia" w:ascii="仿宋_GB2312" w:hAnsi="宋体" w:eastAsia="仿宋_GB2312" w:cs="宋体"/>
          <w:kern w:val="0"/>
          <w:sz w:val="32"/>
          <w:szCs w:val="32"/>
          <w:highlight w:val="none"/>
          <w:lang w:val="en-US" w:eastAsia="zh-CN"/>
        </w:rPr>
        <w:t>3.9万元</w:t>
      </w:r>
      <w:r>
        <w:rPr>
          <w:rFonts w:hint="eastAsia" w:ascii="仿宋_GB2312" w:hAnsi="宋体" w:eastAsia="仿宋_GB2312" w:cs="宋体"/>
          <w:kern w:val="0"/>
          <w:sz w:val="32"/>
          <w:szCs w:val="32"/>
          <w:highlight w:val="none"/>
        </w:rPr>
        <w:t>、公务用车运行维护费</w:t>
      </w:r>
      <w:r>
        <w:rPr>
          <w:rFonts w:hint="eastAsia" w:ascii="仿宋_GB2312" w:hAnsi="宋体" w:eastAsia="仿宋_GB2312" w:cs="宋体"/>
          <w:kern w:val="0"/>
          <w:sz w:val="32"/>
          <w:szCs w:val="32"/>
          <w:highlight w:val="none"/>
          <w:lang w:val="en-US" w:eastAsia="zh-CN"/>
        </w:rPr>
        <w:t>3.4万元</w:t>
      </w:r>
      <w:r>
        <w:rPr>
          <w:rFonts w:hint="eastAsia" w:ascii="仿宋_GB2312" w:hAnsi="宋体" w:eastAsia="仿宋_GB2312" w:cs="宋体"/>
          <w:kern w:val="0"/>
          <w:sz w:val="32"/>
          <w:szCs w:val="32"/>
          <w:highlight w:val="none"/>
        </w:rPr>
        <w:t>、其他交通费用</w:t>
      </w:r>
      <w:r>
        <w:rPr>
          <w:rFonts w:hint="eastAsia" w:ascii="仿宋_GB2312" w:hAnsi="宋体" w:eastAsia="仿宋_GB2312" w:cs="宋体"/>
          <w:kern w:val="0"/>
          <w:sz w:val="32"/>
          <w:szCs w:val="32"/>
          <w:highlight w:val="none"/>
          <w:lang w:val="en-US" w:eastAsia="zh-CN"/>
        </w:rPr>
        <w:t>0.2万元</w:t>
      </w:r>
      <w:r>
        <w:rPr>
          <w:rFonts w:hint="eastAsia" w:ascii="仿宋_GB2312" w:hAnsi="宋体" w:eastAsia="仿宋_GB2312" w:cs="宋体"/>
          <w:kern w:val="0"/>
          <w:sz w:val="32"/>
          <w:szCs w:val="32"/>
          <w:highlight w:val="none"/>
        </w:rPr>
        <w:t>、其他商品和服务支出</w:t>
      </w:r>
      <w:r>
        <w:rPr>
          <w:rFonts w:hint="eastAsia" w:ascii="仿宋_GB2312" w:hAnsi="宋体" w:eastAsia="仿宋_GB2312" w:cs="宋体"/>
          <w:kern w:val="0"/>
          <w:sz w:val="32"/>
          <w:szCs w:val="32"/>
          <w:highlight w:val="none"/>
          <w:lang w:val="en-US" w:eastAsia="zh-CN"/>
        </w:rPr>
        <w:t>3.06万元。</w:t>
      </w:r>
    </w:p>
    <w:p>
      <w:pPr>
        <w:spacing w:line="560" w:lineRule="exact"/>
        <w:ind w:firstLine="643" w:firstLineChars="200"/>
        <w:rPr>
          <w:rFonts w:ascii="仿宋_GB2312" w:hAnsi="黑体" w:eastAsia="仿宋_GB2312"/>
          <w:b/>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昌吉州国资委</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昌吉州国资委财政补助工作经费</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35万元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办公室</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机关编外聘用人员开展各项工作的劳务费、业务费10万元，物业管理费财政拨款不足资金7万元，食堂运转经费8万元，其它公用经费财政拨款不足支出资金10万元。</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2022年1月1日-2022年12月31日。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年终财务审计费</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90万元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改革发展科</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对四家监管企业开展年终财务审计的费用</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2022年4月1日-2022年12月31日。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党务干部集中培训费</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6万元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组织宣传科</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开展基层党组织书记和党务干部培训费6万元（包括场地费、食宿费、授课费、资料费）</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资金执行时间：2022年1月1日-12月31日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专项监督检查费</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10万元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考核监督科</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对监管企业的党建、疫情防控、安全生产、企业经营指标、财务收支、资产核销等工作的检查业务经费支出。</w:t>
      </w:r>
    </w:p>
    <w:p>
      <w:pPr>
        <w:spacing w:line="560" w:lineRule="exact"/>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资金执行时间：2022年1月1日-12月31日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昌吉州国有企业党建智能管理系统</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5万元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组织人事科</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系统维护升级费用5万元。</w:t>
      </w:r>
    </w:p>
    <w:p>
      <w:pPr>
        <w:spacing w:line="560" w:lineRule="exact"/>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资金执行时间：2022年1月1日-12月31日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律师咨询费</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4万元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改革发展科</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开展法律咨询服务4万元</w:t>
      </w:r>
    </w:p>
    <w:p>
      <w:pPr>
        <w:spacing w:line="560" w:lineRule="exact"/>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资金执行时间：2022年1月1日-12月31日</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微信平台公众号专项资金</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昌州党办字[2019]55号</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3万元</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组织人事科</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微信平台使用费用3万元</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资金执行时间：2022年1月1日-12月31日</w:t>
      </w:r>
    </w:p>
    <w:p>
      <w:pPr>
        <w:spacing w:line="560" w:lineRule="exact"/>
        <w:ind w:firstLine="640" w:firstLineChars="200"/>
        <w:rPr>
          <w:rFonts w:hint="eastAsia" w:ascii="仿宋_GB2312" w:hAnsi="黑体" w:eastAsia="仿宋_GB2312"/>
          <w:sz w:val="32"/>
          <w:szCs w:val="32"/>
          <w:highlight w:val="none"/>
          <w:lang w:val="en-US" w:eastAsia="zh-CN"/>
        </w:rPr>
      </w:pPr>
    </w:p>
    <w:p>
      <w:pPr>
        <w:spacing w:line="560" w:lineRule="exac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w:t>
      </w:r>
      <w:r>
        <w:rPr>
          <w:rFonts w:hint="eastAsia" w:ascii="楷体_GB2312" w:hAnsi="楷体_GB2312" w:eastAsia="楷体_GB2312" w:cs="楷体_GB2312"/>
          <w:b/>
          <w:bCs/>
          <w:kern w:val="0"/>
          <w:sz w:val="32"/>
          <w:szCs w:val="32"/>
          <w:highlight w:val="none"/>
          <w:lang w:val="en-US" w:eastAsia="zh-CN"/>
        </w:rPr>
        <w:t>于昌吉州国资委</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昌吉州国资委</w:t>
      </w:r>
      <w:r>
        <w:rPr>
          <w:rFonts w:hint="eastAsia" w:ascii="仿宋_GB2312" w:hAnsi="宋体" w:eastAsia="仿宋_GB2312" w:cs="宋体"/>
          <w:kern w:val="0"/>
          <w:sz w:val="32"/>
          <w:szCs w:val="32"/>
          <w:highlight w:val="none"/>
        </w:rPr>
        <w:t>2022年一般公共预算“三公”经费数为</w:t>
      </w:r>
      <w:r>
        <w:rPr>
          <w:rFonts w:hint="eastAsia" w:ascii="仿宋_GB2312" w:hAnsi="宋体" w:eastAsia="仿宋_GB2312" w:cs="宋体"/>
          <w:kern w:val="0"/>
          <w:sz w:val="32"/>
          <w:szCs w:val="32"/>
          <w:highlight w:val="none"/>
          <w:lang w:val="en-US" w:eastAsia="zh-CN"/>
        </w:rPr>
        <w:t>3.75</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3.4</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0.35</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2022年一般公共预算“三公”经费比上年减少</w:t>
      </w:r>
      <w:r>
        <w:rPr>
          <w:rFonts w:hint="eastAsia" w:ascii="仿宋_GB2312" w:hAnsi="宋体" w:eastAsia="仿宋_GB2312" w:cs="宋体"/>
          <w:kern w:val="0"/>
          <w:sz w:val="32"/>
          <w:szCs w:val="32"/>
          <w:highlight w:val="none"/>
          <w:lang w:val="en-US" w:eastAsia="zh-CN"/>
        </w:rPr>
        <w:t>0.15</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3.85</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没有因公出国费用的产生</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没有发生公务用车购置费</w:t>
      </w:r>
      <w:r>
        <w:rPr>
          <w:rFonts w:hint="eastAsia" w:ascii="仿宋_GB2312" w:hAnsi="宋体" w:eastAsia="仿宋_GB2312" w:cs="宋体"/>
          <w:kern w:val="0"/>
          <w:sz w:val="32"/>
          <w:szCs w:val="32"/>
          <w:highlight w:val="none"/>
        </w:rPr>
        <w:t>；公务用车运行费减少</w:t>
      </w:r>
      <w:r>
        <w:rPr>
          <w:rFonts w:hint="eastAsia" w:ascii="仿宋_GB2312" w:hAnsi="宋体" w:eastAsia="仿宋_GB2312" w:cs="宋体"/>
          <w:kern w:val="0"/>
          <w:sz w:val="32"/>
          <w:szCs w:val="32"/>
          <w:highlight w:val="none"/>
          <w:lang w:val="en-US" w:eastAsia="zh-CN"/>
        </w:rPr>
        <w:t>0.1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2.57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运行费用稍作调整</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val="en-US" w:eastAsia="zh-CN"/>
        </w:rPr>
        <w:t>减少0.05</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12.5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三公经费逐年递减</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bCs/>
          <w:kern w:val="0"/>
          <w:sz w:val="32"/>
          <w:szCs w:val="32"/>
          <w:highlight w:val="none"/>
          <w:lang w:val="en-US" w:eastAsia="zh-CN"/>
        </w:rPr>
        <w:t>昌吉州国资委</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昌吉州国资委</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val="en-US" w:eastAsia="zh-CN"/>
        </w:rPr>
        <w:t>昌吉州国资委</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39.65</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19.71</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33.2</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拨付了财政补助工作经费，所以公用经费减少了</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val="en-US" w:eastAsia="zh-CN"/>
        </w:rPr>
        <w:t>昌吉州国资委</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129.88</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11.5</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118.38</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年底，</w:t>
      </w:r>
      <w:r>
        <w:rPr>
          <w:rFonts w:hint="eastAsia" w:ascii="仿宋_GB2312" w:hAnsi="仿宋_GB2312" w:eastAsia="仿宋_GB2312" w:cs="仿宋_GB2312"/>
          <w:kern w:val="0"/>
          <w:sz w:val="32"/>
          <w:szCs w:val="32"/>
          <w:highlight w:val="none"/>
          <w:lang w:val="en-US" w:eastAsia="zh-CN"/>
        </w:rPr>
        <w:t>昌吉州国资委</w:t>
      </w:r>
      <w:r>
        <w:rPr>
          <w:rFonts w:hint="eastAsia" w:ascii="仿宋_GB2312" w:hAnsi="仿宋_GB2312" w:eastAsia="仿宋_GB2312" w:cs="仿宋_GB2312"/>
          <w:kern w:val="0"/>
          <w:sz w:val="32"/>
          <w:szCs w:val="32"/>
          <w:highlight w:val="none"/>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32</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5.44</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48.98</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18.98</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 xml:space="preserve"> 20.21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 xml:space="preserve">64.21 </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2022年，本年度预算绩效管理的财政拨款项目</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153</w:t>
      </w:r>
      <w:r>
        <w:rPr>
          <w:rFonts w:hint="eastAsia" w:ascii="仿宋_GB2312" w:hAnsi="仿宋_GB2312" w:eastAsia="仿宋_GB2312" w:cs="仿宋_GB2312"/>
          <w:kern w:val="0"/>
          <w:sz w:val="32"/>
          <w:szCs w:val="32"/>
          <w:highlight w:val="none"/>
        </w:rPr>
        <w:t>万元。具体情况见下表（按项目分别填报）：</w:t>
      </w:r>
    </w:p>
    <w:tbl>
      <w:tblPr>
        <w:tblStyle w:val="6"/>
        <w:tblW w:w="8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42"/>
        <w:gridCol w:w="58"/>
        <w:gridCol w:w="99"/>
        <w:gridCol w:w="95"/>
        <w:gridCol w:w="592"/>
        <w:gridCol w:w="95"/>
        <w:gridCol w:w="60"/>
        <w:gridCol w:w="36"/>
        <w:gridCol w:w="49"/>
        <w:gridCol w:w="32"/>
        <w:gridCol w:w="207"/>
        <w:gridCol w:w="32"/>
        <w:gridCol w:w="19"/>
        <w:gridCol w:w="184"/>
        <w:gridCol w:w="140"/>
        <w:gridCol w:w="79"/>
        <w:gridCol w:w="16"/>
        <w:gridCol w:w="83"/>
        <w:gridCol w:w="90"/>
        <w:gridCol w:w="430"/>
        <w:gridCol w:w="184"/>
        <w:gridCol w:w="39"/>
        <w:gridCol w:w="162"/>
        <w:gridCol w:w="302"/>
        <w:gridCol w:w="348"/>
        <w:gridCol w:w="49"/>
        <w:gridCol w:w="47"/>
        <w:gridCol w:w="94"/>
        <w:gridCol w:w="467"/>
        <w:gridCol w:w="17"/>
        <w:gridCol w:w="29"/>
        <w:gridCol w:w="42"/>
        <w:gridCol w:w="162"/>
        <w:gridCol w:w="191"/>
        <w:gridCol w:w="48"/>
        <w:gridCol w:w="191"/>
        <w:gridCol w:w="274"/>
        <w:gridCol w:w="22"/>
        <w:gridCol w:w="82"/>
        <w:gridCol w:w="397"/>
        <w:gridCol w:w="1030"/>
        <w:gridCol w:w="154"/>
        <w:gridCol w:w="82"/>
        <w:gridCol w:w="3"/>
        <w:gridCol w:w="4"/>
        <w:gridCol w:w="236"/>
        <w:gridCol w:w="4"/>
        <w:gridCol w:w="87"/>
        <w:gridCol w:w="148"/>
        <w:gridCol w:w="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220" w:type="dxa"/>
            <w:gridSpan w:val="5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8220" w:type="dxa"/>
            <w:gridSpan w:val="51"/>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2529"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3898"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昌吉州国有企业党建智能管理系统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1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4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9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6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3202"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0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7126" w:type="dxa"/>
            <w:gridSpan w:val="46"/>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目标1：对4家监管企业动态管理，利用“互联网+党建”新模式，在党建信息系统上实现党建工作信息化。完善昌吉州国有企业党建智能管理系统，加强对监管企业党建工作的日常化管理。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平台使用企业</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&gt;=4家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系统运行维护</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信息录入时间提高率</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监管企业全覆盖率</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开展信息录入管理工作时限</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监管工作及时率</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系统日常维护</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系统升级</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提高企业信息化资源共享度和社会化水平</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9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动态管理监管企业党建工作</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10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130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2063" w:type="dxa"/>
            <w:gridSpan w:val="1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平台使用者满意度</w:t>
            </w:r>
          </w:p>
        </w:tc>
        <w:tc>
          <w:tcPr>
            <w:tcW w:w="3757"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390" w:hRule="atLeast"/>
        </w:trPr>
        <w:tc>
          <w:tcPr>
            <w:tcW w:w="7985" w:type="dxa"/>
            <w:gridSpan w:val="4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05" w:hRule="atLeast"/>
        </w:trPr>
        <w:tc>
          <w:tcPr>
            <w:tcW w:w="7985" w:type="dxa"/>
            <w:gridSpan w:val="4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270" w:hRule="atLeast"/>
        </w:trPr>
        <w:tc>
          <w:tcPr>
            <w:tcW w:w="9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3370"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昌吉州国资委财政补助工作运转经费项目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50" w:hRule="atLeast"/>
        </w:trPr>
        <w:tc>
          <w:tcPr>
            <w:tcW w:w="9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54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11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68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237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940" w:hRule="atLeast"/>
        </w:trPr>
        <w:tc>
          <w:tcPr>
            <w:tcW w:w="9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6986" w:type="dxa"/>
            <w:gridSpan w:val="4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支付编外聘用人员及临聘人员开展各项工作产出的劳务、业务经费支出:目标2：机关物业管理费用自筹资金的支出费用，用于机关食堂的正常运转费用，目标3：开展各项临时性工作的公用经费支出，保障各项工作正常开展，完成昌吉州国资委各项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270" w:hRule="atLeast"/>
        </w:trPr>
        <w:tc>
          <w:tcPr>
            <w:tcW w:w="9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3089" w:type="dxa"/>
            <w:gridSpan w:val="2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保障编外聘用人员及临聘人员人数</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保障办公楼安保和保洁人数</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保障机关食堂正常运转人数</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&gt;=18人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确保工作正常运转率</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各项工作完成时限</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35"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089" w:type="dxa"/>
            <w:gridSpan w:val="2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监督检查工作按时开展</w:t>
            </w:r>
          </w:p>
        </w:tc>
        <w:tc>
          <w:tcPr>
            <w:tcW w:w="3055"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编外聘用人员及临聘人员劳务费</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保安和保洁等物业管理费</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食堂以及开展其他业务工作费用</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保障工作按时完成提高工作效率</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持续开展工作任务</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7" w:type="dxa"/>
          <w:trHeight w:val="480" w:hRule="atLeast"/>
        </w:trPr>
        <w:tc>
          <w:tcPr>
            <w:tcW w:w="9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11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2765" w:type="dxa"/>
            <w:gridSpan w:val="18"/>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工作人员满意度</w:t>
            </w:r>
          </w:p>
        </w:tc>
        <w:tc>
          <w:tcPr>
            <w:tcW w:w="3203"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4"/>
          <w:wAfter w:w="326" w:type="dxa"/>
          <w:trHeight w:val="604" w:hRule="atLeast"/>
        </w:trPr>
        <w:tc>
          <w:tcPr>
            <w:tcW w:w="7894" w:type="dxa"/>
            <w:gridSpan w:val="4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05" w:hRule="atLeast"/>
        </w:trPr>
        <w:tc>
          <w:tcPr>
            <w:tcW w:w="7898" w:type="dxa"/>
            <w:gridSpan w:val="4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27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4076" w:type="dxa"/>
            <w:gridSpan w:val="2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党务干部集中培训费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5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818"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3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6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9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66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6998" w:type="dxa"/>
            <w:gridSpan w:val="4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目标1：开展对负责党建工作的党务干部进行培训，预计在5-6月进行培训目标2：培训参加人数80余人，提升业务水平、规范党建服务工作。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841" w:type="dxa"/>
            <w:gridSpan w:val="10"/>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704" w:type="dxa"/>
            <w:gridSpan w:val="3"/>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851" w:type="dxa"/>
            <w:gridSpan w:val="4"/>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703" w:type="dxa"/>
            <w:gridSpan w:val="6"/>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395" w:type="dxa"/>
            <w:gridSpan w:val="3"/>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617" w:type="dxa"/>
            <w:gridSpan w:val="5"/>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397" w:type="dxa"/>
            <w:tcBorders>
              <w:top w:val="single" w:color="000000" w:sz="4" w:space="0"/>
              <w:left w:val="nil"/>
              <w:bottom w:val="single" w:color="000000" w:sz="4" w:space="0"/>
              <w:right w:val="nil"/>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c>
          <w:tcPr>
            <w:tcW w:w="1513" w:type="dxa"/>
            <w:gridSpan w:val="7"/>
            <w:tcBorders>
              <w:top w:val="single" w:color="000000" w:sz="4" w:space="0"/>
              <w:left w:val="nil"/>
              <w:bottom w:val="single" w:color="000000" w:sz="4" w:space="0"/>
              <w:right w:val="single" w:color="000000" w:sz="4" w:space="0"/>
            </w:tcBorders>
            <w:shd w:val="clear" w:color="auto" w:fill="auto"/>
            <w:vAlign w:val="top"/>
          </w:tcPr>
          <w:p>
            <w:pPr>
              <w:jc w:val="left"/>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27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3494" w:type="dxa"/>
            <w:gridSpan w:val="26"/>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培训人数</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&gt;=80人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每年组织培训（期）</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培训出勤率</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培训合格率</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组织培训</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&lt;=3天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494" w:type="dxa"/>
            <w:gridSpan w:val="26"/>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培训工作完成及时率</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0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445" w:type="dxa"/>
            <w:gridSpan w:val="25"/>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老师授课费等费用</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&lt;=1.5万元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0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445" w:type="dxa"/>
            <w:gridSpan w:val="25"/>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培训住宿费、办公费等</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0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3445" w:type="dxa"/>
            <w:gridSpan w:val="25"/>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提升业务水平、规范党建服务工作</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0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3445" w:type="dxa"/>
            <w:gridSpan w:val="25"/>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持续完善管理党务工作</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22" w:type="dxa"/>
          <w:trHeight w:val="480" w:hRule="atLeast"/>
        </w:trPr>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102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3445" w:type="dxa"/>
            <w:gridSpan w:val="25"/>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培训对象满意度</w:t>
            </w:r>
          </w:p>
        </w:tc>
        <w:tc>
          <w:tcPr>
            <w:tcW w:w="252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62" w:type="dxa"/>
          <w:trHeight w:val="390" w:hRule="atLeast"/>
        </w:trPr>
        <w:tc>
          <w:tcPr>
            <w:tcW w:w="7658" w:type="dxa"/>
            <w:gridSpan w:val="4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62" w:type="dxa"/>
          <w:trHeight w:val="405" w:hRule="atLeast"/>
        </w:trPr>
        <w:tc>
          <w:tcPr>
            <w:tcW w:w="7658" w:type="dxa"/>
            <w:gridSpan w:val="46"/>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62" w:type="dxa"/>
          <w:trHeight w:val="27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4147" w:type="dxa"/>
            <w:gridSpan w:val="3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4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2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律师咨询费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562" w:type="dxa"/>
          <w:trHeight w:val="4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819"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8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1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4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7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9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6854" w:type="dxa"/>
            <w:gridSpan w:val="4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委托律师团队共4人在国有、国有控股、参股企业和其他企业资产监管工作，包括产权股权管理、企业改制重组、与国资委有关的信访案件、完善法人治理结构和规范性文件等方面的重大决策提出法律意见和依据，从法律和政策上对操作程序及法律规定进行论证，出具合法性、可行性、有效性的法律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3638" w:type="dxa"/>
            <w:gridSpan w:val="29"/>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聘请律师人数</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提供依据正确率（%）</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检查合格率（%）</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开展律师咨询服务时限</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法律咨询业务开展及时率</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9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638" w:type="dxa"/>
            <w:gridSpan w:val="29"/>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法律咨询服务的咨询费用</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3733" w:type="dxa"/>
            <w:gridSpan w:val="30"/>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增强法律意识、保护出资人合法权益</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增强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39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3222" w:type="dxa"/>
            <w:gridSpan w:val="23"/>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长期维护出资人合法权益</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566" w:type="dxa"/>
          <w:trHeight w:val="4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139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3222" w:type="dxa"/>
            <w:gridSpan w:val="23"/>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出资人满意度</w:t>
            </w:r>
          </w:p>
        </w:tc>
        <w:tc>
          <w:tcPr>
            <w:tcW w:w="2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390" w:hRule="atLeast"/>
        </w:trPr>
        <w:tc>
          <w:tcPr>
            <w:tcW w:w="7415" w:type="dxa"/>
            <w:gridSpan w:val="4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05" w:hRule="atLeast"/>
        </w:trPr>
        <w:tc>
          <w:tcPr>
            <w:tcW w:w="7415" w:type="dxa"/>
            <w:gridSpan w:val="42"/>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270" w:hRule="atLeast"/>
        </w:trPr>
        <w:tc>
          <w:tcPr>
            <w:tcW w:w="8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4338" w:type="dxa"/>
            <w:gridSpan w:val="3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年终财务审计费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7"/>
          <w:wAfter w:w="569" w:type="dxa"/>
          <w:trHeight w:val="450" w:hRule="atLeast"/>
        </w:trPr>
        <w:tc>
          <w:tcPr>
            <w:tcW w:w="8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96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1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12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7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其他资金</w:t>
            </w:r>
            <w:r>
              <w:rPr>
                <w:rFonts w:hint="eastAsia" w:ascii="宋体" w:hAnsi="宋体" w:cs="宋体"/>
                <w:i w:val="0"/>
                <w:iCs w:val="0"/>
                <w:color w:val="000000"/>
                <w:kern w:val="0"/>
                <w:sz w:val="18"/>
                <w:szCs w:val="18"/>
                <w:highlight w:val="none"/>
                <w:u w:val="none"/>
                <w:lang w:val="en-US" w:eastAsia="zh-CN" w:bidi="ar"/>
              </w:rPr>
              <w:t>0</w:t>
            </w:r>
          </w:p>
        </w:tc>
        <w:tc>
          <w:tcPr>
            <w:tcW w:w="2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680" w:hRule="atLeast"/>
        </w:trPr>
        <w:tc>
          <w:tcPr>
            <w:tcW w:w="8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6573" w:type="dxa"/>
            <w:gridSpan w:val="40"/>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目标1：每年监督检查3次；目标2：下发整改提示函；目标3：检查天数3天/季度；目标4：提升企业效益、降低企业债务风险、减少经济损失。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270" w:hRule="atLeast"/>
        </w:trPr>
        <w:tc>
          <w:tcPr>
            <w:tcW w:w="8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对监管企业进行年终审计</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参与检查人数</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监督检查覆盖率</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检查财务规范合格率</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审计任务完成时间</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开展年终财务审计人员成本</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年终财务审计工作成本</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&lt;=55万元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经济效益指标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为企业挽回经济损失</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提升国有企业体制改革，为昌吉州经济发展做出贡献</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持续规范直管企业财务制度</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805" w:type="dxa"/>
          <w:trHeight w:val="480" w:hRule="atLeast"/>
        </w:trPr>
        <w:tc>
          <w:tcPr>
            <w:tcW w:w="8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11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3948" w:type="dxa"/>
            <w:gridSpan w:val="2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企业对审计服务满意度</w:t>
            </w:r>
          </w:p>
        </w:tc>
        <w:tc>
          <w:tcPr>
            <w:tcW w:w="15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8"/>
          <w:wAfter w:w="651" w:type="dxa"/>
          <w:trHeight w:val="390" w:hRule="atLeast"/>
        </w:trPr>
        <w:tc>
          <w:tcPr>
            <w:tcW w:w="7569" w:type="dxa"/>
            <w:gridSpan w:val="43"/>
            <w:tcBorders>
              <w:top w:val="nil"/>
              <w:left w:val="nil"/>
              <w:bottom w:val="nil"/>
              <w:right w:val="nil"/>
            </w:tcBorders>
            <w:shd w:val="clear" w:color="auto" w:fill="auto"/>
            <w:vAlign w:val="center"/>
          </w:tcPr>
          <w:tbl>
            <w:tblPr>
              <w:tblStyle w:val="6"/>
              <w:tblW w:w="726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730"/>
              <w:gridCol w:w="736"/>
              <w:gridCol w:w="649"/>
              <w:gridCol w:w="736"/>
              <w:gridCol w:w="1385"/>
              <w:gridCol w:w="736"/>
              <w:gridCol w:w="180"/>
              <w:gridCol w:w="718"/>
              <w:gridCol w:w="1385"/>
              <w:gridCol w:w="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trPr>
              <w:tc>
                <w:tcPr>
                  <w:tcW w:w="7260"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05" w:hRule="atLeast"/>
              </w:trPr>
              <w:tc>
                <w:tcPr>
                  <w:tcW w:w="7260" w:type="dxa"/>
                  <w:gridSpan w:val="10"/>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7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35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2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专项监督检查费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5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8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5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6525"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目标1：每年监督检查3次；目标2：下发整改提示函</w:t>
                  </w:r>
                  <w:r>
                    <w:rPr>
                      <w:rFonts w:hint="eastAsia" w:ascii="宋体" w:hAnsi="宋体" w:cs="宋体"/>
                      <w:i w:val="0"/>
                      <w:iCs w:val="0"/>
                      <w:color w:val="000000"/>
                      <w:kern w:val="0"/>
                      <w:sz w:val="18"/>
                      <w:szCs w:val="18"/>
                      <w:highlight w:val="none"/>
                      <w:u w:val="none"/>
                      <w:lang w:val="en-US" w:eastAsia="zh-CN" w:bidi="ar"/>
                    </w:rPr>
                    <w:t>12份</w:t>
                  </w:r>
                  <w:r>
                    <w:rPr>
                      <w:rFonts w:hint="eastAsia" w:ascii="宋体" w:hAnsi="宋体" w:eastAsia="宋体" w:cs="宋体"/>
                      <w:i w:val="0"/>
                      <w:iCs w:val="0"/>
                      <w:color w:val="000000"/>
                      <w:kern w:val="0"/>
                      <w:sz w:val="18"/>
                      <w:szCs w:val="18"/>
                      <w:highlight w:val="none"/>
                      <w:u w:val="none"/>
                      <w:lang w:val="en-US" w:eastAsia="zh-CN" w:bidi="ar"/>
                    </w:rPr>
                    <w:t>；目标3：检查天数3天/季度；目标4：提升企业效益、降低企业债务风险、减少经济损失。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7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监管企业财务监督检查次数</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下发整改提示函</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检查天数</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&gt;=3天/季度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负责人薪酬检查次数</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资产核销检查次数</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检查覆盖率</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审计建议采纳率</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检查工作开展及时率</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检查工作完成时限</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审计工作开展人员的差费、办公经费及检查工作的公用经费等</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&lt;=2.50万元/季度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提升企业效益、降低企业债务风险、减少经济损失</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7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问题整改落实率</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368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监管企业满意度</w:t>
                  </w:r>
                </w:p>
              </w:tc>
              <w:tc>
                <w:tcPr>
                  <w:tcW w:w="2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&gt;=94%</w:t>
                  </w:r>
                </w:p>
              </w:tc>
            </w:tr>
          </w:tbl>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51" w:type="dxa"/>
          <w:trHeight w:val="405" w:hRule="atLeast"/>
        </w:trPr>
        <w:tc>
          <w:tcPr>
            <w:tcW w:w="7569" w:type="dxa"/>
            <w:gridSpan w:val="43"/>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p>
        </w:tc>
      </w:tr>
    </w:tbl>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w:t>
      </w: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8"/>
        <w:gridCol w:w="842"/>
        <w:gridCol w:w="820"/>
        <w:gridCol w:w="844"/>
        <w:gridCol w:w="1641"/>
        <w:gridCol w:w="844"/>
        <w:gridCol w:w="220"/>
        <w:gridCol w:w="820"/>
        <w:gridCol w:w="16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8522"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22"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预算单位</w:t>
            </w:r>
          </w:p>
        </w:tc>
        <w:tc>
          <w:tcPr>
            <w:tcW w:w="414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昌吉回族自治州国资委本级</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微信平台公众号专项资金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项目资金（万元）</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项目总体目标</w:t>
            </w:r>
          </w:p>
        </w:tc>
        <w:tc>
          <w:tcPr>
            <w:tcW w:w="7684"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1：“昌吉国资”微信公众平台专设“党史学习”专栏、“法制微讲堂”专栏，宣传党史学习教育知识，以及普及“民法典”“劳动法”“公务员法”“保密法”等法律知识，提高全民普法宣传。在微信公众号平台上发布预计1050条，浏览人数2万多人。目标2：为进一步加强国资信息工作的管理，使信息报送工作制度化，提高国资委信息质量，更好地为国资管理改革发展服务，通过微信公众平台发布宣传信息，发挥信息平台宣传作用达到普法、便民的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一级指标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二级指标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三级指标</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发布信息（条）</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&gt;=1050条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平台浏览（人数）</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&gt;=20000人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信息传播覆盖率</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信息任务发布完成时限</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微信公众号发布信息完成及时率</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使用平台费用</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提高政策、法规知晓率</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highlight w:val="none"/>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平台发挥作用期限</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持续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369"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群众对信息宣传满意率</w:t>
            </w:r>
          </w:p>
        </w:tc>
        <w:tc>
          <w:tcPr>
            <w:tcW w:w="24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&gt;=95%</w:t>
            </w:r>
          </w:p>
        </w:tc>
      </w:tr>
    </w:tbl>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p>
    <w:p>
      <w:pPr>
        <w:spacing w:line="600" w:lineRule="exact"/>
        <w:ind w:firstLine="321" w:firstLineChars="1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lang w:val="en-US" w:eastAsia="zh-CN"/>
        </w:rPr>
        <w:t>三</w:t>
      </w:r>
      <w:r>
        <w:rPr>
          <w:rFonts w:hint="eastAsia" w:ascii="楷体_GB2312" w:hAnsi="楷体_GB2312" w:eastAsia="楷体_GB2312" w:cs="楷体_GB2312"/>
          <w:b/>
          <w:bCs/>
          <w:sz w:val="32"/>
          <w:szCs w:val="32"/>
          <w:highlight w:val="none"/>
        </w:rPr>
        <w:t>、其他资金：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四</w:t>
      </w:r>
      <w:r>
        <w:rPr>
          <w:rFonts w:hint="eastAsia" w:ascii="楷体_GB2312" w:hAnsi="楷体_GB2312" w:eastAsia="楷体_GB2312" w:cs="楷体_GB2312"/>
          <w:b/>
          <w:bCs/>
          <w:sz w:val="32"/>
          <w:szCs w:val="32"/>
          <w:highlight w:val="none"/>
        </w:rPr>
        <w:t>、基本支出：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五</w:t>
      </w:r>
      <w:r>
        <w:rPr>
          <w:rFonts w:hint="eastAsia" w:ascii="楷体_GB2312" w:hAnsi="楷体_GB2312" w:eastAsia="楷体_GB2312" w:cs="楷体_GB2312"/>
          <w:b/>
          <w:bCs/>
          <w:sz w:val="32"/>
          <w:szCs w:val="32"/>
          <w:highlight w:val="none"/>
        </w:rPr>
        <w:t>、项目支出：</w:t>
      </w:r>
      <w:r>
        <w:rPr>
          <w:rFonts w:hint="eastAsia" w:ascii="仿宋_GB2312" w:eastAsia="仿宋_GB2312"/>
          <w:sz w:val="32"/>
          <w:szCs w:val="32"/>
          <w:highlight w:val="none"/>
        </w:rPr>
        <w:t>部门（单位）支出预算的组成部分，是自治区本级部门（单位）为完成其特定的行政任务或事业发展目标，在基本支出预算之外编制的年度项目支出计划。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lang w:val="en-US" w:eastAsia="zh-CN"/>
        </w:rPr>
        <w:t>六</w:t>
      </w:r>
      <w:r>
        <w:rPr>
          <w:rFonts w:hint="eastAsia" w:ascii="楷体_GB2312" w:hAnsi="楷体_GB2312" w:eastAsia="楷体_GB2312" w:cs="楷体_GB2312"/>
          <w:b/>
          <w:bCs/>
          <w:sz w:val="32"/>
          <w:szCs w:val="32"/>
          <w:highlight w:val="none"/>
        </w:rPr>
        <w:t>、“三公”经费：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lang w:val="en-US" w:eastAsia="zh-CN"/>
        </w:rPr>
        <w:t>七</w:t>
      </w:r>
      <w:r>
        <w:rPr>
          <w:rFonts w:hint="eastAsia" w:ascii="楷体_GB2312" w:hAnsi="楷体_GB2312" w:eastAsia="楷体_GB2312" w:cs="楷体_GB2312"/>
          <w:b/>
          <w:bCs/>
          <w:sz w:val="32"/>
          <w:szCs w:val="32"/>
          <w:highlight w:val="none"/>
        </w:rPr>
        <w:t>、机关运行经费：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 xml:space="preserve"> 昌吉州</w:t>
      </w:r>
      <w:r>
        <w:rPr>
          <w:rFonts w:hint="eastAsia" w:ascii="仿宋_GB2312" w:hAnsi="宋体" w:eastAsia="仿宋_GB2312" w:cs="宋体"/>
          <w:kern w:val="0"/>
          <w:sz w:val="32"/>
          <w:szCs w:val="32"/>
          <w:highlight w:val="none"/>
          <w:lang w:val="en-US" w:eastAsia="zh-CN"/>
        </w:rPr>
        <w:t>国资委</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auto"/>
    <w:pitch w:val="default"/>
    <w:sig w:usb0="00000000" w:usb1="00000000" w:usb2="00000000" w:usb3="00000000" w:csb0="0000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Times New Roman" w:hAnsi="Times New Roman" w:eastAsia="宋体" w:cs="Times New Roman"/>
        <w:kern w:val="2"/>
        <w:sz w:val="28"/>
        <w:szCs w:val="18"/>
        <w:lang w:val="en-US" w:eastAsia="zh-CN" w:bidi="ar-SA"/>
      </w:rPr>
      <w:pict>
        <v:rect id="文本框 8" o:spid="_x0000_s4097" o:spt="1" style="position:absolute;left:0pt;margin-top:0pt;height:18.15pt;width:42.05pt;mso-position-horizontal:outside;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rect>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Times New Roman" w:hAnsi="Times New Roman" w:eastAsia="宋体" w:cs="Times New Roman"/>
        <w:kern w:val="2"/>
        <w:sz w:val="28"/>
        <w:szCs w:val="18"/>
        <w:lang w:val="en-US" w:eastAsia="zh-CN" w:bidi="ar-SA"/>
      </w:rPr>
      <w:pict>
        <v:rect id="文本框 9" o:spid="_x0000_s4098" o:spt="1" style="position:absolute;left:0pt;margin-top:0pt;height:18.15pt;width:42.05pt;mso-position-horizontal:outside;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rect>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Times New Roman" w:hAnsi="Times New Roman" w:eastAsia="宋体" w:cs="Times New Roman"/>
        <w:kern w:val="2"/>
        <w:sz w:val="28"/>
        <w:szCs w:val="18"/>
        <w:lang w:val="en-US" w:eastAsia="zh-CN" w:bidi="ar-SA"/>
      </w:rPr>
      <w:pict>
        <v:rect id="文本框 10" o:spid="_x0000_s4099" o:spt="1" style="position:absolute;left:0pt;margin-top:0pt;height:18.15pt;width:42.05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rect>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0FF3B98"/>
    <w:rsid w:val="0220563D"/>
    <w:rsid w:val="03280CD0"/>
    <w:rsid w:val="038A187C"/>
    <w:rsid w:val="04FA0D15"/>
    <w:rsid w:val="052B15B1"/>
    <w:rsid w:val="0532048B"/>
    <w:rsid w:val="055C2374"/>
    <w:rsid w:val="098B0DD5"/>
    <w:rsid w:val="0A0D5C14"/>
    <w:rsid w:val="0B6353E9"/>
    <w:rsid w:val="0B8B60D8"/>
    <w:rsid w:val="0C6758F6"/>
    <w:rsid w:val="0D2E0E36"/>
    <w:rsid w:val="0D2F67F9"/>
    <w:rsid w:val="0D8820B1"/>
    <w:rsid w:val="0DB76E16"/>
    <w:rsid w:val="0F1B7D7B"/>
    <w:rsid w:val="1119513F"/>
    <w:rsid w:val="11BB29F9"/>
    <w:rsid w:val="122F2086"/>
    <w:rsid w:val="128268FD"/>
    <w:rsid w:val="13217EB9"/>
    <w:rsid w:val="13954459"/>
    <w:rsid w:val="13A445CA"/>
    <w:rsid w:val="13EE2470"/>
    <w:rsid w:val="14F50C73"/>
    <w:rsid w:val="18012E22"/>
    <w:rsid w:val="18887FCB"/>
    <w:rsid w:val="1B203184"/>
    <w:rsid w:val="1C255C19"/>
    <w:rsid w:val="1C39065B"/>
    <w:rsid w:val="1C507259"/>
    <w:rsid w:val="1D653DDB"/>
    <w:rsid w:val="1D690326"/>
    <w:rsid w:val="1D8B734B"/>
    <w:rsid w:val="1EBC5EBF"/>
    <w:rsid w:val="1EE12B77"/>
    <w:rsid w:val="21E522A8"/>
    <w:rsid w:val="22A23A76"/>
    <w:rsid w:val="24271041"/>
    <w:rsid w:val="25036082"/>
    <w:rsid w:val="26374B37"/>
    <w:rsid w:val="26847CB2"/>
    <w:rsid w:val="27184634"/>
    <w:rsid w:val="2864378D"/>
    <w:rsid w:val="29256680"/>
    <w:rsid w:val="292D26C4"/>
    <w:rsid w:val="2A8F0EC7"/>
    <w:rsid w:val="2B0E1D32"/>
    <w:rsid w:val="2B5375F2"/>
    <w:rsid w:val="2F2E2BBB"/>
    <w:rsid w:val="307D6477"/>
    <w:rsid w:val="309A17C9"/>
    <w:rsid w:val="34B457D3"/>
    <w:rsid w:val="355419EA"/>
    <w:rsid w:val="357F2D68"/>
    <w:rsid w:val="3C181745"/>
    <w:rsid w:val="3D3B124C"/>
    <w:rsid w:val="3D8C1AA8"/>
    <w:rsid w:val="3F7D37B5"/>
    <w:rsid w:val="3FA41AAB"/>
    <w:rsid w:val="3FCE21AF"/>
    <w:rsid w:val="42CA4FB1"/>
    <w:rsid w:val="44002BDA"/>
    <w:rsid w:val="44AE65C8"/>
    <w:rsid w:val="45795068"/>
    <w:rsid w:val="47F0154E"/>
    <w:rsid w:val="4ADE6E10"/>
    <w:rsid w:val="4AF10F2F"/>
    <w:rsid w:val="4BE861C2"/>
    <w:rsid w:val="4C025BDD"/>
    <w:rsid w:val="4DF82005"/>
    <w:rsid w:val="51243055"/>
    <w:rsid w:val="527F2FF6"/>
    <w:rsid w:val="528C20F0"/>
    <w:rsid w:val="52C6560C"/>
    <w:rsid w:val="5382591C"/>
    <w:rsid w:val="53B40697"/>
    <w:rsid w:val="548F317A"/>
    <w:rsid w:val="555749F4"/>
    <w:rsid w:val="555C4B46"/>
    <w:rsid w:val="55BE010F"/>
    <w:rsid w:val="58157E99"/>
    <w:rsid w:val="5852414F"/>
    <w:rsid w:val="59444C2B"/>
    <w:rsid w:val="5947124D"/>
    <w:rsid w:val="59E17B61"/>
    <w:rsid w:val="5A10299F"/>
    <w:rsid w:val="5AF618FF"/>
    <w:rsid w:val="5B3C779F"/>
    <w:rsid w:val="5BDC4C7D"/>
    <w:rsid w:val="5BE72906"/>
    <w:rsid w:val="5C0728DA"/>
    <w:rsid w:val="612D02D6"/>
    <w:rsid w:val="63F350E3"/>
    <w:rsid w:val="65677E05"/>
    <w:rsid w:val="66317C50"/>
    <w:rsid w:val="69350FE3"/>
    <w:rsid w:val="6AB96ADC"/>
    <w:rsid w:val="6C846129"/>
    <w:rsid w:val="6CEC2915"/>
    <w:rsid w:val="6E9D7EFB"/>
    <w:rsid w:val="71BD16C6"/>
    <w:rsid w:val="71FD5626"/>
    <w:rsid w:val="74A00287"/>
    <w:rsid w:val="75103527"/>
    <w:rsid w:val="760B0B53"/>
    <w:rsid w:val="76437A5E"/>
    <w:rsid w:val="772938E8"/>
    <w:rsid w:val="7A37302C"/>
    <w:rsid w:val="7A9D0BC1"/>
    <w:rsid w:val="7EF40C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8"/>
    <w:qFormat/>
    <w:uiPriority w:val="0"/>
    <w:pPr>
      <w:ind w:left="1277"/>
      <w:outlineLvl w:val="1"/>
    </w:pPr>
    <w:rPr>
      <w:rFonts w:ascii="仿宋_GB2312" w:hAnsi="仿宋_GB2312" w:eastAsia="仿宋_GB2312" w:cs="仿宋_GB2312"/>
      <w:b/>
      <w:bCs/>
      <w:sz w:val="32"/>
      <w:szCs w:val="32"/>
      <w:lang w:val="zh-CN" w:bidi="zh-CN"/>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link w:val="9"/>
    <w:qFormat/>
    <w:uiPriority w:val="0"/>
    <w:rPr>
      <w:rFonts w:ascii="方正仿宋_GBK" w:hAnsi="方正仿宋_GBK" w:eastAsia="方正仿宋_GBK" w:cs="方正仿宋_GBK"/>
      <w:sz w:val="32"/>
      <w:szCs w:val="32"/>
      <w:lang w:val="zh-CN" w:bidi="zh-CN"/>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标题 2 Char"/>
    <w:basedOn w:val="7"/>
    <w:link w:val="3"/>
    <w:semiHidden/>
    <w:qFormat/>
    <w:uiPriority w:val="0"/>
    <w:rPr>
      <w:rFonts w:ascii="仿宋_GB2312" w:hAnsi="仿宋_GB2312" w:eastAsia="仿宋_GB2312" w:cs="仿宋_GB2312"/>
      <w:b/>
      <w:bCs/>
      <w:sz w:val="32"/>
      <w:szCs w:val="32"/>
      <w:lang w:val="zh-CN" w:bidi="zh-CN"/>
    </w:rPr>
  </w:style>
  <w:style w:type="character" w:customStyle="1" w:styleId="9">
    <w:name w:val="正文文本 Char"/>
    <w:basedOn w:val="7"/>
    <w:link w:val="2"/>
    <w:semiHidden/>
    <w:qFormat/>
    <w:uiPriority w:val="0"/>
    <w:rPr>
      <w:rFonts w:ascii="方正仿宋_GBK" w:hAnsi="方正仿宋_GBK" w:eastAsia="方正仿宋_GBK" w:cs="方正仿宋_GBK"/>
      <w:sz w:val="32"/>
      <w:szCs w:val="32"/>
      <w:lang w:val="zh-CN" w:bidi="zh-CN"/>
    </w:rPr>
  </w:style>
  <w:style w:type="character" w:customStyle="1" w:styleId="10">
    <w:name w:val="页脚 Char"/>
    <w:basedOn w:val="7"/>
    <w:link w:val="4"/>
    <w:semiHidden/>
    <w:qFormat/>
    <w:uiPriority w:val="0"/>
    <w:rPr>
      <w:sz w:val="18"/>
      <w:szCs w:val="18"/>
    </w:rPr>
  </w:style>
  <w:style w:type="character" w:customStyle="1" w:styleId="11">
    <w:name w:val="页眉 Char"/>
    <w:basedOn w:val="7"/>
    <w:link w:val="5"/>
    <w:semiHidden/>
    <w:qFormat/>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3">
    <w:name w:val="page numb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29</Pages>
  <Words>10383</Words>
  <Characters>12340</Characters>
  <Lines>69</Lines>
  <Paragraphs>19</Paragraphs>
  <TotalTime>3</TotalTime>
  <ScaleCrop>false</ScaleCrop>
  <LinksUpToDate>false</LinksUpToDate>
  <CharactersWithSpaces>13145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2022-02-11T19:16:00Z</dcterms:created>
  <dc:creator>闫超</dc:creator>
  <cp:lastModifiedBy>Administrator</cp:lastModifiedBy>
  <dcterms:modified xsi:type="dcterms:W3CDTF">2022-04-19T03:08:08Z</dcterms:modified>
  <dc:title>闫超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B91D462B32524C8AA54F3818897D931C</vt:lpwstr>
  </property>
</Properties>
</file>