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</w:t>
      </w:r>
      <w:r>
        <w:rPr>
          <w:rFonts w:ascii="黑体" w:hAnsi="黑体" w:eastAsia="黑体"/>
          <w:sz w:val="32"/>
          <w:szCs w:val="32"/>
        </w:rPr>
        <w:t>3</w:t>
      </w:r>
      <w:r>
        <w:rPr>
          <w:rFonts w:hint="eastAsia" w:ascii="黑体" w:hAnsi="黑体" w:eastAsia="黑体"/>
          <w:sz w:val="32"/>
          <w:szCs w:val="32"/>
        </w:rPr>
        <w:t>：</w:t>
      </w:r>
    </w:p>
    <w:p>
      <w:pPr>
        <w:widowControl/>
        <w:spacing w:before="100" w:beforeAutospacing="1" w:after="100" w:afterAutospacing="1"/>
        <w:jc w:val="center"/>
        <w:outlineLvl w:val="1"/>
        <w:rPr>
          <w:rFonts w:ascii="方正小标宋_GBK" w:hAnsi="宋体" w:eastAsia="方正小标宋_GBK"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方正小标宋_GBK" w:hAnsi="宋体" w:eastAsia="方正小标宋_GBK"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hint="eastAsia" w:ascii="方正小标宋_GBK" w:hAnsi="宋体" w:eastAsia="方正小标宋_GBK"/>
          <w:kern w:val="0"/>
          <w:sz w:val="44"/>
          <w:szCs w:val="44"/>
        </w:rPr>
      </w:pPr>
      <w:r>
        <w:rPr>
          <w:rFonts w:hint="eastAsia" w:ascii="方正小标宋_GBK" w:hAnsi="宋体" w:eastAsia="方正小标宋_GBK"/>
          <w:kern w:val="0"/>
          <w:sz w:val="44"/>
          <w:szCs w:val="44"/>
        </w:rPr>
        <w:t>昌吉州林业技术推广中心2022年</w:t>
      </w:r>
    </w:p>
    <w:p>
      <w:pPr>
        <w:widowControl/>
        <w:spacing w:before="100" w:beforeAutospacing="1" w:after="100" w:afterAutospacing="1"/>
        <w:jc w:val="center"/>
        <w:outlineLvl w:val="1"/>
        <w:rPr>
          <w:rFonts w:ascii="方正小标宋_GBK" w:hAnsi="宋体" w:eastAsia="方正小标宋_GBK"/>
          <w:kern w:val="0"/>
          <w:sz w:val="44"/>
          <w:szCs w:val="44"/>
        </w:rPr>
      </w:pPr>
      <w:r>
        <w:rPr>
          <w:rFonts w:hint="eastAsia" w:ascii="方正小标宋_GBK" w:hAnsi="宋体" w:eastAsia="方正小标宋_GBK"/>
          <w:kern w:val="0"/>
          <w:sz w:val="44"/>
          <w:szCs w:val="44"/>
        </w:rPr>
        <w:t>部门预算公开</w:t>
      </w:r>
    </w:p>
    <w:p>
      <w:pPr>
        <w:widowControl/>
        <w:spacing w:before="100" w:beforeAutospacing="1" w:after="100" w:afterAutospacing="1"/>
        <w:jc w:val="center"/>
        <w:outlineLvl w:val="1"/>
        <w:rPr>
          <w:rFonts w:ascii="方正小标宋_GBK" w:hAnsi="宋体" w:eastAsia="方正小标宋_GBK"/>
          <w:kern w:val="0"/>
          <w:sz w:val="44"/>
          <w:szCs w:val="44"/>
        </w:rPr>
      </w:pPr>
    </w:p>
    <w:p>
      <w:pPr>
        <w:widowControl/>
        <w:spacing w:line="440" w:lineRule="exact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both"/>
        <w:outlineLvl w:val="1"/>
        <w:rPr>
          <w:rFonts w:ascii="黑体" w:hAnsi="黑体" w:eastAsia="黑体"/>
          <w:kern w:val="0"/>
          <w:sz w:val="36"/>
          <w:szCs w:val="32"/>
        </w:rPr>
        <w:sectPr>
          <w:footerReference r:id="rId3" w:type="default"/>
          <w:pgSz w:w="11906" w:h="16838"/>
          <w:pgMar w:top="2098" w:right="1418" w:bottom="1928" w:left="1588" w:header="851" w:footer="992" w:gutter="0"/>
          <w:pgNumType w:fmt="numberInDash" w:start="53"/>
          <w:cols w:space="720" w:num="1"/>
          <w:docGrid w:linePitch="312" w:charSpace="0"/>
        </w:sectPr>
      </w:pPr>
    </w:p>
    <w:p>
      <w:pPr>
        <w:spacing w:line="560" w:lineRule="exact"/>
        <w:jc w:val="center"/>
        <w:rPr>
          <w:rFonts w:ascii="黑体" w:hAnsi="黑体" w:eastAsia="黑体" w:cs="黑体"/>
          <w:kern w:val="0"/>
          <w:sz w:val="32"/>
          <w:szCs w:val="32"/>
        </w:rPr>
      </w:pPr>
      <w:r>
        <w:rPr>
          <w:rFonts w:hint="eastAsia" w:ascii="黑体" w:hAnsi="黑体" w:eastAsia="黑体" w:cs="黑体"/>
          <w:kern w:val="0"/>
          <w:sz w:val="32"/>
          <w:szCs w:val="32"/>
        </w:rPr>
        <w:t>目 录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 xml:space="preserve">第一部分  </w:t>
      </w:r>
      <w:r>
        <w:rPr>
          <w:rFonts w:hint="eastAsia" w:ascii="仿宋_GB2312" w:hAnsi="宋体" w:eastAsia="仿宋_GB2312"/>
          <w:b/>
          <w:kern w:val="0"/>
          <w:sz w:val="32"/>
          <w:szCs w:val="32"/>
        </w:rPr>
        <w:t>昌吉州林业技术推广中心</w:t>
      </w: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概况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一、主要职能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二、机构设置及人员情况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第二部分  2022年</w:t>
      </w: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  <w:lang w:val="en-US" w:eastAsia="zh-CN"/>
        </w:rPr>
        <w:t>昌吉州林业技术推广中心</w:t>
      </w: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预算公开表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一、部门（单位）收支总体情况表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二、部门（单位）收入总体情况表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三、部门（单位）支出总体情况表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四、财政拨款收支总体情况表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五、一般公共预算支出情况表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六、一般公共预算基本支出情况表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七、一般公共预算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项目支出情况表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八、一般公共预算“三公”经费支出情况表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九、政府性基金预算支出情况表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第三部分  2022年部门（单位）预算情况说明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一、关于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昌吉州林业技术推广中心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2022年收支预算情况的总体说明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二、关于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昌吉州林业技术推广中心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2022年收入预算情况说明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三、关于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昌吉州林业技术推广中心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2022年支出预算情况说明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bCs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四、关于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  <w:lang w:eastAsia="zh-CN"/>
        </w:rPr>
        <w:t>昌吉州林业技术推广中心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年财政拨款收支预算情况的总体说明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pacing w:val="-6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五、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</w:rPr>
        <w:t>关于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  <w:lang w:eastAsia="zh-CN"/>
        </w:rPr>
        <w:t>昌吉州林业技术推广中心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</w:rPr>
        <w:t>年一般公共预算当年拨款情况说明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pacing w:val="-6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六、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</w:rPr>
        <w:t>关于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  <w:lang w:eastAsia="zh-CN"/>
        </w:rPr>
        <w:t>昌吉州林业技术推广中心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</w:rPr>
        <w:t>年一般公共预算基本支出情况说明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pacing w:val="-6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七、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</w:rPr>
        <w:t>关于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  <w:lang w:eastAsia="zh-CN"/>
        </w:rPr>
        <w:t>昌吉州林业技术推广中心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</w:rPr>
        <w:t>年一般公共预算项目支出情况说明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八、关于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昌吉州林业技术推广中心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2022年一般公共预算“三公”经费预算情况说明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九、关于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昌吉州林业技术推广中心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2022年政府性基金预算拨款情况说明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十、其他重要事项的情况说明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第四部分  名词解释</w:t>
      </w:r>
    </w:p>
    <w:p>
      <w:pPr>
        <w:spacing w:line="60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  <w:sectPr>
          <w:footerReference r:id="rId4" w:type="default"/>
          <w:pgSz w:w="11906" w:h="16838"/>
          <w:pgMar w:top="2098" w:right="1418" w:bottom="1928" w:left="1588" w:header="851" w:footer="992" w:gutter="0"/>
          <w:pgNumType w:fmt="numberInDash"/>
          <w:cols w:space="720" w:num="1"/>
          <w:docGrid w:linePitch="312" w:charSpace="0"/>
        </w:sectPr>
      </w:pPr>
    </w:p>
    <w:p>
      <w:pPr>
        <w:widowControl/>
        <w:spacing w:line="54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 xml:space="preserve">第一部分   </w:t>
      </w:r>
      <w:r>
        <w:rPr>
          <w:rFonts w:hint="eastAsia" w:ascii="黑体" w:hAnsi="黑体" w:eastAsia="黑体"/>
          <w:kern w:val="0"/>
          <w:sz w:val="32"/>
          <w:szCs w:val="32"/>
          <w:lang w:eastAsia="zh-CN"/>
        </w:rPr>
        <w:t>昌吉州林业技术推广中心</w:t>
      </w:r>
      <w:r>
        <w:rPr>
          <w:rFonts w:hint="eastAsia" w:ascii="黑体" w:hAnsi="黑体" w:eastAsia="黑体"/>
          <w:kern w:val="0"/>
          <w:sz w:val="32"/>
          <w:szCs w:val="32"/>
        </w:rPr>
        <w:t>概况</w:t>
      </w:r>
    </w:p>
    <w:p>
      <w:pPr>
        <w:widowControl/>
        <w:spacing w:line="540" w:lineRule="exact"/>
        <w:jc w:val="center"/>
        <w:outlineLvl w:val="1"/>
        <w:rPr>
          <w:rFonts w:ascii="宋体" w:hAnsi="宋体"/>
          <w:b/>
          <w:kern w:val="0"/>
          <w:sz w:val="32"/>
          <w:szCs w:val="32"/>
        </w:rPr>
      </w:pPr>
    </w:p>
    <w:p>
      <w:pPr>
        <w:widowControl/>
        <w:spacing w:line="540" w:lineRule="exact"/>
        <w:ind w:firstLine="643" w:firstLineChars="200"/>
        <w:jc w:val="left"/>
        <w:rPr>
          <w:rFonts w:ascii="楷体_GB2312" w:hAnsi="楷体_GB2312" w:eastAsia="楷体_GB2312" w:cs="楷体_GB2312"/>
          <w:b/>
          <w:bCs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一、主要职能</w:t>
      </w:r>
    </w:p>
    <w:p>
      <w:pPr>
        <w:widowControl/>
        <w:spacing w:line="540" w:lineRule="exact"/>
        <w:jc w:val="left"/>
        <w:rPr>
          <w:rFonts w:ascii="仿宋_GB2312" w:hAnsi="宋体" w:eastAsia="仿宋_GB2312" w:cs="宋体"/>
          <w:bCs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</w:rPr>
        <w:t xml:space="preserve">   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 xml:space="preserve"> </w:t>
      </w:r>
      <w:r>
        <w:rPr>
          <w:rFonts w:hint="eastAsia" w:ascii="仿宋_GB2312" w:hAnsi="宋体" w:eastAsia="仿宋_GB2312"/>
          <w:sz w:val="32"/>
          <w:szCs w:val="32"/>
        </w:rPr>
        <w:t>开展林业实用技术研究。林业应用技术推广，新品种引进试验，林业技术咨询服务，项目勘察设计，技术鉴定和培训。</w:t>
      </w:r>
      <w:r>
        <w:rPr>
          <w:rFonts w:hint="eastAsia" w:ascii="仿宋_GB2312" w:hAnsi="宋体" w:eastAsia="仿宋_GB2312" w:cs="宋体"/>
          <w:bCs/>
          <w:kern w:val="0"/>
          <w:sz w:val="32"/>
          <w:szCs w:val="32"/>
        </w:rPr>
        <w:t xml:space="preserve"> </w:t>
      </w:r>
    </w:p>
    <w:p>
      <w:pPr>
        <w:widowControl/>
        <w:spacing w:line="540" w:lineRule="exact"/>
        <w:ind w:firstLine="643" w:firstLineChars="200"/>
        <w:jc w:val="left"/>
        <w:rPr>
          <w:rFonts w:ascii="楷体_GB2312" w:hAnsi="楷体_GB2312" w:eastAsia="楷体_GB2312" w:cs="楷体_GB2312"/>
          <w:b/>
          <w:bCs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二、机构设置及人员情况</w:t>
      </w:r>
    </w:p>
    <w:p>
      <w:pPr>
        <w:widowControl/>
        <w:spacing w:line="560" w:lineRule="exact"/>
        <w:ind w:firstLine="640" w:firstLineChars="20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>昌吉回族自治州林业技术推广中心无下属预算单位，下设6个处室，分别是：</w:t>
      </w:r>
      <w:r>
        <w:rPr>
          <w:rFonts w:hint="eastAsia" w:ascii="仿宋_GB2312" w:hAnsi="宋体" w:eastAsia="仿宋_GB2312"/>
          <w:sz w:val="32"/>
          <w:szCs w:val="32"/>
        </w:rPr>
        <w:t>办公室、科研推广室、实验站、工程规划科、林产品质量安全检验检测站、科教管理科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>
      <w:pPr>
        <w:widowControl/>
        <w:spacing w:line="56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昌吉回族自治州林业技术推广中心编制数20人，实有人数2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人，其中：在职2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减少1人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；退休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7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人，增加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人；离休0人。</w:t>
      </w:r>
    </w:p>
    <w:p>
      <w:pPr>
        <w:widowControl/>
        <w:spacing w:line="440" w:lineRule="exact"/>
        <w:jc w:val="center"/>
        <w:outlineLvl w:val="1"/>
        <w:rPr>
          <w:rFonts w:hint="eastAsia" w:ascii="仿宋_GB2312" w:hAnsi="宋体" w:eastAsia="仿宋_GB2312" w:cs="宋体"/>
          <w:b/>
          <w:kern w:val="0"/>
          <w:sz w:val="32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hint="eastAsia" w:ascii="仿宋_GB2312" w:hAnsi="宋体" w:eastAsia="仿宋_GB2312" w:cs="宋体"/>
          <w:b/>
          <w:kern w:val="0"/>
          <w:sz w:val="32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hint="eastAsia" w:ascii="仿宋_GB2312" w:hAnsi="宋体" w:eastAsia="仿宋_GB2312" w:cs="宋体"/>
          <w:b/>
          <w:kern w:val="0"/>
          <w:sz w:val="32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hint="eastAsia" w:ascii="仿宋_GB2312" w:hAnsi="宋体" w:eastAsia="仿宋_GB2312" w:cs="宋体"/>
          <w:b/>
          <w:kern w:val="0"/>
          <w:sz w:val="32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hint="eastAsia" w:ascii="仿宋_GB2312" w:hAnsi="宋体" w:eastAsia="仿宋_GB2312" w:cs="宋体"/>
          <w:b/>
          <w:kern w:val="0"/>
          <w:sz w:val="32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hint="eastAsia" w:ascii="仿宋_GB2312" w:hAnsi="宋体" w:eastAsia="仿宋_GB2312" w:cs="宋体"/>
          <w:b/>
          <w:kern w:val="0"/>
          <w:sz w:val="32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hint="eastAsia" w:ascii="仿宋_GB2312" w:hAnsi="宋体" w:eastAsia="仿宋_GB2312" w:cs="宋体"/>
          <w:b/>
          <w:kern w:val="0"/>
          <w:sz w:val="32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hint="eastAsia" w:ascii="仿宋_GB2312" w:hAnsi="宋体" w:eastAsia="仿宋_GB2312" w:cs="宋体"/>
          <w:b/>
          <w:kern w:val="0"/>
          <w:sz w:val="32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hint="eastAsia" w:ascii="仿宋_GB2312" w:hAnsi="宋体" w:eastAsia="仿宋_GB2312" w:cs="宋体"/>
          <w:b/>
          <w:kern w:val="0"/>
          <w:sz w:val="32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hint="eastAsia" w:ascii="仿宋_GB2312" w:hAnsi="宋体" w:eastAsia="仿宋_GB2312" w:cs="宋体"/>
          <w:b/>
          <w:kern w:val="0"/>
          <w:sz w:val="32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hint="eastAsia" w:ascii="仿宋_GB2312" w:hAnsi="宋体" w:eastAsia="仿宋_GB2312" w:cs="宋体"/>
          <w:b/>
          <w:kern w:val="0"/>
          <w:sz w:val="32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hint="eastAsia" w:ascii="仿宋_GB2312" w:hAnsi="宋体" w:eastAsia="仿宋_GB2312" w:cs="宋体"/>
          <w:b/>
          <w:kern w:val="0"/>
          <w:sz w:val="32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hint="eastAsia" w:ascii="仿宋_GB2312" w:hAnsi="宋体" w:eastAsia="仿宋_GB2312" w:cs="宋体"/>
          <w:b/>
          <w:kern w:val="0"/>
          <w:sz w:val="32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hint="eastAsia" w:ascii="仿宋_GB2312" w:hAnsi="宋体" w:eastAsia="仿宋_GB2312" w:cs="宋体"/>
          <w:b/>
          <w:kern w:val="0"/>
          <w:sz w:val="32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hint="eastAsia" w:ascii="仿宋_GB2312" w:hAnsi="宋体" w:eastAsia="仿宋_GB2312" w:cs="宋体"/>
          <w:b/>
          <w:kern w:val="0"/>
          <w:sz w:val="32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hint="eastAsia" w:ascii="仿宋_GB2312" w:hAnsi="宋体" w:eastAsia="仿宋_GB2312" w:cs="宋体"/>
          <w:b/>
          <w:kern w:val="0"/>
          <w:sz w:val="32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hint="eastAsia" w:ascii="仿宋_GB2312" w:hAnsi="宋体" w:eastAsia="仿宋_GB2312" w:cs="宋体"/>
          <w:b/>
          <w:kern w:val="0"/>
          <w:sz w:val="32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 xml:space="preserve">第二部分  </w:t>
      </w:r>
      <w:r>
        <w:rPr>
          <w:rFonts w:ascii="黑体" w:hAnsi="黑体" w:eastAsia="黑体"/>
          <w:kern w:val="0"/>
          <w:sz w:val="32"/>
          <w:szCs w:val="32"/>
        </w:rPr>
        <w:t>2022</w:t>
      </w:r>
      <w:r>
        <w:rPr>
          <w:rFonts w:hint="eastAsia" w:ascii="黑体" w:hAnsi="黑体" w:eastAsia="黑体"/>
          <w:kern w:val="0"/>
          <w:sz w:val="32"/>
          <w:szCs w:val="32"/>
        </w:rPr>
        <w:t>年部门（单位）预算公开表</w:t>
      </w:r>
    </w:p>
    <w:p>
      <w:pPr>
        <w:widowControl/>
        <w:spacing w:line="240" w:lineRule="exact"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  <w:r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  <w:t>表1</w:t>
      </w:r>
    </w:p>
    <w:p>
      <w:pPr>
        <w:widowControl/>
        <w:spacing w:line="36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部门（单位）收支总体情况表</w:t>
      </w:r>
    </w:p>
    <w:p>
      <w:pPr>
        <w:widowControl/>
        <w:spacing w:line="28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280" w:lineRule="exac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编制部门（单位）：</w:t>
      </w:r>
      <w:r>
        <w:rPr>
          <w:rFonts w:hint="eastAsia" w:ascii="仿宋_GB2312" w:hAnsi="宋体" w:eastAsia="仿宋_GB2312"/>
          <w:kern w:val="0"/>
          <w:sz w:val="24"/>
          <w:lang w:val="en-US" w:eastAsia="zh-CN"/>
        </w:rPr>
        <w:t>昌吉州林业技术推广中心</w:t>
      </w:r>
      <w:r>
        <w:rPr>
          <w:rFonts w:hint="eastAsia" w:ascii="仿宋_GB2312" w:hAnsi="宋体" w:eastAsia="仿宋_GB2312"/>
          <w:kern w:val="0"/>
          <w:sz w:val="24"/>
        </w:rPr>
        <w:t xml:space="preserve"> </w:t>
      </w:r>
      <w:r>
        <w:rPr>
          <w:rFonts w:hint="eastAsia" w:ascii="仿宋_GB2312" w:hAnsi="宋体" w:eastAsia="仿宋_GB2312"/>
          <w:kern w:val="0"/>
          <w:sz w:val="24"/>
          <w:lang w:val="en-US" w:eastAsia="zh-CN"/>
        </w:rPr>
        <w:t xml:space="preserve">                    </w:t>
      </w:r>
      <w:r>
        <w:rPr>
          <w:rFonts w:hint="eastAsia" w:ascii="仿宋_GB2312" w:hAnsi="宋体" w:eastAsia="仿宋_GB2312"/>
          <w:kern w:val="0"/>
          <w:sz w:val="24"/>
        </w:rPr>
        <w:t>单位：万元</w:t>
      </w:r>
    </w:p>
    <w:tbl>
      <w:tblPr>
        <w:tblStyle w:val="6"/>
        <w:tblW w:w="8662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80"/>
        <w:gridCol w:w="1988"/>
        <w:gridCol w:w="2693"/>
        <w:gridCol w:w="170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2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bottom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收     入</w:t>
            </w:r>
          </w:p>
        </w:tc>
        <w:tc>
          <w:tcPr>
            <w:tcW w:w="439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支     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项     目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预算数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功能分类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预算数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201 一般公共服务支出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   一般公共预算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387.46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202 外交支出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   政府性基金预算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203 国防支出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   国有资本经营预算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204 公共安全支出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财政专户（教育收费）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205 教育支出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事业收入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206 科学技术支出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事业单位经营收入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207 文化旅游体育与传媒支出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单位其他资金收入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208 社会保障和就业支出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38.59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209 社会保险基金支出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210卫生健康支出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29.86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211 节能环保支出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212 城乡社区支出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213 农林水支出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285.55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214 交通运输支出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215 资源勘探信息等支出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216 商业服务业等支出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217 金融支出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219 援助其他地区支出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220 自然资源海洋气象等支出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221 住房保障支出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33.46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222 粮油物资储备支出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223 国有资本经营预算支出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224灾害防治及应急管理支出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227 预备费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229 其他支出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230转移性支出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231 债务还本支出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232 债务付息支出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233 债务发行费用支出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bidi="ar"/>
              </w:rPr>
              <w:t>234 抗疫特别国债还本支出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textAlignment w:val="center"/>
              <w:rPr>
                <w:rFonts w:ascii="仿宋_GB2312" w:hAnsi="宋体" w:eastAsia="仿宋_GB2312" w:cs="宋体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收  入  总  计</w:t>
            </w: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387.46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支  出  总  计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387.46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</w:tbl>
    <w:p>
      <w:pPr>
        <w:widowControl/>
        <w:spacing w:line="280" w:lineRule="exact"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  <w:r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  <w:t>表2</w:t>
      </w:r>
    </w:p>
    <w:p>
      <w:pPr>
        <w:widowControl/>
        <w:spacing w:line="440" w:lineRule="exact"/>
        <w:jc w:val="center"/>
        <w:outlineLvl w:val="1"/>
        <w:rPr>
          <w:rFonts w:ascii="方正小标宋_GBK" w:hAnsi="方正小标宋_GBK" w:eastAsia="方正小标宋_GBK" w:cs="方正小标宋_GBK"/>
          <w:bCs/>
          <w:kern w:val="0"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bCs/>
          <w:kern w:val="0"/>
          <w:sz w:val="36"/>
          <w:szCs w:val="36"/>
        </w:rPr>
        <w:t>部门（单位）收入总体情况表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编制部门（单位）：</w:t>
      </w:r>
      <w:r>
        <w:rPr>
          <w:rFonts w:hint="eastAsia" w:ascii="仿宋_GB2312" w:hAnsi="宋体" w:eastAsia="仿宋_GB2312"/>
          <w:kern w:val="0"/>
          <w:sz w:val="24"/>
          <w:lang w:val="en-US" w:eastAsia="zh-CN"/>
        </w:rPr>
        <w:t>昌吉州林业技术推广中心</w:t>
      </w:r>
      <w:r>
        <w:rPr>
          <w:rFonts w:hint="eastAsia" w:ascii="仿宋_GB2312" w:hAnsi="宋体" w:eastAsia="仿宋_GB2312"/>
          <w:kern w:val="0"/>
          <w:sz w:val="24"/>
        </w:rPr>
        <w:t xml:space="preserve">                </w:t>
      </w:r>
      <w:r>
        <w:rPr>
          <w:rFonts w:hint="eastAsia" w:ascii="仿宋_GB2312" w:hAnsi="宋体" w:eastAsia="仿宋_GB2312"/>
          <w:kern w:val="0"/>
          <w:sz w:val="24"/>
          <w:lang w:val="en-US" w:eastAsia="zh-CN"/>
        </w:rPr>
        <w:t xml:space="preserve">    </w:t>
      </w:r>
      <w:r>
        <w:rPr>
          <w:rFonts w:hint="eastAsia" w:ascii="仿宋_GB2312" w:hAnsi="宋体" w:eastAsia="仿宋_GB2312"/>
          <w:kern w:val="0"/>
          <w:sz w:val="24"/>
        </w:rPr>
        <w:t xml:space="preserve">   单位：万元</w:t>
      </w:r>
    </w:p>
    <w:tbl>
      <w:tblPr>
        <w:tblStyle w:val="6"/>
        <w:tblW w:w="9741" w:type="dxa"/>
        <w:tblInd w:w="-45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7"/>
        <w:gridCol w:w="417"/>
        <w:gridCol w:w="417"/>
        <w:gridCol w:w="2145"/>
        <w:gridCol w:w="1018"/>
        <w:gridCol w:w="850"/>
        <w:gridCol w:w="709"/>
        <w:gridCol w:w="795"/>
        <w:gridCol w:w="921"/>
        <w:gridCol w:w="660"/>
        <w:gridCol w:w="708"/>
        <w:gridCol w:w="68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25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功能分类科目编码</w:t>
            </w:r>
          </w:p>
        </w:tc>
        <w:tc>
          <w:tcPr>
            <w:tcW w:w="214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功能分类科目名称</w:t>
            </w:r>
          </w:p>
        </w:tc>
        <w:tc>
          <w:tcPr>
            <w:tcW w:w="101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总  计</w:t>
            </w:r>
          </w:p>
        </w:tc>
        <w:tc>
          <w:tcPr>
            <w:tcW w:w="85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一般公共预算拨款</w:t>
            </w:r>
          </w:p>
        </w:tc>
        <w:tc>
          <w:tcPr>
            <w:tcW w:w="70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政府性基金预算拨款</w:t>
            </w:r>
          </w:p>
        </w:tc>
        <w:tc>
          <w:tcPr>
            <w:tcW w:w="79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国有资本经营预算</w:t>
            </w:r>
          </w:p>
        </w:tc>
        <w:tc>
          <w:tcPr>
            <w:tcW w:w="92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财政专户（教育收费）</w:t>
            </w:r>
          </w:p>
        </w:tc>
        <w:tc>
          <w:tcPr>
            <w:tcW w:w="66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事业收入</w:t>
            </w:r>
          </w:p>
        </w:tc>
        <w:tc>
          <w:tcPr>
            <w:tcW w:w="70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事业单位经营收入</w:t>
            </w:r>
          </w:p>
        </w:tc>
        <w:tc>
          <w:tcPr>
            <w:tcW w:w="68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单位其他资金收入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0" w:hRule="atLeast"/>
        </w:trPr>
        <w:tc>
          <w:tcPr>
            <w:tcW w:w="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类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款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项</w:t>
            </w:r>
          </w:p>
        </w:tc>
        <w:tc>
          <w:tcPr>
            <w:tcW w:w="214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101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79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92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</w:trPr>
        <w:tc>
          <w:tcPr>
            <w:tcW w:w="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208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社会保障和就业支出</w:t>
            </w:r>
          </w:p>
        </w:tc>
        <w:tc>
          <w:tcPr>
            <w:tcW w:w="1018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38.59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38.59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921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4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</w:trPr>
        <w:tc>
          <w:tcPr>
            <w:tcW w:w="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208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05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行政事业单位养老支出</w:t>
            </w:r>
          </w:p>
        </w:tc>
        <w:tc>
          <w:tcPr>
            <w:tcW w:w="1018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38.59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38.59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921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4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208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05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02</w:t>
            </w: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事业单位离退休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0.60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0.60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208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05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05</w:t>
            </w: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机关事业单位基本养老保险缴费支出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37.99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37.99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210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卫生健康支出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29.86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29.86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210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11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事业单位医疗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29.86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29.86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210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11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02</w:t>
            </w: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事业单位医疗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22.57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22.57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210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11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03</w:t>
            </w: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公务员医疗补助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7.12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7.12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210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11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99</w:t>
            </w: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其他行政事业单位医疗支出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0.17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0.17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213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农林水支出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285.55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285.55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213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02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林业和草原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285.55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285.55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213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02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04</w:t>
            </w: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事业机构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285.55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285.55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221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住房保障支出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33.46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33.46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221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02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住房改革支出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33.46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33.46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221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02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01</w:t>
            </w: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住房公积金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33.46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33.46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bCs/>
                <w:color w:val="000000"/>
                <w:sz w:val="20"/>
                <w:szCs w:val="20"/>
              </w:rPr>
              <w:t>合  计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387.46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387.46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</w:tbl>
    <w:p>
      <w:pPr>
        <w:widowControl/>
        <w:spacing w:line="280" w:lineRule="exact"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  <w:r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  <w:t>表3</w:t>
      </w:r>
    </w:p>
    <w:p>
      <w:pPr>
        <w:widowControl/>
        <w:spacing w:line="360" w:lineRule="exact"/>
        <w:jc w:val="center"/>
        <w:outlineLvl w:val="1"/>
        <w:rPr>
          <w:rFonts w:ascii="方正小标宋_GBK" w:hAnsi="方正小标宋_GBK" w:eastAsia="方正小标宋_GBK" w:cs="方正小标宋_GBK"/>
          <w:bCs/>
          <w:kern w:val="0"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bCs/>
          <w:kern w:val="0"/>
          <w:sz w:val="36"/>
          <w:szCs w:val="36"/>
        </w:rPr>
        <w:t>部门（单位）支出总体情况表</w:t>
      </w:r>
    </w:p>
    <w:p>
      <w:pPr>
        <w:widowControl/>
        <w:spacing w:line="28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280" w:lineRule="exact"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编制部门（单位）：</w:t>
      </w:r>
      <w:r>
        <w:rPr>
          <w:rFonts w:hint="eastAsia" w:ascii="仿宋_GB2312" w:hAnsi="宋体" w:eastAsia="仿宋_GB2312"/>
          <w:kern w:val="0"/>
          <w:sz w:val="24"/>
          <w:lang w:val="en-US" w:eastAsia="zh-CN"/>
        </w:rPr>
        <w:t>昌吉州林业技术推广中心</w:t>
      </w:r>
      <w:r>
        <w:rPr>
          <w:rFonts w:hint="eastAsia" w:ascii="仿宋_GB2312" w:hAnsi="宋体" w:eastAsia="仿宋_GB2312"/>
          <w:kern w:val="0"/>
          <w:sz w:val="24"/>
        </w:rPr>
        <w:t xml:space="preserve">                   单位：万元</w:t>
      </w:r>
    </w:p>
    <w:tbl>
      <w:tblPr>
        <w:tblStyle w:val="6"/>
        <w:tblW w:w="9420" w:type="dxa"/>
        <w:tblInd w:w="-24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1"/>
        <w:gridCol w:w="400"/>
        <w:gridCol w:w="400"/>
        <w:gridCol w:w="2604"/>
        <w:gridCol w:w="1855"/>
        <w:gridCol w:w="1856"/>
        <w:gridCol w:w="190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380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项    目</w:t>
            </w:r>
          </w:p>
        </w:tc>
        <w:tc>
          <w:tcPr>
            <w:tcW w:w="561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支出预算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2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604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855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合  计</w:t>
            </w:r>
          </w:p>
        </w:tc>
        <w:tc>
          <w:tcPr>
            <w:tcW w:w="1856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904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类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款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项</w:t>
            </w:r>
          </w:p>
        </w:tc>
        <w:tc>
          <w:tcPr>
            <w:tcW w:w="260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5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5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0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208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社会保障和就业支出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38.59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38.59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208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05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行政事业单位养老支出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38.59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38.59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208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05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02</w:t>
            </w: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事业单位离退休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0.60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0.60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208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05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05</w:t>
            </w: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机关事业单位基本养老保险缴费支出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37.99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37.99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210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卫生健康支出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29.86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29.86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210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11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事业单位医疗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29.86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29.86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210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11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02</w:t>
            </w: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事业单位医疗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22.57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22.57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210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11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03</w:t>
            </w: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公务员医疗补助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7.12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7.12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210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11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99</w:t>
            </w: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其他行政事业单位医疗支出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0.17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0.17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213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农林水支出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285.55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285.55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213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02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林业和草原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285.55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285.55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213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02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04</w:t>
            </w: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事业机构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285.55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285.55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221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住房保障支出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33.46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33.46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221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02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住房改革支出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33.46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33.46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221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02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01</w:t>
            </w: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住房公积金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33.46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33.46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合  计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387.46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387.46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  <w:r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  <w:t>表4</w:t>
      </w:r>
    </w:p>
    <w:p>
      <w:pPr>
        <w:widowControl/>
        <w:spacing w:before="120" w:beforeLines="50" w:line="28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财政拨款收支预算总体情况表</w:t>
      </w:r>
    </w:p>
    <w:p>
      <w:pPr>
        <w:widowControl/>
        <w:spacing w:before="120" w:beforeLines="50" w:line="280" w:lineRule="exact"/>
        <w:outlineLvl w:val="1"/>
        <w:rPr>
          <w:rFonts w:ascii="仿宋_GB2312" w:hAnsi="宋体" w:eastAsia="仿宋_GB2312"/>
          <w:kern w:val="0"/>
          <w:szCs w:val="21"/>
        </w:rPr>
      </w:pPr>
      <w:r>
        <w:rPr>
          <w:rFonts w:hint="eastAsia" w:ascii="仿宋_GB2312" w:hAnsi="宋体" w:eastAsia="仿宋_GB2312"/>
          <w:kern w:val="0"/>
          <w:szCs w:val="21"/>
        </w:rPr>
        <w:t>编制部门（单位）：</w:t>
      </w:r>
      <w:r>
        <w:rPr>
          <w:rFonts w:hint="eastAsia" w:ascii="仿宋_GB2312" w:hAnsi="宋体" w:eastAsia="仿宋_GB2312"/>
          <w:kern w:val="0"/>
          <w:szCs w:val="21"/>
          <w:lang w:val="en-US" w:eastAsia="zh-CN"/>
        </w:rPr>
        <w:t>昌吉州林业技术推广中心</w:t>
      </w:r>
      <w:r>
        <w:rPr>
          <w:rFonts w:hint="eastAsia" w:ascii="仿宋_GB2312" w:hAnsi="宋体" w:eastAsia="仿宋_GB2312"/>
          <w:kern w:val="0"/>
          <w:szCs w:val="21"/>
        </w:rPr>
        <w:t xml:space="preserve">                                 单位：万元</w:t>
      </w:r>
    </w:p>
    <w:tbl>
      <w:tblPr>
        <w:tblStyle w:val="6"/>
        <w:tblW w:w="9449" w:type="dxa"/>
        <w:tblInd w:w="-24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36"/>
        <w:gridCol w:w="914"/>
        <w:gridCol w:w="2580"/>
        <w:gridCol w:w="900"/>
        <w:gridCol w:w="851"/>
        <w:gridCol w:w="1134"/>
        <w:gridCol w:w="113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8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财政拨款收入</w:t>
            </w:r>
          </w:p>
        </w:tc>
        <w:tc>
          <w:tcPr>
            <w:tcW w:w="6599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财政拨款支出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项    目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合  计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功  能  分  类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合 计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一般公共预算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政府性基金预算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00" w:lineRule="exact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国有资本经营预算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201 一般公共服务支出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 xml:space="preserve">  一般公共预算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387.46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202 外交支出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 xml:space="preserve">  政府性基金预算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203 国防支出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 国有资本经营预算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204 公共安全支出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205 教育支出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206 科学技术支出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207 文化旅游体育与传媒支出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208 社会保障和就业支出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38.59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38.59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209 社会保险基金支出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210卫生健康支出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29.86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29.86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211 节能环保支出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212 城乡社区支出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213 农林水支出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285.55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285.55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214 交通运输支出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215 资源勘探信息等支出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216 商业服务业等支出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217 金融支出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219 援助其他地区支出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220 自然资源海洋气象等支出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221 住房保障支出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33.46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33.46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222 粮油物资储备支出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223 国有资本经营预算支出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224灾害防治及应急管理支出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227 预备费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229 其他支出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230转移性支出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231 债务还本支出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232 债务付息支出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233 债务发行费用支出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234 抗疫特别国债还本支出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收  入  总  计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  <w:t>387.46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支  出  总  计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387.46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387.46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</w:tbl>
    <w:p>
      <w:pPr>
        <w:widowControl/>
        <w:spacing w:line="320" w:lineRule="exact"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  <w:r>
        <w:rPr>
          <w:rFonts w:ascii="仿宋_GB2312" w:hAnsi="宋体" w:eastAsia="仿宋_GB2312"/>
          <w:b/>
          <w:kern w:val="0"/>
          <w:sz w:val="28"/>
          <w:szCs w:val="32"/>
        </w:rPr>
        <w:t xml:space="preserve"> </w:t>
      </w: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  <w:r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  <w:t>表5</w:t>
      </w:r>
    </w:p>
    <w:tbl>
      <w:tblPr>
        <w:tblStyle w:val="6"/>
        <w:tblW w:w="9214" w:type="dxa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8"/>
        <w:gridCol w:w="492"/>
        <w:gridCol w:w="417"/>
        <w:gridCol w:w="2510"/>
        <w:gridCol w:w="660"/>
        <w:gridCol w:w="1024"/>
        <w:gridCol w:w="216"/>
        <w:gridCol w:w="1626"/>
        <w:gridCol w:w="170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214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方正小标宋_GBK" w:hAnsi="方正小标宋_GBK" w:eastAsia="方正小标宋_GBK" w:cs="方正小标宋_GBK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小标宋_GBK" w:hAnsi="方正小标宋_GBK" w:eastAsia="方正小标宋_GBK" w:cs="方正小标宋_GBK"/>
                <w:color w:val="000000"/>
                <w:kern w:val="0"/>
                <w:sz w:val="32"/>
                <w:szCs w:val="32"/>
              </w:rPr>
              <w:t>一般公共预算支出情况表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98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编制部门（单位）：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  <w:t>昌吉州林业技术推广中心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</w:t>
            </w:r>
          </w:p>
        </w:tc>
        <w:tc>
          <w:tcPr>
            <w:tcW w:w="33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398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项   目</w:t>
            </w:r>
          </w:p>
        </w:tc>
        <w:tc>
          <w:tcPr>
            <w:tcW w:w="522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一般公共预算支出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4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51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684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合  计</w:t>
            </w:r>
          </w:p>
        </w:tc>
        <w:tc>
          <w:tcPr>
            <w:tcW w:w="1842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项</w:t>
            </w:r>
          </w:p>
        </w:tc>
        <w:tc>
          <w:tcPr>
            <w:tcW w:w="251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208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社会保障和就业支出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38.59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38.59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208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05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行政事业单位养老支出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38.59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38.59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208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05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02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事业单位离退休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0.60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0.60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208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05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05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机关事业单位基本养老保险缴费支出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37.99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37.99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210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卫生健康支出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29.86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29.86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210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11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事业单位医疗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29.86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29.86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210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11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02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事业单位医疗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22.57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22.57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210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11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03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公务员医疗补助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7.12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7.12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210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11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99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其他行政事业单位医疗支出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0.17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0.17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213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农林水支出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285.55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285.55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213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02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林业和草原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285.55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285.55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213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02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04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事业机构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285.55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285.55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221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住房保障支出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33.46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33.46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221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02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住房改革支出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33.46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33.46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221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02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01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住房公积金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33.46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33.46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合  计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387.46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387.46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  <w:r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  <w:t>表6</w:t>
      </w:r>
    </w:p>
    <w:tbl>
      <w:tblPr>
        <w:tblStyle w:val="6"/>
        <w:tblW w:w="9328" w:type="dxa"/>
        <w:tblInd w:w="-14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7"/>
        <w:gridCol w:w="577"/>
        <w:gridCol w:w="2891"/>
        <w:gridCol w:w="995"/>
        <w:gridCol w:w="706"/>
        <w:gridCol w:w="976"/>
        <w:gridCol w:w="725"/>
        <w:gridCol w:w="170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328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方正小标宋_GBK" w:hAnsi="方正小标宋_GBK" w:eastAsia="方正小标宋_GBK" w:cs="方正小标宋_GBK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小标宋_GBK" w:hAnsi="方正小标宋_GBK" w:eastAsia="方正小标宋_GBK" w:cs="方正小标宋_GBK"/>
                <w:color w:val="000000"/>
                <w:kern w:val="0"/>
                <w:sz w:val="32"/>
                <w:szCs w:val="32"/>
              </w:rPr>
              <w:t>一般公共预算基本支出情况表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22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编制部门（单位）：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  <w:t>昌吉州林业技术推广中心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        </w:t>
            </w:r>
          </w:p>
        </w:tc>
        <w:tc>
          <w:tcPr>
            <w:tcW w:w="24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ind w:firstLine="720" w:firstLineChars="300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42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项目</w:t>
            </w:r>
          </w:p>
        </w:tc>
        <w:tc>
          <w:tcPr>
            <w:tcW w:w="510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一般公共预算基本支出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3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经济分类科目编码</w:t>
            </w:r>
          </w:p>
        </w:tc>
        <w:tc>
          <w:tcPr>
            <w:tcW w:w="289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经济分类科目名称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合  计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人员经费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公用经费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289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91" w:type="dxa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  <w:lang w:eastAsia="zh-CN"/>
              </w:rPr>
              <w:t>工资福利支出</w:t>
            </w:r>
          </w:p>
        </w:tc>
        <w:tc>
          <w:tcPr>
            <w:tcW w:w="1701" w:type="dxa"/>
            <w:gridSpan w:val="2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  <w:t>351.36</w:t>
            </w:r>
          </w:p>
        </w:tc>
        <w:tc>
          <w:tcPr>
            <w:tcW w:w="1701" w:type="dxa"/>
            <w:gridSpan w:val="2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  <w:t>351.36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基本工资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115.46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115.46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exac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02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津贴补贴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25.18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25.18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03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奖金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9.43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9.43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07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绩效工资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89.69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89.69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08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机关事业单位基本养老保险缴费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37.99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37.99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城镇职工基本医疗保险缴费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22.56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22.56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公务员医疗补助缴费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7.12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7.12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其他社会保障缴费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1.19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1.19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13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住房公积金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33.46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default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33.46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99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其他工资福利支出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9.28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default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9.28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eastAsia="zh-CN"/>
              </w:rPr>
              <w:t>商品和服务支出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36.1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办公费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9.59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9.59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02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印刷费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0.5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0.5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07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邮电费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0.5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0.5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09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物业管理费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28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工会经费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4.47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4.47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29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福利费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4.02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4.02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公务用车运行维护费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1.6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1.6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99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其他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商品和服务支出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3.22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3.22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303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对个人和家庭补助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7.2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303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01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离休费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0.6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0.6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default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303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05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生活补助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0.58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0.58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303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07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医疗补助费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5.63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default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5.63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303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奖励金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0.39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0.39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77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91" w:type="dxa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  <w:r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  <w:t>表7</w:t>
      </w:r>
    </w:p>
    <w:tbl>
      <w:tblPr>
        <w:tblStyle w:val="6"/>
        <w:tblW w:w="9540" w:type="dxa"/>
        <w:tblInd w:w="-36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"/>
        <w:gridCol w:w="389"/>
        <w:gridCol w:w="397"/>
        <w:gridCol w:w="397"/>
        <w:gridCol w:w="851"/>
        <w:gridCol w:w="1456"/>
        <w:gridCol w:w="750"/>
        <w:gridCol w:w="110"/>
        <w:gridCol w:w="459"/>
        <w:gridCol w:w="536"/>
        <w:gridCol w:w="652"/>
        <w:gridCol w:w="652"/>
        <w:gridCol w:w="378"/>
        <w:gridCol w:w="200"/>
        <w:gridCol w:w="419"/>
        <w:gridCol w:w="578"/>
        <w:gridCol w:w="420"/>
        <w:gridCol w:w="420"/>
        <w:gridCol w:w="389"/>
        <w:gridCol w:w="7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8" w:type="dxa"/>
          <w:wAfter w:w="79" w:type="dxa"/>
          <w:trHeight w:val="375" w:hRule="atLeast"/>
        </w:trPr>
        <w:tc>
          <w:tcPr>
            <w:tcW w:w="9453" w:type="dxa"/>
            <w:gridSpan w:val="18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方正小标宋_GBK" w:hAnsi="方正小标宋_GBK" w:eastAsia="方正小标宋_GBK" w:cs="方正小标宋_GBK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小标宋_GBK" w:hAnsi="方正小标宋_GBK" w:eastAsia="方正小标宋_GBK" w:cs="方正小标宋_GBK"/>
                <w:color w:val="000000"/>
                <w:kern w:val="0"/>
                <w:sz w:val="32"/>
                <w:szCs w:val="32"/>
              </w:rPr>
              <w:t>一般公共预算项目支出情况表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8" w:type="dxa"/>
          <w:wAfter w:w="79" w:type="dxa"/>
          <w:trHeight w:val="405" w:hRule="atLeast"/>
        </w:trPr>
        <w:tc>
          <w:tcPr>
            <w:tcW w:w="435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编制部门（单位）：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  <w:t>昌吉州林业技术推广中心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8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    </w:t>
            </w:r>
          </w:p>
        </w:tc>
        <w:tc>
          <w:tcPr>
            <w:tcW w:w="2426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191" w:type="dxa"/>
            <w:gridSpan w:val="4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科 目 编 码</w:t>
            </w:r>
          </w:p>
        </w:tc>
        <w:tc>
          <w:tcPr>
            <w:tcW w:w="851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科目</w:t>
            </w:r>
          </w:p>
        </w:tc>
        <w:tc>
          <w:tcPr>
            <w:tcW w:w="1456" w:type="dxa"/>
            <w:vMerge w:val="restart"/>
            <w:vAlign w:val="center"/>
          </w:tcPr>
          <w:p>
            <w:pPr>
              <w:jc w:val="center"/>
              <w:rPr>
                <w:rFonts w:ascii="Calibri" w:hAnsi="Calibri"/>
                <w:sz w:val="24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24"/>
              </w:rPr>
              <w:t>项目名称</w:t>
            </w:r>
          </w:p>
        </w:tc>
        <w:tc>
          <w:tcPr>
            <w:tcW w:w="750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项目支出合计</w:t>
            </w:r>
          </w:p>
        </w:tc>
        <w:tc>
          <w:tcPr>
            <w:tcW w:w="569" w:type="dxa"/>
            <w:gridSpan w:val="2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工资福利支出</w:t>
            </w:r>
          </w:p>
        </w:tc>
        <w:tc>
          <w:tcPr>
            <w:tcW w:w="536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商品和服务支出</w:t>
            </w:r>
          </w:p>
        </w:tc>
        <w:tc>
          <w:tcPr>
            <w:tcW w:w="652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对个人和家庭的补助</w:t>
            </w:r>
          </w:p>
        </w:tc>
        <w:tc>
          <w:tcPr>
            <w:tcW w:w="652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债务利息及费用支出</w:t>
            </w:r>
          </w:p>
        </w:tc>
        <w:tc>
          <w:tcPr>
            <w:tcW w:w="578" w:type="dxa"/>
            <w:gridSpan w:val="2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资本性支出（基本建设）</w:t>
            </w:r>
          </w:p>
        </w:tc>
        <w:tc>
          <w:tcPr>
            <w:tcW w:w="419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资本性支出</w:t>
            </w:r>
          </w:p>
        </w:tc>
        <w:tc>
          <w:tcPr>
            <w:tcW w:w="578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对企业补助（基本建设）</w:t>
            </w:r>
          </w:p>
        </w:tc>
        <w:tc>
          <w:tcPr>
            <w:tcW w:w="420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对企业补助</w:t>
            </w:r>
          </w:p>
        </w:tc>
        <w:tc>
          <w:tcPr>
            <w:tcW w:w="420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对社会保障基金补助</w:t>
            </w:r>
          </w:p>
        </w:tc>
        <w:tc>
          <w:tcPr>
            <w:tcW w:w="468" w:type="dxa"/>
            <w:gridSpan w:val="2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其他支出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7" w:hRule="atLeast"/>
        </w:trPr>
        <w:tc>
          <w:tcPr>
            <w:tcW w:w="397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类</w:t>
            </w:r>
          </w:p>
        </w:tc>
        <w:tc>
          <w:tcPr>
            <w:tcW w:w="397" w:type="dxa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款</w:t>
            </w:r>
          </w:p>
        </w:tc>
        <w:tc>
          <w:tcPr>
            <w:tcW w:w="397" w:type="dxa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项</w:t>
            </w:r>
          </w:p>
        </w:tc>
        <w:tc>
          <w:tcPr>
            <w:tcW w:w="851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51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456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50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69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36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8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51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456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50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69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36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8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51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456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50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69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36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8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51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456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50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69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36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8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51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456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50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69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36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8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51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456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50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69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36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8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51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456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50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69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36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8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51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456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50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69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36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8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51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456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50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69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36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8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51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456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50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69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36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8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51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456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50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69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36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8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51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456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50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69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36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8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51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456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50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69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36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8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51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456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50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69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36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8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51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45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b/>
                <w:bCs/>
                <w:kern w:val="0"/>
                <w:szCs w:val="21"/>
              </w:rPr>
              <w:t>合 计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</w:p>
        </w:tc>
        <w:tc>
          <w:tcPr>
            <w:tcW w:w="569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36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8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  <w:r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  <w:t>表8</w:t>
      </w:r>
    </w:p>
    <w:p>
      <w:pPr>
        <w:widowControl/>
        <w:jc w:val="center"/>
        <w:outlineLvl w:val="1"/>
        <w:rPr>
          <w:rFonts w:ascii="方正小标宋_GBK" w:hAnsi="方正小标宋_GBK" w:eastAsia="方正小标宋_GBK" w:cs="方正小标宋_GBK"/>
          <w:bCs/>
          <w:kern w:val="0"/>
          <w:sz w:val="32"/>
          <w:szCs w:val="32"/>
        </w:rPr>
      </w:pPr>
      <w:r>
        <w:rPr>
          <w:rFonts w:hint="eastAsia" w:ascii="方正小标宋_GBK" w:hAnsi="方正小标宋_GBK" w:eastAsia="方正小标宋_GBK" w:cs="方正小标宋_GBK"/>
          <w:bCs/>
          <w:kern w:val="0"/>
          <w:sz w:val="32"/>
          <w:szCs w:val="32"/>
        </w:rPr>
        <w:t>一般公共预算“三公”经费支出情况表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编制部门（单位）：</w:t>
      </w:r>
      <w:r>
        <w:rPr>
          <w:rFonts w:hint="eastAsia" w:ascii="仿宋_GB2312" w:hAnsi="宋体" w:eastAsia="仿宋_GB2312"/>
          <w:kern w:val="0"/>
          <w:sz w:val="24"/>
          <w:lang w:val="en-US" w:eastAsia="zh-CN"/>
        </w:rPr>
        <w:t>昌吉州林业技术推广中心</w:t>
      </w:r>
      <w:r>
        <w:rPr>
          <w:rFonts w:hint="eastAsia" w:ascii="仿宋_GB2312" w:hAnsi="宋体" w:eastAsia="仿宋_GB2312"/>
          <w:kern w:val="0"/>
          <w:sz w:val="24"/>
        </w:rPr>
        <w:t xml:space="preserve">                        单位：万元</w:t>
      </w:r>
    </w:p>
    <w:tbl>
      <w:tblPr>
        <w:tblStyle w:val="6"/>
        <w:tblW w:w="9240" w:type="dxa"/>
        <w:tblInd w:w="-17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5"/>
        <w:gridCol w:w="1417"/>
        <w:gridCol w:w="1559"/>
        <w:gridCol w:w="1418"/>
        <w:gridCol w:w="1559"/>
        <w:gridCol w:w="171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157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合  计</w:t>
            </w:r>
          </w:p>
        </w:tc>
        <w:tc>
          <w:tcPr>
            <w:tcW w:w="141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因公出国（境）费</w:t>
            </w:r>
          </w:p>
        </w:tc>
        <w:tc>
          <w:tcPr>
            <w:tcW w:w="453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公务用车购置及运行费</w:t>
            </w:r>
          </w:p>
        </w:tc>
        <w:tc>
          <w:tcPr>
            <w:tcW w:w="171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公务接待费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5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合计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合  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公务用车购置费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公务用车运行费</w:t>
            </w:r>
          </w:p>
        </w:tc>
        <w:tc>
          <w:tcPr>
            <w:tcW w:w="17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1.6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1.6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1.6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  <w:r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  <w:t>表9</w:t>
      </w:r>
    </w:p>
    <w:p>
      <w:pPr>
        <w:widowControl/>
        <w:spacing w:line="360" w:lineRule="exact"/>
        <w:jc w:val="center"/>
        <w:outlineLvl w:val="1"/>
        <w:rPr>
          <w:rFonts w:ascii="方正小标宋_GBK" w:hAnsi="方正小标宋_GBK" w:eastAsia="方正小标宋_GBK" w:cs="方正小标宋_GBK"/>
          <w:bCs/>
          <w:kern w:val="0"/>
          <w:sz w:val="32"/>
          <w:szCs w:val="32"/>
        </w:rPr>
      </w:pPr>
      <w:r>
        <w:rPr>
          <w:rFonts w:hint="eastAsia" w:ascii="方正小标宋_GBK" w:hAnsi="方正小标宋_GBK" w:eastAsia="方正小标宋_GBK" w:cs="方正小标宋_GBK"/>
          <w:bCs/>
          <w:kern w:val="0"/>
          <w:sz w:val="32"/>
          <w:szCs w:val="32"/>
        </w:rPr>
        <w:t>政府性基金预算支出情况表</w:t>
      </w:r>
    </w:p>
    <w:p>
      <w:pPr>
        <w:widowControl/>
        <w:spacing w:line="280" w:lineRule="exac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编制部门（单位）：</w:t>
      </w:r>
      <w:r>
        <w:rPr>
          <w:rFonts w:hint="eastAsia" w:ascii="仿宋_GB2312" w:hAnsi="宋体" w:eastAsia="仿宋_GB2312"/>
          <w:kern w:val="0"/>
          <w:sz w:val="24"/>
          <w:lang w:val="en-US" w:eastAsia="zh-CN"/>
        </w:rPr>
        <w:t>昌吉州林业技术推广中心</w:t>
      </w:r>
      <w:r>
        <w:rPr>
          <w:rFonts w:hint="eastAsia" w:ascii="仿宋_GB2312" w:hAnsi="宋体" w:eastAsia="仿宋_GB2312"/>
          <w:kern w:val="0"/>
          <w:sz w:val="24"/>
        </w:rPr>
        <w:t xml:space="preserve">                                   单位：万元</w:t>
      </w:r>
    </w:p>
    <w:tbl>
      <w:tblPr>
        <w:tblStyle w:val="6"/>
        <w:tblW w:w="9214" w:type="dxa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5"/>
        <w:gridCol w:w="457"/>
        <w:gridCol w:w="699"/>
        <w:gridCol w:w="2544"/>
        <w:gridCol w:w="1669"/>
        <w:gridCol w:w="1701"/>
        <w:gridCol w:w="155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28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  目</w:t>
            </w:r>
          </w:p>
        </w:tc>
        <w:tc>
          <w:tcPr>
            <w:tcW w:w="492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政府性基金预算支出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74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功能分类科目编码</w:t>
            </w:r>
          </w:p>
        </w:tc>
        <w:tc>
          <w:tcPr>
            <w:tcW w:w="2544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功能分类科目名称</w:t>
            </w:r>
          </w:p>
        </w:tc>
        <w:tc>
          <w:tcPr>
            <w:tcW w:w="166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合 计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基本支出</w:t>
            </w:r>
          </w:p>
        </w:tc>
        <w:tc>
          <w:tcPr>
            <w:tcW w:w="155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项目支出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类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款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</w:t>
            </w:r>
          </w:p>
        </w:tc>
        <w:tc>
          <w:tcPr>
            <w:tcW w:w="254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66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合  计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</w:tbl>
    <w:p>
      <w:pPr>
        <w:widowControl/>
        <w:spacing w:line="280" w:lineRule="exact"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</w:t>
      </w:r>
      <w:r>
        <w:rPr>
          <w:rFonts w:ascii="仿宋_GB2312" w:hAnsi="宋体" w:eastAsia="仿宋_GB2312"/>
          <w:b/>
          <w:kern w:val="0"/>
          <w:sz w:val="28"/>
          <w:szCs w:val="32"/>
        </w:rPr>
        <w:t>我单位无政府性基金预算，此表为空表</w:t>
      </w:r>
      <w:r>
        <w:rPr>
          <w:rFonts w:hint="eastAsia" w:ascii="仿宋_GB2312" w:hAnsi="宋体" w:eastAsia="仿宋_GB2312"/>
          <w:b/>
          <w:kern w:val="0"/>
          <w:sz w:val="28"/>
          <w:szCs w:val="32"/>
        </w:rPr>
        <w:t>。</w:t>
      </w:r>
    </w:p>
    <w:p>
      <w:pPr>
        <w:widowControl/>
        <w:spacing w:line="280" w:lineRule="exact"/>
        <w:jc w:val="left"/>
        <w:outlineLvl w:val="1"/>
        <w:rPr>
          <w:rFonts w:ascii="仿宋_GB2312" w:hAnsi="宋体" w:eastAsia="仿宋_GB2312"/>
          <w:kern w:val="0"/>
          <w:sz w:val="32"/>
          <w:szCs w:val="32"/>
        </w:rPr>
        <w:sectPr>
          <w:footerReference r:id="rId5" w:type="default"/>
          <w:pgSz w:w="11906" w:h="16838"/>
          <w:pgMar w:top="2098" w:right="1531" w:bottom="1984" w:left="1531" w:header="851" w:footer="992" w:gutter="0"/>
          <w:pgNumType w:fmt="numberInDash" w:start="56"/>
          <w:cols w:space="720" w:num="1"/>
          <w:docGrid w:linePitch="312" w:charSpace="0"/>
        </w:sectPr>
      </w:pPr>
    </w:p>
    <w:p>
      <w:pPr>
        <w:spacing w:line="560" w:lineRule="exact"/>
        <w:jc w:val="center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第三部分  2022年部门（单位）预算情况说明</w:t>
      </w:r>
    </w:p>
    <w:p>
      <w:pPr>
        <w:spacing w:line="560" w:lineRule="exact"/>
        <w:ind w:firstLine="640" w:firstLineChars="200"/>
        <w:rPr>
          <w:rFonts w:ascii="黑体" w:hAnsi="黑体" w:eastAsia="黑体"/>
          <w:kern w:val="0"/>
          <w:sz w:val="32"/>
          <w:szCs w:val="32"/>
        </w:rPr>
      </w:pPr>
    </w:p>
    <w:p>
      <w:pPr>
        <w:spacing w:line="560" w:lineRule="exact"/>
        <w:ind w:firstLine="643" w:firstLineChars="200"/>
        <w:rPr>
          <w:rFonts w:ascii="楷体_GB2312" w:hAnsi="楷体_GB2312" w:eastAsia="楷体_GB2312" w:cs="楷体_GB2312"/>
          <w:b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kern w:val="0"/>
          <w:sz w:val="32"/>
          <w:szCs w:val="32"/>
        </w:rPr>
        <w:t>一、关于</w:t>
      </w:r>
      <w:r>
        <w:rPr>
          <w:rFonts w:hint="eastAsia" w:ascii="楷体_GB2312" w:hAnsi="楷体_GB2312" w:eastAsia="楷体_GB2312" w:cs="楷体_GB2312"/>
          <w:b/>
          <w:kern w:val="0"/>
          <w:sz w:val="32"/>
          <w:szCs w:val="32"/>
          <w:lang w:eastAsia="zh-CN"/>
        </w:rPr>
        <w:t>昌吉州林业技术推广中心</w:t>
      </w:r>
      <w:r>
        <w:rPr>
          <w:rFonts w:hint="eastAsia" w:ascii="楷体_GB2312" w:hAnsi="楷体_GB2312" w:eastAsia="楷体_GB2312" w:cs="楷体_GB2312"/>
          <w:b/>
          <w:kern w:val="0"/>
          <w:sz w:val="32"/>
          <w:szCs w:val="32"/>
        </w:rPr>
        <w:t>2022年收支预算情况的总体说明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按照全口径预算的原则，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昌吉州林业技术推广中心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2022年所有收入和支出均纳入部门（单位）预算管理。收支总预算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387.46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收入预算包括：一般公共预算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387.46万元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支出预算包括：社会保障和就业支出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38.59万元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、医疗卫生健康支出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29.86万元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、农林水支出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285.55万元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、住房保障支出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33.46万元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>
      <w:pPr>
        <w:spacing w:line="560" w:lineRule="exact"/>
        <w:ind w:firstLine="643" w:firstLineChars="200"/>
        <w:rPr>
          <w:rFonts w:ascii="楷体_GB2312" w:hAnsi="楷体_GB2312" w:eastAsia="楷体_GB2312" w:cs="楷体_GB2312"/>
          <w:b/>
          <w:bCs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二、关于</w:t>
      </w: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  <w:lang w:eastAsia="zh-CN"/>
        </w:rPr>
        <w:t>昌吉州林业技术推广中心</w:t>
      </w: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2022年收入预算情况说明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昌吉州林业技术推广中心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收入预算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387.46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万元，其中：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一般公共预算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387.46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100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%，比上年预算增加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30.14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万元，增长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8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专业技术人员岗位变动，人员工资福利等变化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；    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政府性基金预算未安排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。</w:t>
      </w:r>
    </w:p>
    <w:p>
      <w:pPr>
        <w:spacing w:line="560" w:lineRule="exact"/>
        <w:ind w:firstLine="643" w:firstLineChars="200"/>
        <w:rPr>
          <w:rFonts w:ascii="楷体_GB2312" w:hAnsi="楷体_GB2312" w:eastAsia="楷体_GB2312" w:cs="楷体_GB2312"/>
          <w:b/>
          <w:bCs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三、关于</w:t>
      </w: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  <w:lang w:eastAsia="zh-CN"/>
        </w:rPr>
        <w:t>昌吉州林业技术推广中心</w:t>
      </w: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2022年支出预算情况说明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昌吉州林业技术推广中心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2022年支出预算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387.46万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元，其中：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b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基本支出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387.46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100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%，比上年预算增加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30.14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万元，增长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8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专业技术人员岗位变动，人员工资福利等变化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项目支出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比上年预算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无变化。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主要原因是我单位无项目支出预算。</w:t>
      </w:r>
    </w:p>
    <w:p>
      <w:pPr>
        <w:spacing w:line="560" w:lineRule="exact"/>
        <w:ind w:firstLine="643" w:firstLineChars="200"/>
        <w:rPr>
          <w:rFonts w:ascii="楷体_GB2312" w:hAnsi="楷体_GB2312" w:eastAsia="楷体_GB2312" w:cs="楷体_GB2312"/>
          <w:b/>
          <w:bCs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四、关于</w:t>
      </w: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  <w:lang w:eastAsia="zh-CN"/>
        </w:rPr>
        <w:t>昌吉州林业技术推广中心</w:t>
      </w: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2022年财政拨款收支预算情况的总体说明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2022年财政拨款收支总预算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387.46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spacing w:line="560" w:lineRule="exact"/>
        <w:ind w:firstLine="616" w:firstLineChars="200"/>
        <w:rPr>
          <w:rFonts w:ascii="仿宋_GB2312" w:hAnsi="宋体" w:eastAsia="仿宋_GB2312" w:cs="宋体"/>
          <w:spacing w:val="-6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收入全部为一般公共预算拨款，无政府性基金预算拨款和国有资本经营预算。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收入预算包括：一般公共预算拨款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387.46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支出预算包括：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一般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公共预算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387.46万元，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主要用于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eastAsia="zh-CN"/>
        </w:rPr>
        <w:t>：</w:t>
      </w:r>
    </w:p>
    <w:p>
      <w:pPr>
        <w:spacing w:line="560" w:lineRule="exact"/>
        <w:ind w:firstLine="616" w:firstLineChars="200"/>
        <w:rPr>
          <w:rFonts w:ascii="仿宋_GB2312" w:hAnsi="宋体" w:eastAsia="仿宋_GB2312" w:cs="宋体"/>
          <w:spacing w:val="-6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  <w:highlight w:val="none"/>
        </w:rPr>
        <w:t>社会保障和就业支出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  <w:highlight w:val="none"/>
          <w:lang w:val="en-US" w:eastAsia="zh-CN"/>
        </w:rPr>
        <w:t>38.59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  <w:highlight w:val="none"/>
        </w:rPr>
        <w:t>万元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；</w:t>
      </w:r>
    </w:p>
    <w:p>
      <w:pPr>
        <w:spacing w:line="560" w:lineRule="exact"/>
        <w:ind w:firstLine="616" w:firstLineChars="200"/>
        <w:rPr>
          <w:rFonts w:ascii="仿宋_GB2312" w:hAnsi="宋体" w:eastAsia="仿宋_GB2312" w:cs="宋体"/>
          <w:spacing w:val="-6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卫生健康支出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  <w:lang w:val="en-US" w:eastAsia="zh-CN"/>
        </w:rPr>
        <w:t>29.86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万元；</w:t>
      </w:r>
    </w:p>
    <w:p>
      <w:pPr>
        <w:spacing w:line="560" w:lineRule="exact"/>
        <w:ind w:firstLine="616" w:firstLineChars="200"/>
        <w:rPr>
          <w:rFonts w:hint="eastAsia" w:ascii="仿宋_GB2312" w:hAnsi="宋体" w:eastAsia="仿宋_GB2312" w:cs="宋体"/>
          <w:spacing w:val="-6"/>
          <w:kern w:val="0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农林水支出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  <w:lang w:val="en-US" w:eastAsia="zh-CN"/>
        </w:rPr>
        <w:t>285.55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万元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  <w:lang w:eastAsia="zh-CN"/>
        </w:rPr>
        <w:t>；</w:t>
      </w:r>
    </w:p>
    <w:p>
      <w:pPr>
        <w:spacing w:line="560" w:lineRule="exact"/>
        <w:ind w:firstLine="616" w:firstLineChars="200"/>
        <w:rPr>
          <w:rFonts w:hint="default" w:ascii="仿宋_GB2312" w:hAnsi="宋体" w:eastAsia="仿宋_GB2312" w:cs="宋体"/>
          <w:spacing w:val="-6"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  <w:lang w:val="en-US" w:eastAsia="zh-CN"/>
        </w:rPr>
        <w:t>住房保障支出33.46万元。</w:t>
      </w:r>
    </w:p>
    <w:p>
      <w:pPr>
        <w:spacing w:line="560" w:lineRule="exact"/>
        <w:ind w:firstLine="643" w:firstLineChars="200"/>
        <w:rPr>
          <w:rFonts w:ascii="楷体_GB2312" w:hAnsi="楷体_GB2312" w:eastAsia="楷体_GB2312" w:cs="楷体_GB2312"/>
          <w:b/>
          <w:bCs/>
          <w:spacing w:val="-6"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五、</w:t>
      </w:r>
      <w:r>
        <w:rPr>
          <w:rFonts w:hint="eastAsia" w:ascii="楷体_GB2312" w:hAnsi="楷体_GB2312" w:eastAsia="楷体_GB2312" w:cs="楷体_GB2312"/>
          <w:b/>
          <w:bCs/>
          <w:spacing w:val="-6"/>
          <w:kern w:val="0"/>
          <w:sz w:val="32"/>
          <w:szCs w:val="32"/>
        </w:rPr>
        <w:t>关于</w:t>
      </w:r>
      <w:r>
        <w:rPr>
          <w:rFonts w:hint="eastAsia" w:ascii="楷体_GB2312" w:hAnsi="楷体_GB2312" w:eastAsia="楷体_GB2312" w:cs="楷体_GB2312"/>
          <w:b/>
          <w:bCs/>
          <w:spacing w:val="-6"/>
          <w:kern w:val="0"/>
          <w:sz w:val="32"/>
          <w:szCs w:val="32"/>
          <w:lang w:eastAsia="zh-CN"/>
        </w:rPr>
        <w:t>昌吉州林业技术推广中心</w:t>
      </w:r>
      <w:r>
        <w:rPr>
          <w:rFonts w:hint="eastAsia" w:ascii="楷体_GB2312" w:hAnsi="楷体_GB2312" w:eastAsia="楷体_GB2312" w:cs="楷体_GB2312"/>
          <w:b/>
          <w:bCs/>
          <w:spacing w:val="-6"/>
          <w:kern w:val="0"/>
          <w:sz w:val="32"/>
          <w:szCs w:val="32"/>
        </w:rPr>
        <w:t>2022年一般公共预算当年拨款情况说明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（一）一般公共预算当年拨款规模变化情况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昌吉州林业技术推广中心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2022年一般公共预算拨款合计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387.46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万元，其中：基本支出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387.46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万元，比上年预算增加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30.14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万元，增长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%。主要原因是：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专业技术人员岗位变动，人员工资福利等变化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。项目支出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万元，比上年预算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无变化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。主要原因是：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我单位无项目支出预算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。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（二）一般公共预算当年拨款结构情况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spacing w:val="-6"/>
          <w:kern w:val="0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1.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  <w:highlight w:val="none"/>
        </w:rPr>
        <w:t>社会保障和就业支出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  <w:highlight w:val="none"/>
          <w:lang w:val="en-US" w:eastAsia="zh-CN"/>
        </w:rPr>
        <w:t>(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  <w:highlight w:val="none"/>
        </w:rPr>
        <w:t>208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  <w:highlight w:val="none"/>
          <w:lang w:val="en-US" w:eastAsia="zh-CN"/>
        </w:rPr>
        <w:t>) 38.59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  <w:highlight w:val="none"/>
        </w:rPr>
        <w:t>万元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  <w:highlight w:val="none"/>
          <w:lang w:val="en-US" w:eastAsia="zh-CN"/>
        </w:rPr>
        <w:t>,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9.96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%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；</w:t>
      </w:r>
    </w:p>
    <w:p>
      <w:pPr>
        <w:spacing w:line="560" w:lineRule="exact"/>
        <w:ind w:firstLine="616" w:firstLineChars="200"/>
        <w:rPr>
          <w:rFonts w:ascii="仿宋_GB2312" w:hAnsi="宋体" w:eastAsia="仿宋_GB2312" w:cs="宋体"/>
          <w:spacing w:val="-6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  <w:lang w:val="en-US" w:eastAsia="zh-CN"/>
        </w:rPr>
        <w:t>2.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卫生健康支出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  <w:lang w:val="en-US" w:eastAsia="zh-CN"/>
        </w:rPr>
        <w:t>(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210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  <w:lang w:val="en-US" w:eastAsia="zh-CN"/>
        </w:rPr>
        <w:t>) 29.86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万元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  <w:lang w:val="en-US" w:eastAsia="zh-CN"/>
        </w:rPr>
        <w:t>,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7.70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%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；</w:t>
      </w:r>
    </w:p>
    <w:p>
      <w:pPr>
        <w:spacing w:line="560" w:lineRule="exact"/>
        <w:ind w:firstLine="616" w:firstLineChars="200"/>
        <w:rPr>
          <w:rFonts w:hint="eastAsia" w:ascii="仿宋_GB2312" w:hAnsi="宋体" w:eastAsia="仿宋_GB2312" w:cs="宋体"/>
          <w:spacing w:val="-6"/>
          <w:kern w:val="0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  <w:lang w:val="en-US" w:eastAsia="zh-CN"/>
        </w:rPr>
        <w:t>3.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农林水支出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  <w:lang w:val="en-US" w:eastAsia="zh-CN"/>
        </w:rPr>
        <w:t>(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213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  <w:lang w:val="en-US" w:eastAsia="zh-CN"/>
        </w:rPr>
        <w:t>) 285.55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万元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  <w:lang w:val="en-US" w:eastAsia="zh-CN"/>
        </w:rPr>
        <w:t>,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73.70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%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  <w:lang w:eastAsia="zh-CN"/>
        </w:rPr>
        <w:t>；</w:t>
      </w:r>
    </w:p>
    <w:p>
      <w:pPr>
        <w:spacing w:line="560" w:lineRule="exact"/>
        <w:ind w:firstLine="616" w:firstLineChars="200"/>
        <w:rPr>
          <w:rFonts w:hint="eastAsia" w:ascii="仿宋_GB2312" w:hAnsi="宋体" w:eastAsia="仿宋_GB2312" w:cs="宋体"/>
          <w:spacing w:val="-6"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  <w:lang w:val="en-US" w:eastAsia="zh-CN"/>
        </w:rPr>
        <w:t>4.住房保障支出(221) 33.46万元,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8.64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%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;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（三）一般公共预算当年拨款具体使用情况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1.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社会保障和就业支出（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类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）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行政事业单位养老支出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（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款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）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事业单位离退休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（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项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）:2022年预算数为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0.60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万元，比上年预算增加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0.60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万元，增长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100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%，主要原因是：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上年没有此拨款项目。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2.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社会保障和就业支出（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类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）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行政事业单位养老支出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（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款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）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机关事业单位基本养老保险缴费支出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（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项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）:2022年预算数为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37.99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万元，比上年预算增加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5.43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万元，增长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16.68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%，主要原因是：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缴费基数变化。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3.卫生健康支出（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类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）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行政事业单位医疗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（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款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）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事业单位医疗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（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项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）:2022年预算数为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22.57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万元，比上年预算减少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0.66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万元，下降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2.84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%，主要原因是：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缴费基数变化。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4.卫生健康支出（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类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）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行政事业单位医疗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（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款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）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公务员医疗补助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（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项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）:2022年预算数为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7.12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万元，比上年预算减少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0.28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万元，下降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3.78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%，主要原因是：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在职人数发生变化。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5.卫生健康支出（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类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）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行政事业单位医疗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（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款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）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其他行政事业单位医疗支出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（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项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）:2022年预算数为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0.17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万元，比上年预算减少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0.78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万元，下降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82.11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%，主要原因是：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医疗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基数发生变化，退休一人。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6.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农林水支出（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类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）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林业和草原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（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款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）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事业机构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（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项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）:2022年预算数为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285.55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万元，比上年预算减少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7.63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万元，下降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2.60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%，主要原因是：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退休一人。</w:t>
      </w:r>
    </w:p>
    <w:p>
      <w:pPr>
        <w:spacing w:line="560" w:lineRule="exact"/>
        <w:ind w:firstLine="640" w:firstLineChars="200"/>
        <w:rPr>
          <w:rFonts w:hint="default" w:ascii="仿宋_GB2312" w:hAnsi="宋体" w:eastAsia="仿宋_GB2312" w:cs="宋体"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7.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住房保障支出（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类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）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住房改革支出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（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款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）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住房公积金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（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项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）:2022年预算数为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33.46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万元，比上年预算增加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33.46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万元，增长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100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%，主要原因是：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此功能科目与去年相比从主款2130204中分离出来。</w:t>
      </w:r>
    </w:p>
    <w:p>
      <w:pPr>
        <w:spacing w:line="560" w:lineRule="exact"/>
        <w:ind w:firstLine="643" w:firstLineChars="200"/>
        <w:rPr>
          <w:rFonts w:ascii="楷体_GB2312" w:hAnsi="楷体_GB2312" w:eastAsia="楷体_GB2312" w:cs="楷体_GB2312"/>
          <w:b/>
          <w:bCs/>
          <w:spacing w:val="-6"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六、</w:t>
      </w:r>
      <w:r>
        <w:rPr>
          <w:rFonts w:hint="eastAsia" w:ascii="楷体_GB2312" w:hAnsi="楷体_GB2312" w:eastAsia="楷体_GB2312" w:cs="楷体_GB2312"/>
          <w:b/>
          <w:bCs/>
          <w:spacing w:val="-6"/>
          <w:kern w:val="0"/>
          <w:sz w:val="32"/>
          <w:szCs w:val="32"/>
        </w:rPr>
        <w:t>关于</w:t>
      </w:r>
      <w:r>
        <w:rPr>
          <w:rFonts w:hint="eastAsia" w:ascii="楷体_GB2312" w:hAnsi="楷体_GB2312" w:eastAsia="楷体_GB2312" w:cs="楷体_GB2312"/>
          <w:b/>
          <w:bCs/>
          <w:spacing w:val="-6"/>
          <w:kern w:val="0"/>
          <w:sz w:val="32"/>
          <w:szCs w:val="32"/>
          <w:lang w:eastAsia="zh-CN"/>
        </w:rPr>
        <w:t>昌吉州林业技术推广中心</w:t>
      </w:r>
      <w:r>
        <w:rPr>
          <w:rFonts w:hint="eastAsia" w:ascii="楷体_GB2312" w:hAnsi="楷体_GB2312" w:eastAsia="楷体_GB2312" w:cs="楷体_GB2312"/>
          <w:b/>
          <w:bCs/>
          <w:spacing w:val="-6"/>
          <w:kern w:val="0"/>
          <w:sz w:val="32"/>
          <w:szCs w:val="32"/>
        </w:rPr>
        <w:t>2022年一般公共预算基本支出情况说明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spacing w:val="-6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昌吉州林业技术推广中心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2022年一般公共预算基本支出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387.46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万元， 其中：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人员经费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358.56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万元，主要包括：基本工资、津贴补贴、奖金、绩效工资、机关事业单位基本养老保险缴费、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城镇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职工基本医疗保险缴费、公务员医疗补助缴费、其他社会保障缴费、住房公积金、其他工资福利支出、离休费、生活补助、医疗费补助、奖励金。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公用经费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28.90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万元，主要包括：办公费、印刷费、邮电费、物业管理费、工会经费、福利费、公务用车运行维护费、其他商品和服务支出。</w:t>
      </w:r>
    </w:p>
    <w:p>
      <w:pPr>
        <w:numPr>
          <w:ilvl w:val="0"/>
          <w:numId w:val="1"/>
        </w:numPr>
        <w:spacing w:line="560" w:lineRule="exact"/>
        <w:ind w:firstLine="619" w:firstLineChars="200"/>
        <w:rPr>
          <w:rFonts w:hint="eastAsia" w:ascii="楷体_GB2312" w:hAnsi="楷体_GB2312" w:eastAsia="楷体_GB2312" w:cs="楷体_GB2312"/>
          <w:b/>
          <w:bCs/>
          <w:spacing w:val="-6"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pacing w:val="-6"/>
          <w:kern w:val="0"/>
          <w:sz w:val="32"/>
          <w:szCs w:val="32"/>
        </w:rPr>
        <w:t>关于</w:t>
      </w:r>
      <w:r>
        <w:rPr>
          <w:rFonts w:hint="eastAsia" w:ascii="楷体_GB2312" w:hAnsi="楷体_GB2312" w:eastAsia="楷体_GB2312" w:cs="楷体_GB2312"/>
          <w:b/>
          <w:bCs/>
          <w:spacing w:val="-6"/>
          <w:kern w:val="0"/>
          <w:sz w:val="32"/>
          <w:szCs w:val="32"/>
          <w:lang w:eastAsia="zh-CN"/>
        </w:rPr>
        <w:t>昌吉州林业技术推广中心</w:t>
      </w:r>
      <w:r>
        <w:rPr>
          <w:rFonts w:hint="eastAsia" w:ascii="楷体_GB2312" w:hAnsi="楷体_GB2312" w:eastAsia="楷体_GB2312" w:cs="楷体_GB2312"/>
          <w:b/>
          <w:bCs/>
          <w:spacing w:val="-6"/>
          <w:kern w:val="0"/>
          <w:sz w:val="32"/>
          <w:szCs w:val="32"/>
        </w:rPr>
        <w:t>2022年一般公共预算项目支出情况说明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本年度无项目支出。</w:t>
      </w:r>
    </w:p>
    <w:p>
      <w:pPr>
        <w:spacing w:line="560" w:lineRule="exact"/>
        <w:ind w:firstLine="643" w:firstLineChars="200"/>
        <w:rPr>
          <w:rFonts w:ascii="楷体_GB2312" w:hAnsi="楷体_GB2312" w:eastAsia="楷体_GB2312" w:cs="楷体_GB2312"/>
          <w:b/>
          <w:bCs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八、关于</w:t>
      </w: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  <w:lang w:eastAsia="zh-CN"/>
        </w:rPr>
        <w:t>昌吉州林业技术推广中心</w:t>
      </w: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2022年一般公共预算“三公”经费预算情况说明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昌吉州林业技术推广中心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2022年一般公共预算“三公”经费数为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1.60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万元，其中：因公出国（境）费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万元，公务用车购置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万元，公务用车运行费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1.60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万元，公务接待费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2022年一般公共预算“三公”经费比上年减少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0.29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万元，下降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15.34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%，其中：因公出国（境）费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万元，未安排预算；公务用车购置费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万元，未安排预算；公务用车运行费减少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0.29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万元，下降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15.34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%，主要原因是强化公车运行管理，勤俭节约；公务接待费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未安排预算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>
      <w:pPr>
        <w:spacing w:line="560" w:lineRule="exact"/>
        <w:ind w:firstLine="643" w:firstLineChars="200"/>
        <w:rPr>
          <w:rFonts w:ascii="楷体_GB2312" w:hAnsi="楷体_GB2312" w:eastAsia="楷体_GB2312" w:cs="楷体_GB2312"/>
          <w:b/>
          <w:bCs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九、关于</w:t>
      </w: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  <w:lang w:eastAsia="zh-CN"/>
        </w:rPr>
        <w:t>昌吉州林业技术推广中心</w:t>
      </w: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2022年政府性基金预算拨款情况说明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昌吉州林业技术推广中心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2022年没有使用政府性基金预算拨款安排的支出，政府性基金预算支出情况表为空表。</w:t>
      </w:r>
    </w:p>
    <w:p>
      <w:pPr>
        <w:spacing w:line="560" w:lineRule="exact"/>
        <w:ind w:firstLine="643" w:firstLineChars="200"/>
        <w:rPr>
          <w:rFonts w:ascii="楷体_GB2312" w:hAnsi="楷体_GB2312" w:eastAsia="楷体_GB2312" w:cs="楷体_GB2312"/>
          <w:b/>
          <w:bCs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十、其他重要事项的情况说明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（一）机关运行经费情况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2022年，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昌吉州林业技术推广中心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机关运行经费财政拨款预算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28.90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万元，比上年预算减少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0.21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万元，下降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0.72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%。主要原因是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节约开支，降低三公经费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。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（二）政府采购情况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2022年，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昌吉州林业技术推广中心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政府采购预算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16.02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万元，其中：政府采购货物预算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16.02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万元，政府采购工程预算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万元，政府采购服务预算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</w:rPr>
        <w:t>2022年度</w:t>
      </w:r>
      <w:r>
        <w:rPr>
          <w:rFonts w:hint="eastAsia" w:ascii="仿宋_GB2312" w:hAnsi="仿宋_GB2312" w:eastAsia="仿宋_GB2312" w:cs="仿宋_GB2312"/>
          <w:sz w:val="32"/>
          <w:lang w:val="en-US" w:eastAsia="zh-CN"/>
        </w:rPr>
        <w:t>昌吉州林业技术推广中心</w:t>
      </w:r>
      <w:r>
        <w:rPr>
          <w:rFonts w:hint="eastAsia" w:ascii="仿宋_GB2312" w:hAnsi="仿宋_GB2312" w:eastAsia="仿宋_GB2312" w:cs="仿宋_GB2312"/>
          <w:sz w:val="32"/>
        </w:rPr>
        <w:t>面向中小企业预留政府采购项目预算金额</w:t>
      </w:r>
      <w:r>
        <w:rPr>
          <w:rFonts w:hint="eastAsia" w:ascii="仿宋_GB2312" w:hAnsi="仿宋_GB2312" w:eastAsia="仿宋_GB2312" w:cs="仿宋_GB2312"/>
          <w:sz w:val="32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sz w:val="32"/>
        </w:rPr>
        <w:t>万元，其中：面向小微企业预留政府采购项目预算金额</w:t>
      </w:r>
      <w:r>
        <w:rPr>
          <w:rFonts w:hint="eastAsia" w:ascii="仿宋_GB2312" w:hAnsi="仿宋_GB2312" w:eastAsia="仿宋_GB2312" w:cs="仿宋_GB2312"/>
          <w:sz w:val="32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sz w:val="32"/>
        </w:rPr>
        <w:t>万元。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（三）国有资产占用使用情况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截至2021年底，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昌吉州林业技术推广中心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及下属各预算单位占用使用国有资产总体情况为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1.房屋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平方米，价值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2.车辆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辆，价值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万元；其中：一般公务用车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辆，价值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万元；执法执勤用车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辆，价值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万元；其他车辆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辆，价值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3.办公家具价值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10.27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4.其他资产价值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61.32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单位价值50万元以上大型设备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台（套），单位价值100万元以上大型设备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台（套）。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2022年部门（单位）预算未安排购置车辆经费，安排购置50万元以上大型设备0台（套），单位价值100万元以上大型设备0台（套）。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（四）预算绩效情况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2022年，本年度预算绩效管理的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Hans"/>
        </w:rPr>
        <w:t>财政拨款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项目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个，涉及预算金额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万元。具体情况见下表（按项目分别填报）：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（下表为空）</w:t>
      </w:r>
    </w:p>
    <w:tbl>
      <w:tblPr>
        <w:tblStyle w:val="6"/>
        <w:tblpPr w:leftFromText="180" w:rightFromText="180" w:vertAnchor="text" w:horzAnchor="page" w:tblpX="1384" w:tblpY="449"/>
        <w:tblOverlap w:val="never"/>
        <w:tblW w:w="8980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15"/>
        <w:gridCol w:w="1062"/>
        <w:gridCol w:w="318"/>
        <w:gridCol w:w="906"/>
        <w:gridCol w:w="1476"/>
        <w:gridCol w:w="1039"/>
        <w:gridCol w:w="1481"/>
        <w:gridCol w:w="1183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8980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pacing w:line="480" w:lineRule="exact"/>
              <w:jc w:val="center"/>
              <w:textAlignment w:val="bottom"/>
              <w:rPr>
                <w:rFonts w:ascii="仿宋_GB2312" w:hAnsi="宋体" w:eastAsia="仿宋_GB2312" w:cs="仿宋_GB2312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  <w:lang w:bidi="ar"/>
              </w:rPr>
              <w:t>项  目  支  出  绩  效  目  标  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8980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pacing w:line="480" w:lineRule="exact"/>
              <w:jc w:val="center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（202</w:t>
            </w: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2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年）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预算单位</w:t>
            </w:r>
          </w:p>
        </w:tc>
        <w:tc>
          <w:tcPr>
            <w:tcW w:w="376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XX单位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项目名称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XXXXX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项目资金（万元）</w:t>
            </w:r>
          </w:p>
        </w:tc>
        <w:tc>
          <w:tcPr>
            <w:tcW w:w="13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年度资金总额：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其中：财政拨款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8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其他资金</w:t>
            </w:r>
          </w:p>
        </w:tc>
        <w:tc>
          <w:tcPr>
            <w:tcW w:w="118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2" w:hRule="atLeast"/>
        </w:trPr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项目总体目标</w:t>
            </w:r>
          </w:p>
        </w:tc>
        <w:tc>
          <w:tcPr>
            <w:tcW w:w="746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</w:tcPr>
          <w:p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一级指标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二级指标</w:t>
            </w:r>
          </w:p>
        </w:tc>
        <w:tc>
          <w:tcPr>
            <w:tcW w:w="37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三级指标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指标值（包含数字及文字描述）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151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产出指标</w:t>
            </w:r>
          </w:p>
        </w:tc>
        <w:tc>
          <w:tcPr>
            <w:tcW w:w="106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数量指标</w:t>
            </w:r>
          </w:p>
        </w:tc>
        <w:tc>
          <w:tcPr>
            <w:tcW w:w="37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15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15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6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质量指标</w:t>
            </w:r>
          </w:p>
        </w:tc>
        <w:tc>
          <w:tcPr>
            <w:tcW w:w="37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15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15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6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时效指标</w:t>
            </w:r>
          </w:p>
        </w:tc>
        <w:tc>
          <w:tcPr>
            <w:tcW w:w="37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15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15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6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成本指标</w:t>
            </w:r>
          </w:p>
        </w:tc>
        <w:tc>
          <w:tcPr>
            <w:tcW w:w="37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15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151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效益指标</w:t>
            </w:r>
          </w:p>
        </w:tc>
        <w:tc>
          <w:tcPr>
            <w:tcW w:w="106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经济效益指标</w:t>
            </w:r>
          </w:p>
        </w:tc>
        <w:tc>
          <w:tcPr>
            <w:tcW w:w="37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15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15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6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社会效益指标</w:t>
            </w:r>
          </w:p>
        </w:tc>
        <w:tc>
          <w:tcPr>
            <w:tcW w:w="37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15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15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6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生态效益指标</w:t>
            </w:r>
          </w:p>
        </w:tc>
        <w:tc>
          <w:tcPr>
            <w:tcW w:w="37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15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15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6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可持续影响指标</w:t>
            </w:r>
          </w:p>
        </w:tc>
        <w:tc>
          <w:tcPr>
            <w:tcW w:w="37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15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151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满意度指标</w:t>
            </w:r>
          </w:p>
        </w:tc>
        <w:tc>
          <w:tcPr>
            <w:tcW w:w="106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满意度指标</w:t>
            </w:r>
          </w:p>
        </w:tc>
        <w:tc>
          <w:tcPr>
            <w:tcW w:w="37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15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</w:tbl>
    <w:p>
      <w:pPr>
        <w:spacing w:line="60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（五）其他需说明的事项</w:t>
      </w:r>
    </w:p>
    <w:p>
      <w:pPr>
        <w:spacing w:line="60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无其他需要说明的事项。</w:t>
      </w:r>
    </w:p>
    <w:p>
      <w:pPr>
        <w:spacing w:line="60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spacing w:line="560" w:lineRule="exact"/>
        <w:jc w:val="center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第四部分  名词解释</w:t>
      </w:r>
    </w:p>
    <w:p>
      <w:pPr>
        <w:spacing w:line="560" w:lineRule="exact"/>
        <w:ind w:firstLine="640" w:firstLineChars="200"/>
        <w:rPr>
          <w:rFonts w:ascii="黑体" w:hAnsi="黑体" w:eastAsia="黑体"/>
          <w:sz w:val="32"/>
          <w:szCs w:val="32"/>
        </w:rPr>
      </w:pPr>
    </w:p>
    <w:p>
      <w:pPr>
        <w:spacing w:line="560" w:lineRule="exact"/>
        <w:ind w:firstLine="643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一、财政拨款：</w:t>
      </w:r>
      <w:r>
        <w:rPr>
          <w:rFonts w:hint="eastAsia" w:ascii="仿宋_GB2312" w:eastAsia="仿宋_GB2312"/>
          <w:sz w:val="32"/>
          <w:szCs w:val="32"/>
        </w:rPr>
        <w:t>指由一般公共预算、政府性基金预算、国有资本经营预算安排的财政拨款数。</w:t>
      </w:r>
    </w:p>
    <w:p>
      <w:pPr>
        <w:spacing w:line="560" w:lineRule="exact"/>
        <w:ind w:firstLine="643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二、一般公共预算：</w:t>
      </w:r>
      <w:r>
        <w:rPr>
          <w:rFonts w:hint="eastAsia" w:ascii="仿宋_GB2312" w:eastAsia="仿宋_GB2312"/>
          <w:spacing w:val="-6"/>
          <w:sz w:val="32"/>
          <w:szCs w:val="32"/>
        </w:rPr>
        <w:t>包括公共财政拨款（补助）资金、专项收入。</w:t>
      </w:r>
    </w:p>
    <w:p>
      <w:pPr>
        <w:spacing w:line="560" w:lineRule="exact"/>
        <w:ind w:firstLine="643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三、财政专户管理资金：</w:t>
      </w:r>
      <w:r>
        <w:rPr>
          <w:rFonts w:hint="eastAsia" w:ascii="仿宋_GB2312" w:eastAsia="仿宋_GB2312"/>
          <w:sz w:val="32"/>
          <w:szCs w:val="32"/>
        </w:rPr>
        <w:t>包括专户管理行政事业性收费（主要是教育收费）、其他非税收入。</w:t>
      </w:r>
    </w:p>
    <w:p>
      <w:pPr>
        <w:spacing w:line="560" w:lineRule="exact"/>
        <w:ind w:firstLine="643" w:firstLineChars="200"/>
        <w:rPr>
          <w:rFonts w:ascii="仿宋_GB2312" w:eastAsia="仿宋_GB2312"/>
          <w:spacing w:val="-17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四、其他资金：</w:t>
      </w:r>
      <w:r>
        <w:rPr>
          <w:rFonts w:hint="eastAsia" w:ascii="仿宋_GB2312" w:eastAsia="仿宋_GB2312"/>
          <w:spacing w:val="-17"/>
          <w:sz w:val="32"/>
          <w:szCs w:val="32"/>
        </w:rPr>
        <w:t>包括事业收入、事业经营收入、其他收入等。</w:t>
      </w:r>
    </w:p>
    <w:p>
      <w:pPr>
        <w:spacing w:line="560" w:lineRule="exact"/>
        <w:ind w:firstLine="643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五、基本支出：</w:t>
      </w:r>
      <w:r>
        <w:rPr>
          <w:rFonts w:hint="eastAsia" w:ascii="仿宋_GB2312" w:eastAsia="仿宋_GB2312"/>
          <w:sz w:val="32"/>
          <w:szCs w:val="32"/>
        </w:rPr>
        <w:t>包括人员经费、公用经费（定额）。其中，人员经费包括工资福利支出、对个人和家庭的补助。</w:t>
      </w:r>
    </w:p>
    <w:p>
      <w:pPr>
        <w:spacing w:line="560" w:lineRule="exact"/>
        <w:ind w:firstLine="643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六、项目支出：</w:t>
      </w:r>
      <w:r>
        <w:rPr>
          <w:rFonts w:hint="eastAsia" w:ascii="仿宋_GB2312" w:eastAsia="仿宋_GB2312"/>
          <w:sz w:val="32"/>
          <w:szCs w:val="32"/>
        </w:rPr>
        <w:t>部门（单位）支出预算的组成部分，是</w:t>
      </w:r>
      <w:r>
        <w:rPr>
          <w:rFonts w:hint="eastAsia" w:ascii="仿宋_GB2312" w:eastAsia="仿宋_GB2312"/>
          <w:sz w:val="32"/>
          <w:szCs w:val="32"/>
          <w:lang w:eastAsia="zh-CN"/>
        </w:rPr>
        <w:t>州</w:t>
      </w:r>
      <w:r>
        <w:rPr>
          <w:rFonts w:hint="eastAsia" w:ascii="仿宋_GB2312" w:eastAsia="仿宋_GB2312"/>
          <w:sz w:val="32"/>
          <w:szCs w:val="32"/>
        </w:rPr>
        <w:t>本级部门（单位）为完成其特定的行政任务或事业发展目标，在基本支出预算之外编制的年</w:t>
      </w:r>
      <w:bookmarkStart w:id="0" w:name="_GoBack"/>
      <w:bookmarkEnd w:id="0"/>
      <w:r>
        <w:rPr>
          <w:rFonts w:hint="eastAsia" w:ascii="仿宋_GB2312" w:eastAsia="仿宋_GB2312"/>
          <w:sz w:val="32"/>
          <w:szCs w:val="32"/>
        </w:rPr>
        <w:t>度项目支出计划。</w:t>
      </w:r>
    </w:p>
    <w:p>
      <w:pPr>
        <w:spacing w:line="560" w:lineRule="exact"/>
        <w:ind w:firstLine="643" w:firstLineChars="200"/>
        <w:rPr>
          <w:rFonts w:ascii="仿宋_GB2312" w:eastAsia="仿宋_GB2312"/>
          <w:spacing w:val="-6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七、“三公”经费：</w:t>
      </w:r>
      <w:r>
        <w:rPr>
          <w:rFonts w:hint="eastAsia" w:ascii="仿宋_GB2312" w:eastAsia="仿宋_GB2312"/>
          <w:sz w:val="32"/>
          <w:szCs w:val="32"/>
        </w:rPr>
        <w:t>指</w:t>
      </w:r>
      <w:r>
        <w:rPr>
          <w:rFonts w:hint="eastAsia" w:ascii="仿宋_GB2312" w:eastAsia="仿宋_GB2312"/>
          <w:sz w:val="32"/>
          <w:szCs w:val="32"/>
          <w:lang w:eastAsia="zh-CN"/>
        </w:rPr>
        <w:t>州</w:t>
      </w:r>
      <w:r>
        <w:rPr>
          <w:rFonts w:hint="eastAsia" w:ascii="仿宋_GB2312" w:eastAsia="仿宋_GB2312"/>
          <w:sz w:val="32"/>
          <w:szCs w:val="32"/>
        </w:rPr>
        <w:t>本级部门（单位）用一般公共预算财政拨款安排的因公出国（境）费、公务用车购置及运行费和公务接待费。其中，因公出国（境）费指单位公务出国（境）的住宿费、旅费、伙食补助费、杂费、培训费等支出；公务用车购置及运行费指单位公务用车购置费及租用费、燃料费、维修费、过路过桥费、保险费、安全奖励费用等支出；公</w:t>
      </w:r>
      <w:r>
        <w:rPr>
          <w:rFonts w:hint="eastAsia" w:ascii="仿宋_GB2312" w:eastAsia="仿宋_GB2312"/>
          <w:spacing w:val="-11"/>
          <w:sz w:val="32"/>
          <w:szCs w:val="32"/>
        </w:rPr>
        <w:t>务接待费指单位按规定开支的各类公务接待（含外宾接待）支出。</w:t>
      </w:r>
    </w:p>
    <w:p>
      <w:pPr>
        <w:spacing w:line="560" w:lineRule="exact"/>
        <w:ind w:firstLine="643" w:firstLineChars="200"/>
        <w:rPr>
          <w:rFonts w:ascii="仿宋_GB2312" w:eastAsia="仿宋_GB2312"/>
          <w:spacing w:val="-11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八、机关运行经费：</w:t>
      </w:r>
      <w:r>
        <w:rPr>
          <w:rFonts w:hint="eastAsia" w:ascii="仿宋_GB2312" w:eastAsia="仿宋_GB2312"/>
          <w:sz w:val="32"/>
          <w:szCs w:val="32"/>
        </w:rPr>
        <w:t>指各部门（单位）的公用经费，包括办公及印刷费、邮电费、差旅费、会议费、福利费、日常维修费、专用材料及一般设备购置费、办公用房水电费、办公用房</w:t>
      </w:r>
      <w:r>
        <w:rPr>
          <w:rFonts w:hint="eastAsia" w:ascii="仿宋_GB2312" w:eastAsia="仿宋_GB2312"/>
          <w:spacing w:val="-11"/>
          <w:sz w:val="32"/>
          <w:szCs w:val="32"/>
        </w:rPr>
        <w:t>取暖费、办公用房物业管理费、公务用车运行维护费及其他费用。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                   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昌吉州林业技术推广中心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                          2022</w:t>
      </w:r>
      <w:r>
        <w:rPr>
          <w:rFonts w:ascii="仿宋_GB2312" w:hAnsi="宋体" w:eastAsia="仿宋_GB2312" w:cs="宋体"/>
          <w:kern w:val="0"/>
          <w:sz w:val="32"/>
          <w:szCs w:val="32"/>
        </w:rPr>
        <w:t>年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</w:t>
      </w:r>
      <w:r>
        <w:rPr>
          <w:rFonts w:ascii="仿宋_GB2312" w:hAnsi="宋体" w:eastAsia="仿宋_GB2312" w:cs="宋体"/>
          <w:kern w:val="0"/>
          <w:sz w:val="32"/>
          <w:szCs w:val="32"/>
        </w:rPr>
        <w:t>月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12</w:t>
      </w:r>
      <w:r>
        <w:rPr>
          <w:rFonts w:ascii="仿宋_GB2312" w:hAnsi="宋体" w:eastAsia="仿宋_GB2312" w:cs="宋体"/>
          <w:kern w:val="0"/>
          <w:sz w:val="32"/>
          <w:szCs w:val="32"/>
        </w:rPr>
        <w:t>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9" w:usb3="00000000" w:csb0="000001FF" w:csb1="00000000"/>
  </w:font>
  <w:font w:name="方正小标宋_GBK">
    <w:altName w:val="Arial Unicode MS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right"/>
      <w:rPr>
        <w:rFonts w:ascii="宋体" w:hAnsi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534035" cy="230505"/>
              <wp:effectExtent l="0" t="0" r="18415" b="17145"/>
              <wp:wrapNone/>
              <wp:docPr id="8" name="文本框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4035" cy="230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4"/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  <w:t>- 53 -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8.15pt;width:42.05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8PZMfdEAAAADAQAADwAAAAAAAAABACAAAAAiAAAAZHJzL2Rvd25yZXYueG1s&#10;UEsBAhQAFAAAAAgAh07iQP5+2abGAQAAiwMAAA4AAAAAAAAAAQAgAAAAIA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cs="宋体"/>
                        <w:sz w:val="28"/>
                        <w:szCs w:val="28"/>
                      </w:rPr>
                      <w:t>- 53 -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>
    <w:pPr>
      <w:pStyle w:val="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right"/>
      <w:rPr>
        <w:rFonts w:ascii="宋体" w:hAnsi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534035" cy="230505"/>
              <wp:effectExtent l="0" t="0" r="18415" b="17145"/>
              <wp:wrapNone/>
              <wp:docPr id="9" name="文本框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4035" cy="230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4"/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  <w:t>- 54 -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8.15pt;width:42.05pt;mso-position-horizontal:outside;mso-position-horizontal-relative:margin;mso-wrap-style:none;z-index:251661312;mso-width-relative:page;mso-height-relative:page;" filled="f" stroked="f" coordsize="21600,21600" o:gfxdata="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8PZMfdEAAAADAQAADwAAAAAAAAABACAAAAAiAAAAZHJzL2Rvd25yZXYueG1s&#10;UEsBAhQAFAAAAAgAh07iQIr5F1HGAQAAiwMAAA4AAAAAAAAAAQAgAAAAIA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cs="宋体"/>
                        <w:sz w:val="28"/>
                        <w:szCs w:val="28"/>
                      </w:rPr>
                      <w:t>- 54 -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>
    <w:pPr>
      <w:pStyle w:val="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right"/>
      <w:rPr>
        <w:rFonts w:ascii="宋体" w:hAnsi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534035" cy="230505"/>
              <wp:effectExtent l="0" t="0" r="12065" b="10795"/>
              <wp:wrapNone/>
              <wp:docPr id="10" name="文本框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4035" cy="2305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  <w:t>- 56 -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8.15pt;width:42.05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cs="宋体"/>
                        <w:sz w:val="28"/>
                        <w:szCs w:val="28"/>
                      </w:rPr>
                      <w:t>- 56 -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>
    <w:pPr>
      <w:pStyle w:val="4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69F3AA6"/>
    <w:multiLevelType w:val="singleLevel"/>
    <w:tmpl w:val="269F3AA6"/>
    <w:lvl w:ilvl="0" w:tentative="0">
      <w:start w:val="7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477F"/>
    <w:rsid w:val="00181ECD"/>
    <w:rsid w:val="002E5250"/>
    <w:rsid w:val="002F2398"/>
    <w:rsid w:val="003923D8"/>
    <w:rsid w:val="004265FD"/>
    <w:rsid w:val="00432BE1"/>
    <w:rsid w:val="0047118F"/>
    <w:rsid w:val="004D477F"/>
    <w:rsid w:val="0059437A"/>
    <w:rsid w:val="0090107A"/>
    <w:rsid w:val="00944B81"/>
    <w:rsid w:val="00AF3F7E"/>
    <w:rsid w:val="00B141E5"/>
    <w:rsid w:val="00C12D75"/>
    <w:rsid w:val="00CE4C77"/>
    <w:rsid w:val="00D85033"/>
    <w:rsid w:val="00F91EEB"/>
    <w:rsid w:val="013F73A9"/>
    <w:rsid w:val="019E6D18"/>
    <w:rsid w:val="01B102D6"/>
    <w:rsid w:val="01EA208A"/>
    <w:rsid w:val="02E64800"/>
    <w:rsid w:val="032B7324"/>
    <w:rsid w:val="03FD4F25"/>
    <w:rsid w:val="04272E8F"/>
    <w:rsid w:val="042B535D"/>
    <w:rsid w:val="04B96BF6"/>
    <w:rsid w:val="04F760EB"/>
    <w:rsid w:val="05E55751"/>
    <w:rsid w:val="05F03B34"/>
    <w:rsid w:val="0739207D"/>
    <w:rsid w:val="07DF5626"/>
    <w:rsid w:val="08541F05"/>
    <w:rsid w:val="090F4C30"/>
    <w:rsid w:val="094F7E9D"/>
    <w:rsid w:val="0A562FDE"/>
    <w:rsid w:val="0AB21D3D"/>
    <w:rsid w:val="0AFA6B74"/>
    <w:rsid w:val="0B4F3B99"/>
    <w:rsid w:val="0BFF5A01"/>
    <w:rsid w:val="0CE43793"/>
    <w:rsid w:val="0DEF1B49"/>
    <w:rsid w:val="0DFF51DD"/>
    <w:rsid w:val="0E2B7D1B"/>
    <w:rsid w:val="0E441348"/>
    <w:rsid w:val="0E8377AE"/>
    <w:rsid w:val="0F5D4C10"/>
    <w:rsid w:val="0F7116A4"/>
    <w:rsid w:val="10BA24E3"/>
    <w:rsid w:val="11286A58"/>
    <w:rsid w:val="126B7C80"/>
    <w:rsid w:val="129251C7"/>
    <w:rsid w:val="12BE4995"/>
    <w:rsid w:val="13120A72"/>
    <w:rsid w:val="13264FC5"/>
    <w:rsid w:val="1334605E"/>
    <w:rsid w:val="13A52EF8"/>
    <w:rsid w:val="13C746B1"/>
    <w:rsid w:val="14176A09"/>
    <w:rsid w:val="146A7071"/>
    <w:rsid w:val="14E13231"/>
    <w:rsid w:val="153A656B"/>
    <w:rsid w:val="153E773D"/>
    <w:rsid w:val="158978A6"/>
    <w:rsid w:val="160405CA"/>
    <w:rsid w:val="162D652F"/>
    <w:rsid w:val="164C3A9E"/>
    <w:rsid w:val="17177997"/>
    <w:rsid w:val="180C41D5"/>
    <w:rsid w:val="189F03CF"/>
    <w:rsid w:val="18CD2826"/>
    <w:rsid w:val="18FB05D9"/>
    <w:rsid w:val="19761AA8"/>
    <w:rsid w:val="198C03E9"/>
    <w:rsid w:val="1A384E00"/>
    <w:rsid w:val="1A3C651B"/>
    <w:rsid w:val="1A926905"/>
    <w:rsid w:val="1B87266B"/>
    <w:rsid w:val="1C086375"/>
    <w:rsid w:val="1CDF0849"/>
    <w:rsid w:val="1D766DD8"/>
    <w:rsid w:val="1E29060F"/>
    <w:rsid w:val="1E520FAB"/>
    <w:rsid w:val="203E37D1"/>
    <w:rsid w:val="20674381"/>
    <w:rsid w:val="20BA501A"/>
    <w:rsid w:val="20EF4E93"/>
    <w:rsid w:val="21444805"/>
    <w:rsid w:val="22276EE1"/>
    <w:rsid w:val="244264B4"/>
    <w:rsid w:val="24B66BA7"/>
    <w:rsid w:val="25EA76F5"/>
    <w:rsid w:val="263F3126"/>
    <w:rsid w:val="263F6344"/>
    <w:rsid w:val="26ED3E7D"/>
    <w:rsid w:val="272E1A96"/>
    <w:rsid w:val="27742578"/>
    <w:rsid w:val="278E6437"/>
    <w:rsid w:val="27B02BB0"/>
    <w:rsid w:val="27FC1133"/>
    <w:rsid w:val="28B9453C"/>
    <w:rsid w:val="28DB0CA2"/>
    <w:rsid w:val="29770EF5"/>
    <w:rsid w:val="29E02889"/>
    <w:rsid w:val="29F66070"/>
    <w:rsid w:val="2B261DEC"/>
    <w:rsid w:val="2B565659"/>
    <w:rsid w:val="2BA96783"/>
    <w:rsid w:val="2CA55595"/>
    <w:rsid w:val="2CC23933"/>
    <w:rsid w:val="2D751E4B"/>
    <w:rsid w:val="2DAF33C8"/>
    <w:rsid w:val="2DE66400"/>
    <w:rsid w:val="2E5724AB"/>
    <w:rsid w:val="2EAB1820"/>
    <w:rsid w:val="2F0B355E"/>
    <w:rsid w:val="2F685C4F"/>
    <w:rsid w:val="2F820EB8"/>
    <w:rsid w:val="308C1947"/>
    <w:rsid w:val="30B27B99"/>
    <w:rsid w:val="31127785"/>
    <w:rsid w:val="31221C7B"/>
    <w:rsid w:val="31480A48"/>
    <w:rsid w:val="326C4457"/>
    <w:rsid w:val="32B2383C"/>
    <w:rsid w:val="32F84440"/>
    <w:rsid w:val="33030244"/>
    <w:rsid w:val="332F682C"/>
    <w:rsid w:val="336B12FF"/>
    <w:rsid w:val="339C61A0"/>
    <w:rsid w:val="34B97F7B"/>
    <w:rsid w:val="350F7F99"/>
    <w:rsid w:val="353F0014"/>
    <w:rsid w:val="370568A8"/>
    <w:rsid w:val="38774BBE"/>
    <w:rsid w:val="39EC283E"/>
    <w:rsid w:val="3A235DB3"/>
    <w:rsid w:val="3A9627AB"/>
    <w:rsid w:val="3D12549C"/>
    <w:rsid w:val="3D85360B"/>
    <w:rsid w:val="3DD81563"/>
    <w:rsid w:val="3E195E27"/>
    <w:rsid w:val="3FB27DC3"/>
    <w:rsid w:val="3FF47165"/>
    <w:rsid w:val="407D6CCD"/>
    <w:rsid w:val="416F3C06"/>
    <w:rsid w:val="417067FB"/>
    <w:rsid w:val="41D43E6F"/>
    <w:rsid w:val="42593812"/>
    <w:rsid w:val="43B92BA7"/>
    <w:rsid w:val="43FC4D8F"/>
    <w:rsid w:val="44A24A53"/>
    <w:rsid w:val="44CD13B1"/>
    <w:rsid w:val="463866DD"/>
    <w:rsid w:val="46C932EE"/>
    <w:rsid w:val="46D545CE"/>
    <w:rsid w:val="47016C56"/>
    <w:rsid w:val="490B5F85"/>
    <w:rsid w:val="49250BEA"/>
    <w:rsid w:val="49D61E06"/>
    <w:rsid w:val="4A8D1A80"/>
    <w:rsid w:val="4AA66CE3"/>
    <w:rsid w:val="4AF72EF1"/>
    <w:rsid w:val="4B931A18"/>
    <w:rsid w:val="4C2323A5"/>
    <w:rsid w:val="4C34467D"/>
    <w:rsid w:val="4CC5667D"/>
    <w:rsid w:val="4DB2067B"/>
    <w:rsid w:val="4E086D13"/>
    <w:rsid w:val="4FBA56F6"/>
    <w:rsid w:val="4FE10402"/>
    <w:rsid w:val="51394CD1"/>
    <w:rsid w:val="51706943"/>
    <w:rsid w:val="52015901"/>
    <w:rsid w:val="526E7136"/>
    <w:rsid w:val="53907EFC"/>
    <w:rsid w:val="53C457EB"/>
    <w:rsid w:val="56086CF2"/>
    <w:rsid w:val="570638C7"/>
    <w:rsid w:val="577232C6"/>
    <w:rsid w:val="578907FB"/>
    <w:rsid w:val="57C87F88"/>
    <w:rsid w:val="585725C5"/>
    <w:rsid w:val="5A097B7C"/>
    <w:rsid w:val="5A4C3AA3"/>
    <w:rsid w:val="5AB5213C"/>
    <w:rsid w:val="5B2E3741"/>
    <w:rsid w:val="5B5F246B"/>
    <w:rsid w:val="5C7F46AE"/>
    <w:rsid w:val="5C9034A2"/>
    <w:rsid w:val="5CE45E03"/>
    <w:rsid w:val="5CF25C2A"/>
    <w:rsid w:val="5D0F55D3"/>
    <w:rsid w:val="5E0149F4"/>
    <w:rsid w:val="5F4266C6"/>
    <w:rsid w:val="61722C58"/>
    <w:rsid w:val="61A1166D"/>
    <w:rsid w:val="61A52860"/>
    <w:rsid w:val="61BF7228"/>
    <w:rsid w:val="61EC474D"/>
    <w:rsid w:val="62FA2E27"/>
    <w:rsid w:val="65F22A3C"/>
    <w:rsid w:val="66613DF8"/>
    <w:rsid w:val="66EB6798"/>
    <w:rsid w:val="672B1431"/>
    <w:rsid w:val="67A77CD1"/>
    <w:rsid w:val="68BD7075"/>
    <w:rsid w:val="68DC2046"/>
    <w:rsid w:val="693731B7"/>
    <w:rsid w:val="69493AF4"/>
    <w:rsid w:val="695F7D94"/>
    <w:rsid w:val="697F48B9"/>
    <w:rsid w:val="6A733D83"/>
    <w:rsid w:val="6B4449DB"/>
    <w:rsid w:val="6C173F21"/>
    <w:rsid w:val="6D851EEB"/>
    <w:rsid w:val="6DA60C71"/>
    <w:rsid w:val="6E3C5AB7"/>
    <w:rsid w:val="6F533C3A"/>
    <w:rsid w:val="6F8547AF"/>
    <w:rsid w:val="6FB35D01"/>
    <w:rsid w:val="703C1B60"/>
    <w:rsid w:val="705F112B"/>
    <w:rsid w:val="70C34836"/>
    <w:rsid w:val="71327BF0"/>
    <w:rsid w:val="71CD641D"/>
    <w:rsid w:val="72481BDB"/>
    <w:rsid w:val="72601027"/>
    <w:rsid w:val="727E3DD9"/>
    <w:rsid w:val="73241938"/>
    <w:rsid w:val="73544DDF"/>
    <w:rsid w:val="73A33781"/>
    <w:rsid w:val="73C34389"/>
    <w:rsid w:val="7453127F"/>
    <w:rsid w:val="745E3055"/>
    <w:rsid w:val="747E5A6B"/>
    <w:rsid w:val="754172E4"/>
    <w:rsid w:val="768D77C7"/>
    <w:rsid w:val="77004CEB"/>
    <w:rsid w:val="779B3E0A"/>
    <w:rsid w:val="787A6785"/>
    <w:rsid w:val="789638E2"/>
    <w:rsid w:val="79834649"/>
    <w:rsid w:val="7A6A4567"/>
    <w:rsid w:val="7A7361C2"/>
    <w:rsid w:val="7A8D5D79"/>
    <w:rsid w:val="7ACC25A8"/>
    <w:rsid w:val="7B0B4E89"/>
    <w:rsid w:val="7B456CB7"/>
    <w:rsid w:val="7B8C3008"/>
    <w:rsid w:val="7BC52116"/>
    <w:rsid w:val="7BF861B8"/>
    <w:rsid w:val="7C520C90"/>
    <w:rsid w:val="7CBF09FA"/>
    <w:rsid w:val="7CDB006E"/>
    <w:rsid w:val="7D1A51BE"/>
    <w:rsid w:val="7D881F0B"/>
    <w:rsid w:val="7DD82C72"/>
    <w:rsid w:val="7E1F68D0"/>
    <w:rsid w:val="7EDE1B21"/>
    <w:rsid w:val="7F815A4F"/>
    <w:rsid w:val="7FBD2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2"/>
    <w:basedOn w:val="1"/>
    <w:next w:val="1"/>
    <w:link w:val="12"/>
    <w:qFormat/>
    <w:uiPriority w:val="0"/>
    <w:pPr>
      <w:ind w:left="1277"/>
      <w:outlineLvl w:val="1"/>
    </w:pPr>
    <w:rPr>
      <w:rFonts w:ascii="仿宋_GB2312" w:hAnsi="仿宋_GB2312" w:eastAsia="仿宋_GB2312" w:cs="仿宋_GB2312"/>
      <w:b/>
      <w:bCs/>
      <w:sz w:val="32"/>
      <w:szCs w:val="32"/>
      <w:lang w:val="zh-CN" w:bidi="zh-CN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3"/>
    <w:qFormat/>
    <w:uiPriority w:val="0"/>
    <w:rPr>
      <w:rFonts w:ascii="方正仿宋_GBK" w:hAnsi="方正仿宋_GBK" w:eastAsia="方正仿宋_GBK" w:cs="方正仿宋_GBK"/>
      <w:sz w:val="32"/>
      <w:szCs w:val="32"/>
      <w:lang w:val="zh-CN" w:bidi="zh-CN"/>
    </w:rPr>
  </w:style>
  <w:style w:type="paragraph" w:styleId="4">
    <w:name w:val="footer"/>
    <w:basedOn w:val="1"/>
    <w:link w:val="11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rPr>
      <w:rFonts w:ascii="Calibri" w:hAnsi="Calibri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page number"/>
    <w:basedOn w:val="8"/>
    <w:qFormat/>
    <w:uiPriority w:val="0"/>
  </w:style>
  <w:style w:type="character" w:customStyle="1" w:styleId="10">
    <w:name w:val="页眉 Char"/>
    <w:basedOn w:val="8"/>
    <w:link w:val="5"/>
    <w:qFormat/>
    <w:uiPriority w:val="0"/>
    <w:rPr>
      <w:sz w:val="18"/>
      <w:szCs w:val="18"/>
    </w:rPr>
  </w:style>
  <w:style w:type="character" w:customStyle="1" w:styleId="11">
    <w:name w:val="页脚 Char"/>
    <w:basedOn w:val="8"/>
    <w:link w:val="4"/>
    <w:qFormat/>
    <w:uiPriority w:val="99"/>
    <w:rPr>
      <w:sz w:val="18"/>
      <w:szCs w:val="18"/>
    </w:rPr>
  </w:style>
  <w:style w:type="character" w:customStyle="1" w:styleId="12">
    <w:name w:val="标题 2 Char"/>
    <w:basedOn w:val="8"/>
    <w:link w:val="3"/>
    <w:qFormat/>
    <w:uiPriority w:val="0"/>
    <w:rPr>
      <w:rFonts w:ascii="仿宋_GB2312" w:hAnsi="仿宋_GB2312" w:eastAsia="仿宋_GB2312" w:cs="仿宋_GB2312"/>
      <w:b/>
      <w:bCs/>
      <w:sz w:val="32"/>
      <w:szCs w:val="32"/>
      <w:lang w:val="zh-CN" w:bidi="zh-CN"/>
    </w:rPr>
  </w:style>
  <w:style w:type="character" w:customStyle="1" w:styleId="13">
    <w:name w:val="正文文本 Char"/>
    <w:basedOn w:val="8"/>
    <w:link w:val="2"/>
    <w:qFormat/>
    <w:uiPriority w:val="0"/>
    <w:rPr>
      <w:rFonts w:ascii="方正仿宋_GBK" w:hAnsi="方正仿宋_GBK" w:eastAsia="方正仿宋_GBK" w:cs="方正仿宋_GBK"/>
      <w:sz w:val="32"/>
      <w:szCs w:val="32"/>
      <w:lang w:val="zh-CN" w:bidi="zh-CN"/>
    </w:rPr>
  </w:style>
  <w:style w:type="paragraph" w:customStyle="1" w:styleId="14">
    <w:name w:val="f1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Helvetica" w:hAnsi="Helvetica" w:cs="Helvetica"/>
      <w:b/>
      <w:bCs/>
      <w:color w:val="FF8080"/>
      <w:spacing w:val="160"/>
      <w:kern w:val="0"/>
      <w:sz w:val="80"/>
      <w:szCs w:val="8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</Company>
  <Pages>23</Pages>
  <Words>6278</Words>
  <Characters>7724</Characters>
  <Lines>69</Lines>
  <Paragraphs>19</Paragraphs>
  <TotalTime>3</TotalTime>
  <ScaleCrop>false</ScaleCrop>
  <LinksUpToDate>false</LinksUpToDate>
  <CharactersWithSpaces>8384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2022-02-11T11:16:00Z</dcterms:created>
  <dc:creator>闫超</dc:creator>
  <cp:lastModifiedBy>Administrator</cp:lastModifiedBy>
  <cp:lastPrinted>2022-04-01T02:31:00Z</cp:lastPrinted>
  <dcterms:modified xsi:type="dcterms:W3CDTF">2022-04-19T08:20:09Z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E82795BC02DC49E6B792B23364726520</vt:lpwstr>
  </property>
</Properties>
</file>