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昌吉州文化馆202</w:t>
      </w:r>
      <w:r>
        <w:rPr>
          <w:rFonts w:hint="eastAsia" w:ascii="方正小标宋_GBK" w:hAnsi="宋体" w:eastAsia="方正小标宋_GBK"/>
          <w:kern w:val="0"/>
          <w:sz w:val="44"/>
          <w:szCs w:val="44"/>
          <w:lang w:val="en-US" w:eastAsia="zh-CN"/>
        </w:rPr>
        <w:t>2</w:t>
      </w:r>
      <w:r>
        <w:rPr>
          <w:rFonts w:hint="eastAsia" w:ascii="方正小标宋_GBK" w:hAnsi="宋体" w:eastAsia="方正小标宋_GBK"/>
          <w:kern w:val="0"/>
          <w:sz w:val="44"/>
          <w:szCs w:val="44"/>
        </w:rPr>
        <w:t>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sectPr>
          <w:footerReference r:id="rId4" w:type="default"/>
          <w:pgSz w:w="11906" w:h="16838"/>
          <w:pgMar w:top="2098" w:right="1418" w:bottom="1928" w:left="1588" w:header="851" w:footer="992" w:gutter="0"/>
          <w:pgNumType w:fmt="numberInDash" w:start="53"/>
          <w:cols w:space="720" w:num="1"/>
          <w:docGrid w:linePitch="312"/>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昌吉州文化馆</w:t>
      </w:r>
      <w:r>
        <w:rPr>
          <w:rFonts w:hint="eastAsia" w:ascii="仿宋_GB2312" w:hAnsi="宋体" w:eastAsia="仿宋_GB2312"/>
          <w:b/>
          <w:kern w:val="0"/>
          <w:sz w:val="32"/>
          <w:szCs w:val="32"/>
          <w:lang w:eastAsia="zh-CN"/>
        </w:rPr>
        <w:t>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昌吉州文化馆</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sectPr>
          <w:footerReference r:id="rId5" w:type="default"/>
          <w:pgSz w:w="11906" w:h="16838"/>
          <w:pgMar w:top="2098" w:right="1418" w:bottom="1928" w:left="1588" w:header="851" w:footer="992" w:gutter="0"/>
          <w:pgNumType w:fmt="numberInDash"/>
          <w:cols w:space="720" w:num="1"/>
          <w:docGrid w:linePitch="312"/>
        </w:sectPr>
      </w:pPr>
    </w:p>
    <w:p>
      <w:pPr>
        <w:widowControl/>
        <w:spacing w:line="54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第一部分   昌吉州文化馆</w:t>
      </w:r>
      <w:r>
        <w:rPr>
          <w:rFonts w:hint="eastAsia" w:ascii="黑体" w:hAnsi="黑体" w:eastAsia="黑体"/>
          <w:kern w:val="0"/>
          <w:sz w:val="32"/>
          <w:szCs w:val="32"/>
          <w:lang w:eastAsia="zh-CN"/>
        </w:rPr>
        <w:t>单位</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4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sz w:val="32"/>
          <w:szCs w:val="32"/>
        </w:rPr>
        <w:t>昌吉回族自治州文化馆是州文广局下属的全额拨款的公益一类事业单位。单位宗旨是开展群众文化艺术活动,促进文化艺术繁荣。职能：群众文化艺术活动的研究，指导、组织、辅导群众文化活动，传播科学文化知识“群众文化艺术场所的提供与管理，文化艺术的推广与普及，相关产业经营。</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昌吉州文化馆</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eastAsia="zh-CN"/>
        </w:rPr>
        <w:t>四</w:t>
      </w:r>
      <w:r>
        <w:rPr>
          <w:rFonts w:hint="eastAsia" w:ascii="仿宋_GB2312" w:hAnsi="黑体" w:eastAsia="仿宋_GB2312" w:cs="宋体"/>
          <w:bCs/>
          <w:kern w:val="0"/>
          <w:sz w:val="32"/>
          <w:szCs w:val="32"/>
        </w:rPr>
        <w:t>个科室，分别是：</w:t>
      </w:r>
      <w:r>
        <w:rPr>
          <w:rFonts w:hint="eastAsia" w:ascii="仿宋_GB2312" w:hAnsi="宋体" w:eastAsia="仿宋_GB2312" w:cs="宋体"/>
          <w:kern w:val="0"/>
          <w:sz w:val="32"/>
          <w:szCs w:val="32"/>
        </w:rPr>
        <w:t>办公室，业务部，调研室，非遗中心。</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昌吉州文化馆</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23</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单位</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：昌吉州文化馆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212.57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212.57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212.57</w:t>
            </w: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eastAsia="zh-CN"/>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212.57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212.57</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：昌吉州文化馆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9835"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7"/>
        <w:gridCol w:w="61"/>
        <w:gridCol w:w="399"/>
        <w:gridCol w:w="42"/>
        <w:gridCol w:w="429"/>
        <w:gridCol w:w="1753"/>
        <w:gridCol w:w="1248"/>
        <w:gridCol w:w="838"/>
        <w:gridCol w:w="18"/>
        <w:gridCol w:w="696"/>
        <w:gridCol w:w="18"/>
        <w:gridCol w:w="783"/>
        <w:gridCol w:w="18"/>
        <w:gridCol w:w="910"/>
        <w:gridCol w:w="18"/>
        <w:gridCol w:w="647"/>
        <w:gridCol w:w="18"/>
        <w:gridCol w:w="695"/>
        <w:gridCol w:w="18"/>
        <w:gridCol w:w="671"/>
        <w:gridCol w:w="6"/>
        <w:gridCol w:w="5"/>
        <w:gridCol w:w="7"/>
      </w:tblGrid>
      <w:tr>
        <w:trPr>
          <w:gridAfter w:val="3"/>
          <w:wAfter w:w="18" w:type="dxa"/>
          <w:trHeight w:val="819" w:hRule="atLeast"/>
        </w:trPr>
        <w:tc>
          <w:tcPr>
            <w:tcW w:w="146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功能分类科目编码</w:t>
            </w:r>
          </w:p>
        </w:tc>
        <w:tc>
          <w:tcPr>
            <w:tcW w:w="1753"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功能分类科目名称</w:t>
            </w:r>
          </w:p>
        </w:tc>
        <w:tc>
          <w:tcPr>
            <w:tcW w:w="124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总  计</w:t>
            </w:r>
          </w:p>
        </w:tc>
        <w:tc>
          <w:tcPr>
            <w:tcW w:w="83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一般公共预算拨款</w:t>
            </w:r>
          </w:p>
        </w:tc>
        <w:tc>
          <w:tcPr>
            <w:tcW w:w="714"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政府性基金预算拨款</w:t>
            </w:r>
          </w:p>
        </w:tc>
        <w:tc>
          <w:tcPr>
            <w:tcW w:w="801"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国有资本经营预算</w:t>
            </w:r>
          </w:p>
        </w:tc>
        <w:tc>
          <w:tcPr>
            <w:tcW w:w="928"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财政专户（教育收费）</w:t>
            </w:r>
          </w:p>
        </w:tc>
        <w:tc>
          <w:tcPr>
            <w:tcW w:w="665"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事业收入</w:t>
            </w:r>
          </w:p>
        </w:tc>
        <w:tc>
          <w:tcPr>
            <w:tcW w:w="713"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事业单位经营收入</w:t>
            </w:r>
          </w:p>
        </w:tc>
        <w:tc>
          <w:tcPr>
            <w:tcW w:w="689" w:type="dxa"/>
            <w:gridSpan w:val="2"/>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单位其他资金收入</w:t>
            </w:r>
          </w:p>
        </w:tc>
      </w:tr>
      <w:tr>
        <w:trPr>
          <w:trHeight w:val="475" w:hRule="atLeast"/>
        </w:trPr>
        <w:tc>
          <w:tcPr>
            <w:tcW w:w="53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类</w:t>
            </w:r>
          </w:p>
        </w:tc>
        <w:tc>
          <w:tcPr>
            <w:tcW w:w="460"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款</w:t>
            </w:r>
          </w:p>
        </w:tc>
        <w:tc>
          <w:tcPr>
            <w:tcW w:w="47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18"/>
                <w:szCs w:val="18"/>
              </w:rPr>
              <w:t>项</w:t>
            </w:r>
          </w:p>
        </w:tc>
        <w:tc>
          <w:tcPr>
            <w:tcW w:w="1753" w:type="dxa"/>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1248" w:type="dxa"/>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838" w:type="dxa"/>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714" w:type="dxa"/>
            <w:gridSpan w:val="2"/>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801" w:type="dxa"/>
            <w:gridSpan w:val="2"/>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928" w:type="dxa"/>
            <w:gridSpan w:val="2"/>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665" w:type="dxa"/>
            <w:gridSpan w:val="2"/>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713" w:type="dxa"/>
            <w:gridSpan w:val="2"/>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689" w:type="dxa"/>
            <w:gridSpan w:val="2"/>
            <w:vMerge w:val="continue"/>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rPr>
            </w:pPr>
          </w:p>
        </w:tc>
        <w:tc>
          <w:tcPr>
            <w:tcW w:w="6" w:type="dxa"/>
            <w:tcBorders>
              <w:top w:val="single" w:color="auto" w:sz="4" w:space="0"/>
              <w:left w:val="single" w:color="auto" w:sz="4" w:space="0"/>
              <w:right w:val="single" w:color="auto" w:sz="4" w:space="0"/>
            </w:tcBorders>
            <w:vAlign w:val="center"/>
          </w:tcPr>
          <w:p>
            <w:pPr>
              <w:jc w:val="center"/>
            </w:pPr>
            <w:r>
              <w:rPr>
                <w:rFonts w:hint="eastAsia" w:ascii="仿宋_GB2312" w:eastAsia="仿宋_GB2312"/>
                <w:b/>
                <w:color w:val="000000"/>
                <w:sz w:val="18"/>
                <w:szCs w:val="18"/>
              </w:rPr>
              <w:t>类</w:t>
            </w:r>
          </w:p>
        </w:tc>
        <w:tc>
          <w:tcPr>
            <w:tcW w:w="5" w:type="dxa"/>
            <w:tcBorders>
              <w:top w:val="single" w:color="auto" w:sz="4" w:space="0"/>
              <w:left w:val="single" w:color="auto" w:sz="4" w:space="0"/>
              <w:right w:val="single" w:color="auto" w:sz="4" w:space="0"/>
            </w:tcBorders>
            <w:vAlign w:val="center"/>
          </w:tcPr>
          <w:p>
            <w:pPr>
              <w:jc w:val="center"/>
            </w:pPr>
            <w:r>
              <w:rPr>
                <w:rFonts w:hint="eastAsia" w:ascii="仿宋_GB2312" w:eastAsia="仿宋_GB2312"/>
                <w:b/>
                <w:color w:val="000000"/>
                <w:sz w:val="18"/>
                <w:szCs w:val="18"/>
              </w:rPr>
              <w:t>款</w:t>
            </w:r>
          </w:p>
        </w:tc>
        <w:tc>
          <w:tcPr>
            <w:tcW w:w="7" w:type="dxa"/>
            <w:tcBorders>
              <w:top w:val="single" w:color="auto" w:sz="4" w:space="0"/>
              <w:left w:val="single" w:color="auto" w:sz="4" w:space="0"/>
              <w:right w:val="single" w:color="auto" w:sz="4" w:space="0"/>
            </w:tcBorders>
            <w:vAlign w:val="center"/>
          </w:tcPr>
          <w:p>
            <w:pPr>
              <w:jc w:val="center"/>
            </w:pPr>
            <w:r>
              <w:rPr>
                <w:rFonts w:hint="eastAsia" w:ascii="仿宋_GB2312" w:eastAsia="仿宋_GB2312"/>
                <w:b/>
                <w:color w:val="000000"/>
                <w:sz w:val="18"/>
                <w:szCs w:val="18"/>
              </w:rPr>
              <w:t>项</w:t>
            </w:r>
          </w:p>
        </w:tc>
      </w:tr>
      <w:tr>
        <w:trPr>
          <w:trHeight w:val="582" w:hRule="atLeast"/>
        </w:trPr>
        <w:tc>
          <w:tcPr>
            <w:tcW w:w="59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41"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文化旅游体育与传媒支出</w:t>
            </w:r>
          </w:p>
        </w:tc>
        <w:tc>
          <w:tcPr>
            <w:tcW w:w="1248"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212.57</w:t>
            </w:r>
          </w:p>
        </w:tc>
        <w:tc>
          <w:tcPr>
            <w:tcW w:w="856" w:type="dxa"/>
            <w:gridSpan w:val="2"/>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val="en-US" w:eastAsia="zh-CN"/>
              </w:rPr>
              <w:t>212.57</w:t>
            </w:r>
          </w:p>
        </w:tc>
        <w:tc>
          <w:tcPr>
            <w:tcW w:w="714" w:type="dxa"/>
            <w:gridSpan w:val="2"/>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4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文化和旅游</w:t>
            </w:r>
          </w:p>
        </w:tc>
        <w:tc>
          <w:tcPr>
            <w:tcW w:w="124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val="en-US" w:eastAsia="zh-CN"/>
              </w:rPr>
              <w:t>212.57</w:t>
            </w:r>
          </w:p>
        </w:tc>
        <w:tc>
          <w:tcPr>
            <w:tcW w:w="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val="en-US" w:eastAsia="zh-CN"/>
              </w:rPr>
              <w:t>212.57</w:t>
            </w: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4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42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09</w:t>
            </w:r>
          </w:p>
        </w:tc>
        <w:tc>
          <w:tcPr>
            <w:tcW w:w="17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群众文化</w:t>
            </w:r>
          </w:p>
        </w:tc>
        <w:tc>
          <w:tcPr>
            <w:tcW w:w="124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val="en-US" w:eastAsia="zh-CN"/>
              </w:rPr>
              <w:t>212.57</w:t>
            </w:r>
          </w:p>
        </w:tc>
        <w:tc>
          <w:tcPr>
            <w:tcW w:w="856"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val="en-US" w:eastAsia="zh-CN"/>
              </w:rPr>
              <w:t>212.57</w:t>
            </w: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sz w:val="20"/>
                <w:szCs w:val="20"/>
                <w:lang w:eastAsia="zh-CN"/>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sz w:val="20"/>
                <w:szCs w:val="20"/>
                <w:lang w:eastAsia="zh-CN"/>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sz w:val="20"/>
                <w:szCs w:val="20"/>
                <w:lang w:eastAsia="zh-CN"/>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sz w:val="20"/>
                <w:szCs w:val="20"/>
                <w:lang w:eastAsia="zh-CN"/>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sz w:val="20"/>
                <w:szCs w:val="20"/>
                <w:lang w:eastAsia="zh-CN"/>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sz w:val="20"/>
                <w:szCs w:val="20"/>
                <w:lang w:eastAsia="zh-CN"/>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18"/>
                <w:szCs w:val="18"/>
                <w:lang w:val="en-US" w:eastAsia="zh-CN" w:bidi="ar-SA"/>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41"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429"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sz w:val="20"/>
                <w:szCs w:val="20"/>
                <w:lang w:val="en-US" w:eastAsia="zh-CN"/>
              </w:rPr>
            </w:pPr>
          </w:p>
        </w:tc>
        <w:tc>
          <w:tcPr>
            <w:tcW w:w="175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18"/>
                <w:szCs w:val="18"/>
                <w:lang w:val="en-US" w:eastAsia="zh-CN" w:bidi="ar-SA"/>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24" w:hRule="atLeast"/>
        </w:trPr>
        <w:tc>
          <w:tcPr>
            <w:tcW w:w="598" w:type="dxa"/>
            <w:gridSpan w:val="2"/>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41"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7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46" w:hRule="atLeast"/>
        </w:trPr>
        <w:tc>
          <w:tcPr>
            <w:tcW w:w="598" w:type="dxa"/>
            <w:gridSpan w:val="2"/>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1"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5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248"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856" w:type="dxa"/>
            <w:gridSpan w:val="2"/>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71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01"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9" w:type="dxa"/>
            <w:gridSpan w:val="4"/>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：昌吉州文化馆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416"/>
        <w:gridCol w:w="416"/>
        <w:gridCol w:w="2554"/>
        <w:gridCol w:w="1823"/>
        <w:gridCol w:w="1824"/>
        <w:gridCol w:w="1871"/>
      </w:tblGrid>
      <w:tr>
        <w:trPr>
          <w:trHeight w:val="345" w:hRule="atLeast"/>
        </w:trPr>
        <w:tc>
          <w:tcPr>
            <w:tcW w:w="3902"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18"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文化旅游体育与传媒支出</w:t>
            </w:r>
          </w:p>
        </w:tc>
        <w:tc>
          <w:tcPr>
            <w:tcW w:w="182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2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文化和旅游</w:t>
            </w:r>
          </w:p>
        </w:tc>
        <w:tc>
          <w:tcPr>
            <w:tcW w:w="182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2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09</w:t>
            </w:r>
          </w:p>
        </w:tc>
        <w:tc>
          <w:tcPr>
            <w:tcW w:w="255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群众文化</w:t>
            </w:r>
          </w:p>
        </w:tc>
        <w:tc>
          <w:tcPr>
            <w:tcW w:w="182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2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20"/>
                <w:szCs w:val="20"/>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20"/>
                <w:szCs w:val="20"/>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20"/>
                <w:szCs w:val="20"/>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20"/>
                <w:szCs w:val="20"/>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color w:val="000000"/>
                <w:kern w:val="2"/>
                <w:sz w:val="20"/>
                <w:szCs w:val="20"/>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18"/>
                <w:szCs w:val="18"/>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18"/>
                <w:szCs w:val="18"/>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2"/>
                <w:sz w:val="20"/>
                <w:szCs w:val="20"/>
                <w:lang w:val="en-US" w:eastAsia="zh-CN" w:bidi="ar-SA"/>
              </w:rPr>
            </w:pPr>
          </w:p>
        </w:tc>
        <w:tc>
          <w:tcPr>
            <w:tcW w:w="255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2"/>
                <w:sz w:val="18"/>
                <w:szCs w:val="18"/>
                <w:lang w:val="en-US" w:eastAsia="zh-CN" w:bidi="ar-SA"/>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54" w:type="dxa"/>
            <w:tcBorders>
              <w:top w:val="nil"/>
              <w:left w:val="nil"/>
              <w:bottom w:val="single" w:color="auto" w:sz="4" w:space="0"/>
              <w:right w:val="single" w:color="auto" w:sz="4" w:space="0"/>
            </w:tcBorders>
            <w:vAlign w:val="center"/>
          </w:tcPr>
          <w:p>
            <w:pPr>
              <w:jc w:val="center"/>
            </w:pPr>
          </w:p>
        </w:tc>
        <w:tc>
          <w:tcPr>
            <w:tcW w:w="182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2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212.57</w:t>
            </w:r>
          </w:p>
        </w:tc>
        <w:tc>
          <w:tcPr>
            <w:tcW w:w="18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 w:val="22"/>
          <w:szCs w:val="22"/>
        </w:rPr>
      </w:pPr>
      <w:r>
        <w:rPr>
          <w:rFonts w:hint="eastAsia" w:ascii="仿宋_GB2312" w:hAnsi="宋体" w:eastAsia="仿宋_GB2312"/>
          <w:kern w:val="0"/>
          <w:sz w:val="22"/>
          <w:szCs w:val="22"/>
        </w:rPr>
        <w:t>编制</w:t>
      </w:r>
      <w:r>
        <w:rPr>
          <w:rFonts w:hint="eastAsia" w:ascii="仿宋_GB2312" w:hAnsi="宋体" w:eastAsia="仿宋_GB2312"/>
          <w:kern w:val="0"/>
          <w:sz w:val="22"/>
          <w:szCs w:val="22"/>
          <w:lang w:eastAsia="zh-CN"/>
        </w:rPr>
        <w:t>单位</w:t>
      </w:r>
      <w:r>
        <w:rPr>
          <w:rFonts w:hint="eastAsia" w:ascii="仿宋_GB2312" w:hAnsi="宋体" w:eastAsia="仿宋_GB2312"/>
          <w:kern w:val="0"/>
          <w:sz w:val="22"/>
          <w:szCs w:val="22"/>
        </w:rPr>
        <w:t xml:space="preserve">：昌吉州文化馆                                     </w:t>
      </w:r>
      <w:r>
        <w:rPr>
          <w:rFonts w:hint="eastAsia" w:ascii="仿宋_GB2312" w:hAnsi="宋体" w:eastAsia="仿宋_GB2312"/>
          <w:kern w:val="0"/>
          <w:sz w:val="22"/>
          <w:szCs w:val="22"/>
          <w:lang w:val="en-US" w:eastAsia="zh-CN"/>
        </w:rPr>
        <w:t xml:space="preserve">           </w:t>
      </w:r>
      <w:r>
        <w:rPr>
          <w:rFonts w:hint="eastAsia" w:ascii="仿宋_GB2312" w:hAnsi="宋体" w:eastAsia="仿宋_GB2312"/>
          <w:kern w:val="0"/>
          <w:sz w:val="22"/>
          <w:szCs w:val="22"/>
        </w:rPr>
        <w:t>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lang w:eastAsia="zh-CN"/>
              </w:rPr>
            </w:pPr>
            <w:r>
              <w:rPr>
                <w:rFonts w:hint="eastAsia" w:ascii="仿宋_GB2312" w:hAnsi="宋体" w:eastAsia="仿宋_GB2312" w:cs="宋体"/>
                <w:color w:val="000000"/>
                <w:sz w:val="20"/>
                <w:szCs w:val="20"/>
                <w:lang w:val="en-US" w:eastAsia="zh-CN"/>
              </w:rPr>
              <w:t>212.57</w:t>
            </w:r>
            <w:r>
              <w:rPr>
                <w:rFonts w:hint="eastAsia" w:ascii="宋体" w:hAnsi="宋体" w:cs="宋体"/>
                <w:b/>
                <w:bCs/>
                <w:color w:val="000000"/>
                <w:kern w:val="0"/>
                <w:sz w:val="22"/>
                <w:szCs w:val="22"/>
                <w:lang w:eastAsia="zh-CN"/>
              </w:rPr>
              <w:t>？</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lang w:eastAsia="zh-CN"/>
              </w:rPr>
            </w:pPr>
            <w:r>
              <w:rPr>
                <w:rFonts w:hint="eastAsia" w:ascii="仿宋_GB2312" w:hAnsi="宋体" w:eastAsia="仿宋_GB2312" w:cs="宋体"/>
                <w:color w:val="000000"/>
                <w:sz w:val="20"/>
                <w:szCs w:val="20"/>
                <w:lang w:val="en-US" w:eastAsia="zh-CN"/>
              </w:rPr>
              <w:t>212.57</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jc w:val="center"/>
              <w:rPr>
                <w:rFonts w:hint="eastAsia" w:ascii="宋体" w:hAnsi="宋体" w:eastAsia="宋体" w:cs="宋体"/>
                <w:kern w:val="0"/>
                <w:sz w:val="18"/>
                <w:szCs w:val="18"/>
                <w:lang w:eastAsia="zh-CN"/>
              </w:rPr>
            </w:pPr>
            <w:r>
              <w:rPr>
                <w:rFonts w:hint="eastAsia" w:ascii="仿宋_GB2312" w:hAnsi="宋体" w:eastAsia="仿宋_GB2312" w:cs="宋体"/>
                <w:color w:val="000000"/>
                <w:sz w:val="20"/>
                <w:szCs w:val="20"/>
                <w:lang w:val="en-US" w:eastAsia="zh-CN"/>
              </w:rPr>
              <w:t>212.57</w:t>
            </w:r>
          </w:p>
        </w:tc>
        <w:tc>
          <w:tcPr>
            <w:tcW w:w="851" w:type="dxa"/>
            <w:tcBorders>
              <w:top w:val="nil"/>
              <w:left w:val="nil"/>
              <w:bottom w:val="single" w:color="auto" w:sz="4" w:space="0"/>
              <w:right w:val="single" w:color="auto" w:sz="4" w:space="0"/>
            </w:tcBorders>
            <w:vAlign w:val="center"/>
          </w:tcPr>
          <w:p>
            <w:pPr>
              <w:jc w:val="center"/>
              <w:rPr>
                <w:rFonts w:ascii="宋体" w:hAnsi="宋体" w:cs="宋体"/>
                <w:kern w:val="0"/>
                <w:sz w:val="18"/>
                <w:szCs w:val="18"/>
              </w:rPr>
            </w:pPr>
            <w:r>
              <w:rPr>
                <w:rFonts w:hint="eastAsia" w:ascii="仿宋_GB2312" w:hAnsi="宋体" w:eastAsia="仿宋_GB2312" w:cs="宋体"/>
                <w:color w:val="000000"/>
                <w:sz w:val="20"/>
                <w:szCs w:val="20"/>
                <w:lang w:val="en-US" w:eastAsia="zh-CN"/>
              </w:rPr>
              <w:t>212.57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sz w:val="20"/>
                <w:szCs w:val="20"/>
                <w:lang w:val="en-US" w:eastAsia="zh-CN"/>
              </w:rPr>
              <w:t>212.57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sz w:val="20"/>
                <w:szCs w:val="20"/>
                <w:lang w:val="en-US" w:eastAsia="zh-CN"/>
              </w:rPr>
              <w:t>212.57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sz w:val="20"/>
                <w:szCs w:val="20"/>
                <w:lang w:val="en-US" w:eastAsia="zh-CN"/>
              </w:rPr>
              <w:t>212.57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五</w:t>
      </w:r>
    </w:p>
    <w:p>
      <w:pPr>
        <w:widowControl/>
        <w:jc w:val="left"/>
        <w:textAlignment w:val="bottom"/>
        <w:rPr>
          <w:rFonts w:hint="eastAsia"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lang w:val="en-US" w:eastAsia="zh-CN"/>
        </w:rPr>
        <w:t xml:space="preserve">               </w:t>
      </w:r>
      <w:r>
        <w:rPr>
          <w:rFonts w:hint="eastAsia" w:ascii="方正小标宋_GBK" w:hAnsi="方正小标宋_GBK" w:eastAsia="方正小标宋_GBK" w:cs="方正小标宋_GBK"/>
          <w:color w:val="000000"/>
          <w:kern w:val="0"/>
          <w:sz w:val="32"/>
          <w:szCs w:val="32"/>
        </w:rPr>
        <w:t>一般公共预算支出情况表</w:t>
      </w:r>
    </w:p>
    <w:p>
      <w:pPr>
        <w:widowControl/>
        <w:jc w:val="left"/>
        <w:textAlignment w:val="bottom"/>
        <w:rPr>
          <w:rFonts w:hint="eastAsia" w:ascii="宋体" w:hAnsi="宋体" w:cs="宋体"/>
          <w:color w:val="000000"/>
          <w:kern w:val="0"/>
          <w:sz w:val="20"/>
          <w:szCs w:val="20"/>
          <w:lang w:eastAsia="zh-CN"/>
        </w:rPr>
      </w:pPr>
      <w:r>
        <w:rPr>
          <w:rFonts w:hint="eastAsia" w:ascii="仿宋" w:hAnsi="仿宋" w:eastAsia="仿宋" w:cs="仿宋"/>
          <w:color w:val="000000"/>
          <w:kern w:val="0"/>
          <w:sz w:val="24"/>
          <w:szCs w:val="24"/>
          <w:lang w:eastAsia="zh-CN"/>
        </w:rPr>
        <w:t>编制单位：昌吉州文化馆</w:t>
      </w:r>
      <w:r>
        <w:rPr>
          <w:rFonts w:hint="eastAsia" w:ascii="仿宋" w:hAnsi="仿宋" w:eastAsia="仿宋" w:cs="仿宋"/>
          <w:color w:val="000000"/>
          <w:kern w:val="0"/>
          <w:sz w:val="24"/>
          <w:szCs w:val="24"/>
          <w:lang w:val="en-US" w:eastAsia="zh-CN"/>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502"/>
        <w:gridCol w:w="417"/>
        <w:gridCol w:w="2510"/>
        <w:gridCol w:w="1684"/>
        <w:gridCol w:w="1842"/>
        <w:gridCol w:w="1701"/>
      </w:tblGrid>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5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50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文化旅游体育与传媒支出</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50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文化和旅游</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50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rPr>
              <w:t>群众文化</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2"/>
                <w:sz w:val="20"/>
                <w:szCs w:val="20"/>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2"/>
                <w:sz w:val="20"/>
                <w:szCs w:val="20"/>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20"/>
                <w:szCs w:val="20"/>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2"/>
                <w:sz w:val="20"/>
                <w:szCs w:val="20"/>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2"/>
                <w:sz w:val="20"/>
                <w:szCs w:val="20"/>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18"/>
                <w:szCs w:val="18"/>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18"/>
                <w:szCs w:val="18"/>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502"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2"/>
                <w:sz w:val="18"/>
                <w:szCs w:val="18"/>
                <w:lang w:val="en-US" w:eastAsia="zh-CN" w:bidi="ar-SA"/>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84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val="en-US" w:eastAsia="zh-CN"/>
              </w:rPr>
              <w:t>212.57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六</w:t>
      </w:r>
    </w:p>
    <w:p>
      <w:pPr>
        <w:widowControl/>
        <w:jc w:val="left"/>
        <w:textAlignment w:val="bottom"/>
        <w:rPr>
          <w:rFonts w:hint="eastAsia"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lang w:val="en-US" w:eastAsia="zh-CN"/>
        </w:rPr>
        <w:t xml:space="preserve">              </w:t>
      </w:r>
      <w:r>
        <w:rPr>
          <w:rFonts w:hint="eastAsia" w:ascii="方正小标宋_GBK" w:hAnsi="方正小标宋_GBK" w:eastAsia="方正小标宋_GBK" w:cs="方正小标宋_GBK"/>
          <w:color w:val="000000"/>
          <w:kern w:val="0"/>
          <w:sz w:val="32"/>
          <w:szCs w:val="32"/>
        </w:rPr>
        <w:t>一般公共预算基本支出情况表</w:t>
      </w:r>
    </w:p>
    <w:p>
      <w:pPr>
        <w:widowControl/>
        <w:jc w:val="left"/>
        <w:textAlignment w:val="bottom"/>
        <w:rPr>
          <w:rFonts w:hint="eastAsia" w:ascii="方正小标宋_GBK" w:hAnsi="方正小标宋_GBK" w:eastAsia="方正小标宋_GBK" w:cs="方正小标宋_GBK"/>
          <w:color w:val="000000"/>
          <w:kern w:val="0"/>
          <w:sz w:val="32"/>
          <w:szCs w:val="32"/>
          <w:lang w:eastAsia="zh-CN"/>
        </w:rPr>
      </w:pPr>
      <w:r>
        <w:rPr>
          <w:rFonts w:hint="eastAsia" w:ascii="仿宋" w:hAnsi="仿宋" w:eastAsia="仿宋" w:cs="仿宋"/>
          <w:color w:val="000000"/>
          <w:kern w:val="0"/>
          <w:sz w:val="24"/>
          <w:szCs w:val="24"/>
          <w:lang w:eastAsia="zh-CN"/>
        </w:rPr>
        <w:t>编制单位：昌吉州文化馆</w:t>
      </w:r>
      <w:r>
        <w:rPr>
          <w:rFonts w:hint="eastAsia" w:ascii="仿宋" w:hAnsi="仿宋" w:eastAsia="仿宋" w:cs="仿宋"/>
          <w:color w:val="000000"/>
          <w:kern w:val="0"/>
          <w:sz w:val="24"/>
          <w:szCs w:val="24"/>
          <w:lang w:val="en-US" w:eastAsia="zh-CN"/>
        </w:rPr>
        <w:t xml:space="preserve">                                       单位：万元</w:t>
      </w:r>
    </w:p>
    <w:tbl>
      <w:tblPr>
        <w:tblW w:w="8860"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7"/>
        <w:gridCol w:w="547"/>
        <w:gridCol w:w="2748"/>
        <w:gridCol w:w="1614"/>
        <w:gridCol w:w="1614"/>
        <w:gridCol w:w="1620"/>
      </w:tblGrid>
      <w:tr>
        <w:trPr>
          <w:trHeight w:val="389" w:hRule="atLeast"/>
        </w:trPr>
        <w:tc>
          <w:tcPr>
            <w:tcW w:w="401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848"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756" w:hRule="atLeast"/>
        </w:trPr>
        <w:tc>
          <w:tcPr>
            <w:tcW w:w="126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4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1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61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2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371" w:hRule="atLeast"/>
        </w:trPr>
        <w:tc>
          <w:tcPr>
            <w:tcW w:w="71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4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4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1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1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20"/>
                <w:szCs w:val="20"/>
              </w:rPr>
            </w:pP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工资福利支出</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167.88</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167.88</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01</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基本工资</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54.66</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54.66</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02</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津贴补贴</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12.81</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12.81</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03</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奖金</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4.47</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4.47</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07</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绩效工资</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45.42</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45.42</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13</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住房公积金</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16.74</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16.74</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08</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机关事业单位基本养老保险缴费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18.57</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18.57</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10</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职工基本医疗保险缴费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11.03</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11.03</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11</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公务员医疗补助缴费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3.48</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3.48</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12</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其他社会保障缴费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0.70</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0.70</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rPr>
            </w:pP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bidi="ar-SA"/>
              </w:rPr>
              <w:t>商品和服务支出</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19.26</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19.26</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01</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办公费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3.04</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3.04</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02</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印刷费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07</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邮电费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0.6</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0.6</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11</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差旅费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0.2</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0.2</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13</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维修（护）费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0.4</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0.4</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16</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培训费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0.2</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0.2</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27</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委托业务费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3</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3</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工会经费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2.19</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2.19</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29</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福利费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1.97</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1.97</w:t>
            </w:r>
          </w:p>
        </w:tc>
      </w:tr>
      <w:tr>
        <w:trPr>
          <w:trHeight w:val="318"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31</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公务用车运行维护费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1.97</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1.97</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99</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eastAsia="zh-CN"/>
              </w:rPr>
              <w:t>其他</w:t>
            </w:r>
            <w:r>
              <w:rPr>
                <w:rFonts w:hint="eastAsia" w:ascii="仿宋_GB2312" w:hAnsi="宋体" w:eastAsia="仿宋_GB2312" w:cs="宋体"/>
                <w:color w:val="000000"/>
                <w:kern w:val="0"/>
                <w:sz w:val="18"/>
                <w:szCs w:val="18"/>
              </w:rPr>
              <w:t>商品和服务支出</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4.69</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4.69</w:t>
            </w: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lang w:eastAsia="zh-CN"/>
              </w:rPr>
              <w:t>对个人和家庭的补助</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25.43</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25.43</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01</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离休费</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2.2</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2.2</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07</w:t>
            </w: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医疗费补助</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lang w:val="en-US" w:eastAsia="zh-CN"/>
              </w:rPr>
              <w:t>21.27</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宋体" w:hAnsi="宋体" w:cs="宋体"/>
                <w:color w:val="000000"/>
                <w:kern w:val="0"/>
                <w:sz w:val="21"/>
                <w:szCs w:val="21"/>
                <w:lang w:val="en-US" w:eastAsia="zh-CN"/>
              </w:rPr>
            </w:pPr>
            <w:r>
              <w:rPr>
                <w:rFonts w:hint="eastAsia" w:ascii="宋体" w:hAnsi="宋体" w:cs="宋体"/>
                <w:color w:val="000000"/>
                <w:kern w:val="0"/>
                <w:sz w:val="21"/>
                <w:szCs w:val="21"/>
                <w:lang w:val="en-US" w:eastAsia="zh-CN"/>
              </w:rPr>
              <w:t>21.27</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ascii="宋体" w:hAnsi="宋体" w:cs="宋体"/>
                <w:color w:val="000000"/>
                <w:kern w:val="0"/>
                <w:sz w:val="21"/>
                <w:szCs w:val="21"/>
              </w:rPr>
            </w:pPr>
          </w:p>
        </w:tc>
      </w:tr>
      <w:tr>
        <w:trPr>
          <w:trHeight w:val="346" w:hRule="atLeast"/>
        </w:trPr>
        <w:tc>
          <w:tcPr>
            <w:tcW w:w="717" w:type="dxa"/>
            <w:tcBorders>
              <w:top w:val="nil"/>
              <w:left w:val="single" w:color="auto" w:sz="4" w:space="0"/>
              <w:bottom w:val="nil"/>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47" w:type="dxa"/>
            <w:tcBorders>
              <w:top w:val="nil"/>
              <w:left w:val="nil"/>
              <w:bottom w:val="nil"/>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09</w:t>
            </w:r>
          </w:p>
        </w:tc>
        <w:tc>
          <w:tcPr>
            <w:tcW w:w="2748" w:type="dxa"/>
            <w:tcBorders>
              <w:top w:val="nil"/>
              <w:left w:val="nil"/>
              <w:bottom w:val="nil"/>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奖励金</w:t>
            </w:r>
          </w:p>
        </w:tc>
        <w:tc>
          <w:tcPr>
            <w:tcW w:w="1614" w:type="dxa"/>
            <w:tcBorders>
              <w:top w:val="nil"/>
              <w:left w:val="nil"/>
              <w:bottom w:val="nil"/>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1.96</w:t>
            </w:r>
          </w:p>
        </w:tc>
        <w:tc>
          <w:tcPr>
            <w:tcW w:w="1614" w:type="dxa"/>
            <w:tcBorders>
              <w:top w:val="nil"/>
              <w:left w:val="nil"/>
              <w:bottom w:val="nil"/>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1.96</w:t>
            </w:r>
          </w:p>
        </w:tc>
        <w:tc>
          <w:tcPr>
            <w:tcW w:w="1620" w:type="dxa"/>
            <w:tcBorders>
              <w:top w:val="nil"/>
              <w:left w:val="nil"/>
              <w:bottom w:val="nil"/>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21"/>
                <w:szCs w:val="21"/>
                <w:lang w:val="en-US" w:eastAsia="zh-CN"/>
              </w:rPr>
            </w:pPr>
          </w:p>
        </w:tc>
      </w:tr>
      <w:tr>
        <w:trPr>
          <w:trHeight w:val="346" w:hRule="atLeast"/>
        </w:trPr>
        <w:tc>
          <w:tcPr>
            <w:tcW w:w="717" w:type="dxa"/>
            <w:tcBorders>
              <w:top w:val="nil"/>
              <w:left w:val="single" w:color="auto" w:sz="4" w:space="0"/>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p>
        </w:tc>
        <w:tc>
          <w:tcPr>
            <w:tcW w:w="547"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p>
        </w:tc>
        <w:tc>
          <w:tcPr>
            <w:tcW w:w="2748"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合计</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212.57</w:t>
            </w:r>
          </w:p>
        </w:tc>
        <w:tc>
          <w:tcPr>
            <w:tcW w:w="1614"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default"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193.31</w:t>
            </w:r>
          </w:p>
        </w:tc>
        <w:tc>
          <w:tcPr>
            <w:tcW w:w="1620" w:type="dxa"/>
            <w:tcBorders>
              <w:top w:val="nil"/>
              <w:left w:val="nil"/>
              <w:bottom w:val="single" w:color="auto" w:sz="4" w:space="0"/>
              <w:right w:val="single" w:color="auto" w:sz="4" w:space="0"/>
            </w:tcBorders>
            <w:vAlign w:val="center"/>
          </w:tcPr>
          <w:p>
            <w:pPr>
              <w:widowControl/>
              <w:wordWrap/>
              <w:adjustRightInd/>
              <w:snapToGrid/>
              <w:spacing w:line="192" w:lineRule="auto"/>
              <w:jc w:val="center"/>
              <w:textAlignment w:val="auto"/>
              <w:rPr>
                <w:rFonts w:hint="eastAsia"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19.26</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4"/>
          <w:szCs w:val="24"/>
          <w:lang w:eastAsia="zh-CN"/>
        </w:rPr>
      </w:pPr>
      <w:r>
        <w:rPr>
          <w:rFonts w:hint="eastAsia" w:ascii="宋体" w:hAnsi="宋体" w:cs="宋体"/>
          <w:color w:val="000000"/>
          <w:kern w:val="0"/>
          <w:sz w:val="24"/>
          <w:szCs w:val="24"/>
        </w:rPr>
        <w:t>表</w:t>
      </w:r>
      <w:r>
        <w:rPr>
          <w:rFonts w:hint="eastAsia" w:ascii="宋体" w:hAnsi="宋体" w:cs="宋体"/>
          <w:color w:val="000000"/>
          <w:kern w:val="0"/>
          <w:sz w:val="24"/>
          <w:szCs w:val="24"/>
          <w:lang w:eastAsia="zh-CN"/>
        </w:rPr>
        <w:t>七</w:t>
      </w:r>
    </w:p>
    <w:p>
      <w:pPr>
        <w:widowControl/>
        <w:ind w:firstLine="640" w:firstLineChars="200"/>
        <w:jc w:val="left"/>
        <w:textAlignment w:val="bottom"/>
        <w:rPr>
          <w:rFonts w:hint="eastAsia"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lang w:val="en-US" w:eastAsia="zh-CN"/>
        </w:rPr>
        <w:t xml:space="preserve">           </w:t>
      </w:r>
      <w:r>
        <w:rPr>
          <w:rFonts w:hint="eastAsia" w:ascii="方正小标宋_GBK" w:hAnsi="方正小标宋_GBK" w:eastAsia="方正小标宋_GBK" w:cs="方正小标宋_GBK"/>
          <w:color w:val="000000"/>
          <w:kern w:val="0"/>
          <w:sz w:val="32"/>
          <w:szCs w:val="32"/>
        </w:rPr>
        <w:t>一般公共预算</w:t>
      </w:r>
      <w:r>
        <w:rPr>
          <w:rFonts w:hint="eastAsia" w:ascii="方正小标宋_GBK" w:hAnsi="方正小标宋_GBK" w:eastAsia="方正小标宋_GBK" w:cs="方正小标宋_GBK"/>
          <w:color w:val="000000"/>
          <w:kern w:val="0"/>
          <w:sz w:val="32"/>
          <w:szCs w:val="32"/>
          <w:lang w:eastAsia="zh-CN"/>
        </w:rPr>
        <w:t>项目</w:t>
      </w:r>
      <w:r>
        <w:rPr>
          <w:rFonts w:hint="eastAsia" w:ascii="方正小标宋_GBK" w:hAnsi="方正小标宋_GBK" w:eastAsia="方正小标宋_GBK" w:cs="方正小标宋_GBK"/>
          <w:color w:val="000000"/>
          <w:kern w:val="0"/>
          <w:sz w:val="32"/>
          <w:szCs w:val="32"/>
        </w:rPr>
        <w:t>支出情况表</w:t>
      </w:r>
    </w:p>
    <w:p>
      <w:pPr>
        <w:widowControl/>
        <w:jc w:val="left"/>
        <w:textAlignment w:val="bottom"/>
        <w:rPr>
          <w:rFonts w:hint="eastAsia" w:ascii="宋体" w:hAnsi="宋体" w:cs="宋体"/>
          <w:color w:val="000000"/>
          <w:kern w:val="0"/>
          <w:sz w:val="20"/>
          <w:szCs w:val="20"/>
          <w:lang w:eastAsia="zh-CN"/>
        </w:rPr>
      </w:pPr>
      <w:r>
        <w:rPr>
          <w:rFonts w:hint="eastAsia" w:ascii="仿宋" w:hAnsi="仿宋" w:eastAsia="仿宋" w:cs="仿宋"/>
          <w:color w:val="000000"/>
          <w:kern w:val="0"/>
          <w:sz w:val="24"/>
          <w:szCs w:val="24"/>
          <w:lang w:eastAsia="zh-CN"/>
        </w:rPr>
        <w:t>编制单位：昌吉州文化馆</w:t>
      </w:r>
      <w:r>
        <w:rPr>
          <w:rFonts w:hint="eastAsia" w:ascii="仿宋" w:hAnsi="仿宋" w:eastAsia="仿宋" w:cs="仿宋"/>
          <w:color w:val="000000"/>
          <w:kern w:val="0"/>
          <w:sz w:val="24"/>
          <w:szCs w:val="24"/>
          <w:lang w:val="en-US" w:eastAsia="zh-CN"/>
        </w:rPr>
        <w:t xml:space="preserve">                                          单位：万元</w:t>
      </w:r>
    </w:p>
    <w:tbl>
      <w:tblPr>
        <w:tblW w:w="9540"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397"/>
        <w:gridCol w:w="397"/>
        <w:gridCol w:w="851"/>
        <w:gridCol w:w="1456"/>
        <w:gridCol w:w="750"/>
        <w:gridCol w:w="569"/>
        <w:gridCol w:w="536"/>
        <w:gridCol w:w="652"/>
        <w:gridCol w:w="652"/>
        <w:gridCol w:w="578"/>
        <w:gridCol w:w="419"/>
        <w:gridCol w:w="578"/>
        <w:gridCol w:w="420"/>
        <w:gridCol w:w="420"/>
        <w:gridCol w:w="468"/>
      </w:tblGrid>
      <w:tr>
        <w:trPr>
          <w:trHeight w:val="630" w:hRule="atLeast"/>
        </w:trPr>
        <w:tc>
          <w:tcPr>
            <w:tcW w:w="1191" w:type="dxa"/>
            <w:gridSpan w:val="3"/>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rPr>
          <w:trHeight w:val="1367" w:hRule="atLeast"/>
        </w:trPr>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r>
        <w:trPr>
          <w:trHeight w:val="585" w:hRule="atLeast"/>
        </w:trPr>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vAlign w:val="top"/>
          </w:tcPr>
          <w:p>
            <w:pPr>
              <w:widowControl/>
              <w:jc w:val="right"/>
              <w:outlineLvl w:val="1"/>
              <w:rPr>
                <w:rFonts w:ascii="仿宋_GB2312" w:hAnsi="宋体" w:eastAsia="仿宋_GB2312"/>
                <w:kern w:val="0"/>
                <w:sz w:val="32"/>
                <w:szCs w:val="32"/>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备注：我单位无一般公共预算项目支出，此表为空表。</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八</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 昌吉州文化馆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1.97</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1.97</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1.97</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九</w:t>
      </w:r>
    </w:p>
    <w:p>
      <w:pPr>
        <w:widowControl/>
        <w:spacing w:line="360" w:lineRule="exact"/>
        <w:jc w:val="center"/>
        <w:outlineLvl w:val="1"/>
        <w:rPr>
          <w:rFonts w:hint="eastAsia"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360" w:lineRule="exact"/>
        <w:jc w:val="center"/>
        <w:outlineLvl w:val="1"/>
        <w:rPr>
          <w:rFonts w:hint="eastAsia" w:ascii="方正小标宋_GBK" w:hAnsi="方正小标宋_GBK" w:eastAsia="方正小标宋_GBK" w:cs="方正小标宋_GBK"/>
          <w:bCs/>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：昌吉州文化馆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6" w:type="default"/>
          <w:pgSz w:w="11906" w:h="16838"/>
          <w:pgMar w:top="2098" w:right="1531" w:bottom="1984" w:left="1531" w:header="851" w:footer="992" w:gutter="0"/>
          <w:pgNumType w:fmt="numberInDash" w:start="56"/>
          <w:cols w:space="720" w:num="1"/>
          <w:docGrid w:linePitch="312"/>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单位</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一、关于昌吉州文化馆 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按照全口径预算的原则，昌吉州文化馆 2022年所有收入和支出均纳入</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昌吉州文化馆收入预算</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2.41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在职人员</w:t>
      </w:r>
      <w:r>
        <w:rPr>
          <w:rFonts w:hint="eastAsia" w:ascii="仿宋_GB2312" w:hAnsi="宋体" w:eastAsia="仿宋_GB2312" w:cs="宋体"/>
          <w:kern w:val="0"/>
          <w:sz w:val="32"/>
          <w:szCs w:val="32"/>
          <w:lang w:eastAsia="zh-CN"/>
        </w:rPr>
        <w:t>工资上调，社保、公积金缴费基数上调，人员经费</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昌吉州文化馆2022年支出预算</w:t>
      </w:r>
      <w:r>
        <w:rPr>
          <w:rFonts w:hint="eastAsia" w:ascii="仿宋_GB2312" w:hAnsi="宋体" w:eastAsia="仿宋_GB2312" w:cs="宋体"/>
          <w:kern w:val="0"/>
          <w:sz w:val="32"/>
          <w:szCs w:val="32"/>
          <w:lang w:val="en-US" w:eastAsia="zh-CN"/>
        </w:rPr>
        <w:t>212.57万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2.41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在职人员</w:t>
      </w:r>
      <w:r>
        <w:rPr>
          <w:rFonts w:hint="eastAsia" w:ascii="仿宋_GB2312" w:hAnsi="宋体" w:eastAsia="仿宋_GB2312" w:cs="宋体"/>
          <w:kern w:val="0"/>
          <w:sz w:val="32"/>
          <w:szCs w:val="32"/>
          <w:lang w:eastAsia="zh-CN"/>
        </w:rPr>
        <w:t>工资上调，社保、公积金缴费基数上调，人员经费</w:t>
      </w:r>
      <w:r>
        <w:rPr>
          <w:rFonts w:hint="eastAsia" w:ascii="仿宋_GB2312" w:hAnsi="宋体" w:eastAsia="仿宋_GB2312" w:cs="宋体"/>
          <w:kern w:val="0"/>
          <w:sz w:val="32"/>
          <w:szCs w:val="32"/>
        </w:rPr>
        <w:t>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%，主要原因是未安排项目支出预算。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昌吉州文化馆2022年财政拨款收支总预算</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一般公共预算支出包括：文化旅游体育与传媒支出</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万元，主要用于单位人员</w:t>
      </w:r>
      <w:r>
        <w:rPr>
          <w:rFonts w:hint="eastAsia" w:ascii="仿宋_GB2312" w:hAnsi="宋体" w:eastAsia="仿宋_GB2312" w:cs="宋体"/>
          <w:kern w:val="0"/>
          <w:sz w:val="32"/>
          <w:szCs w:val="32"/>
          <w:lang w:eastAsia="zh-CN"/>
        </w:rPr>
        <w:t>经费和</w:t>
      </w:r>
      <w:r>
        <w:rPr>
          <w:rFonts w:hint="eastAsia" w:ascii="仿宋_GB2312" w:hAnsi="宋体" w:eastAsia="仿宋_GB2312" w:cs="宋体"/>
          <w:kern w:val="0"/>
          <w:sz w:val="32"/>
          <w:szCs w:val="32"/>
        </w:rPr>
        <w:t>公用经费支出。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昌吉州文化馆2022年一般公共预算拨款合计</w:t>
      </w:r>
      <w:r>
        <w:rPr>
          <w:rFonts w:hint="eastAsia" w:ascii="仿宋_GB2312" w:hAnsi="仿宋_GB2312" w:eastAsia="仿宋_GB2312" w:cs="仿宋_GB2312"/>
          <w:kern w:val="0"/>
          <w:sz w:val="32"/>
          <w:szCs w:val="32"/>
          <w:lang w:val="en-US" w:eastAsia="zh-CN"/>
        </w:rPr>
        <w:t>212.57</w:t>
      </w:r>
      <w:r>
        <w:rPr>
          <w:rFonts w:hint="eastAsia" w:ascii="仿宋_GB2312" w:hAnsi="仿宋_GB2312" w:eastAsia="仿宋_GB2312" w:cs="仿宋_GB2312"/>
          <w:kern w:val="0"/>
          <w:sz w:val="32"/>
          <w:szCs w:val="32"/>
        </w:rPr>
        <w:t>万元，其中：基本支出</w:t>
      </w:r>
      <w:r>
        <w:rPr>
          <w:rFonts w:hint="eastAsia" w:ascii="仿宋_GB2312" w:hAnsi="仿宋_GB2312" w:eastAsia="仿宋_GB2312" w:cs="仿宋_GB2312"/>
          <w:kern w:val="0"/>
          <w:sz w:val="32"/>
          <w:szCs w:val="32"/>
          <w:lang w:val="en-US" w:eastAsia="zh-CN"/>
        </w:rPr>
        <w:t>212.57</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宋体" w:eastAsia="仿宋_GB2312" w:cs="宋体"/>
          <w:kern w:val="0"/>
          <w:sz w:val="32"/>
          <w:szCs w:val="32"/>
          <w:lang w:val="en-US" w:eastAsia="zh-CN"/>
        </w:rPr>
        <w:t>2.41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在职人员</w:t>
      </w:r>
      <w:r>
        <w:rPr>
          <w:rFonts w:hint="eastAsia" w:ascii="仿宋_GB2312" w:hAnsi="宋体" w:eastAsia="仿宋_GB2312" w:cs="宋体"/>
          <w:kern w:val="0"/>
          <w:sz w:val="32"/>
          <w:szCs w:val="32"/>
          <w:lang w:eastAsia="zh-CN"/>
        </w:rPr>
        <w:t>工资上调，社保、公积金缴费基数上调，人员经费</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未安排项目支出预算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文化旅游体育与传媒支出</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1.文化旅游体育与传媒支出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文化和旅游</w:t>
      </w:r>
      <w:r>
        <w:rPr>
          <w:rFonts w:ascii="仿宋_GB2312" w:hAnsi="宋体" w:eastAsia="仿宋_GB2312" w:cs="宋体"/>
          <w:kern w:val="0"/>
          <w:sz w:val="32"/>
          <w:szCs w:val="32"/>
        </w:rPr>
        <w:t>（款）</w:t>
      </w:r>
      <w:r>
        <w:rPr>
          <w:rFonts w:hint="eastAsia" w:ascii="仿宋_GB2312" w:hAnsi="宋体" w:eastAsia="仿宋_GB2312" w:cs="宋体"/>
          <w:kern w:val="0"/>
          <w:sz w:val="32"/>
          <w:szCs w:val="32"/>
        </w:rPr>
        <w:t>群众文化</w:t>
      </w:r>
      <w:r>
        <w:rPr>
          <w:rFonts w:ascii="仿宋_GB2312" w:hAnsi="宋体" w:eastAsia="仿宋_GB2312" w:cs="宋体"/>
          <w:kern w:val="0"/>
          <w:sz w:val="32"/>
          <w:szCs w:val="32"/>
        </w:rPr>
        <w:t>（项）为</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kern w:val="0"/>
          <w:sz w:val="32"/>
          <w:szCs w:val="32"/>
        </w:rPr>
        <w:t>万元，比上年预算数增</w:t>
      </w:r>
      <w:r>
        <w:rPr>
          <w:rFonts w:hint="eastAsia" w:ascii="仿宋_GB2312" w:hAnsi="宋体" w:eastAsia="仿宋_GB2312" w:cs="宋体"/>
          <w:kern w:val="0"/>
          <w:sz w:val="32"/>
          <w:szCs w:val="32"/>
          <w:lang w:eastAsia="zh-CN"/>
        </w:rPr>
        <w:t>加</w:t>
      </w:r>
      <w:r>
        <w:rPr>
          <w:rFonts w:hint="eastAsia" w:ascii="仿宋_GB2312" w:hAnsi="宋体" w:eastAsia="仿宋_GB2312" w:cs="宋体"/>
          <w:kern w:val="0"/>
          <w:sz w:val="32"/>
          <w:szCs w:val="32"/>
          <w:lang w:val="en-US" w:eastAsia="zh-CN"/>
        </w:rPr>
        <w:t>54.83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34.75</w:t>
      </w:r>
      <w:r>
        <w:rPr>
          <w:rFonts w:hint="eastAsia" w:ascii="仿宋_GB2312" w:hAnsi="宋体" w:eastAsia="仿宋_GB2312" w:cs="宋体"/>
          <w:kern w:val="0"/>
          <w:sz w:val="32"/>
          <w:szCs w:val="32"/>
        </w:rPr>
        <w:t>%，主要原因是：在职人员</w:t>
      </w:r>
      <w:r>
        <w:rPr>
          <w:rFonts w:hint="eastAsia" w:ascii="仿宋_GB2312" w:hAnsi="宋体" w:eastAsia="仿宋_GB2312" w:cs="宋体"/>
          <w:kern w:val="0"/>
          <w:sz w:val="32"/>
          <w:szCs w:val="32"/>
          <w:lang w:eastAsia="zh-CN"/>
        </w:rPr>
        <w:t>工资上调，社保、公积金缴费基数上调，人员经费</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支出功能分类科目</w:t>
      </w:r>
      <w:r>
        <w:rPr>
          <w:rFonts w:hint="eastAsia" w:ascii="仿宋_GB2312" w:hAnsi="宋体" w:eastAsia="仿宋_GB2312" w:cs="宋体"/>
          <w:kern w:val="0"/>
          <w:sz w:val="32"/>
          <w:szCs w:val="32"/>
          <w:lang w:eastAsia="zh-CN"/>
        </w:rPr>
        <w:t>调整，本年度</w:t>
      </w:r>
      <w:r>
        <w:rPr>
          <w:rFonts w:hint="eastAsia" w:ascii="仿宋_GB2312" w:hAnsi="宋体" w:eastAsia="仿宋_GB2312" w:cs="宋体"/>
          <w:kern w:val="0"/>
          <w:sz w:val="32"/>
          <w:szCs w:val="32"/>
        </w:rPr>
        <w:t>社会保障和就业</w:t>
      </w:r>
      <w:r>
        <w:rPr>
          <w:rFonts w:hint="eastAsia" w:ascii="仿宋_GB2312" w:hAnsi="宋体" w:eastAsia="仿宋_GB2312" w:cs="宋体"/>
          <w:kern w:val="0"/>
          <w:sz w:val="32"/>
          <w:szCs w:val="32"/>
          <w:lang w:eastAsia="zh-CN"/>
        </w:rPr>
        <w:t>及</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预算列入在此功能分类科目</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昌吉州文化馆2022年一般公共预算基本支出</w:t>
      </w:r>
      <w:r>
        <w:rPr>
          <w:rFonts w:hint="eastAsia" w:ascii="仿宋_GB2312" w:hAnsi="宋体" w:eastAsia="仿宋_GB2312" w:cs="宋体"/>
          <w:kern w:val="0"/>
          <w:sz w:val="32"/>
          <w:szCs w:val="32"/>
          <w:lang w:val="en-US" w:eastAsia="zh-CN"/>
        </w:rPr>
        <w:t>212.57</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193.31</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万元，主要包括：基本工资、津贴补贴、奖金、绩效工资、机关事业单位基本养老保险缴费、职工基本医疗保险缴费、公务员医疗补助缴费、其他社会保障缴费、住房公积金、离休费、退休费、医疗费补助</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奖励金。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19.26</w:t>
      </w:r>
      <w:r>
        <w:rPr>
          <w:rFonts w:hint="eastAsia" w:ascii="仿宋_GB2312" w:hAnsi="宋体" w:eastAsia="仿宋_GB2312" w:cs="宋体"/>
          <w:kern w:val="0"/>
          <w:sz w:val="32"/>
          <w:szCs w:val="32"/>
        </w:rPr>
        <w:t>万元，主要包括：办公费、印刷费、差旅费、维修（护）费、培训费、委托业务费、工会经费、福利费、公务用车运行维护费、其他商品和服务支出。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宋体" w:eastAsia="仿宋_GB2312" w:cs="宋体"/>
          <w:kern w:val="0"/>
          <w:sz w:val="32"/>
          <w:szCs w:val="32"/>
        </w:rPr>
        <w:t>昌吉州文化馆</w:t>
      </w: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年</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昌吉州文化馆2022年一般公共预算“三公”经费数为</w:t>
      </w:r>
      <w:r>
        <w:rPr>
          <w:rFonts w:hint="eastAsia" w:ascii="仿宋_GB2312" w:hAnsi="宋体" w:eastAsia="仿宋_GB2312" w:cs="宋体"/>
          <w:kern w:val="0"/>
          <w:sz w:val="32"/>
          <w:szCs w:val="32"/>
          <w:lang w:val="en-US" w:eastAsia="zh-CN"/>
        </w:rPr>
        <w:t>1.97</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1.97</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%，主要原因是未安排因公出国（境）预算；公务用车购置费</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%，主要原因是未安排因公务用车购置预算；公务用车运行费</w:t>
      </w:r>
      <w:r>
        <w:rPr>
          <w:rFonts w:hint="eastAsia" w:ascii="仿宋_GB2312" w:hAnsi="宋体" w:eastAsia="仿宋_GB2312" w:cs="宋体"/>
          <w:kern w:val="0"/>
          <w:sz w:val="32"/>
          <w:szCs w:val="32"/>
          <w:lang w:val="en-US" w:eastAsia="zh-CN"/>
        </w:rPr>
        <w:t>1.97万元，</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单位严格执行八项规定从严控制经费开支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预算与上年保持一致</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%，主要原因是未安排因公务接待</w:t>
      </w:r>
      <w:r>
        <w:rPr>
          <w:rFonts w:hint="eastAsia" w:ascii="仿宋_GB2312" w:hAnsi="宋体" w:eastAsia="仿宋_GB2312" w:cs="宋体"/>
          <w:kern w:val="0"/>
          <w:sz w:val="32"/>
          <w:szCs w:val="32"/>
          <w:lang w:eastAsia="zh-CN"/>
        </w:rPr>
        <w:t>费</w:t>
      </w:r>
      <w:r>
        <w:rPr>
          <w:rFonts w:hint="eastAsia" w:ascii="仿宋_GB2312" w:hAnsi="宋体" w:eastAsia="仿宋_GB2312" w:cs="宋体"/>
          <w:kern w:val="0"/>
          <w:sz w:val="32"/>
          <w:szCs w:val="32"/>
        </w:rPr>
        <w:t>预算。</w:t>
      </w:r>
    </w:p>
    <w:p>
      <w:pPr>
        <w:spacing w:line="560" w:lineRule="exact"/>
        <w:ind w:firstLine="643" w:firstLineChars="200"/>
        <w:rPr>
          <w:rFonts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rPr>
        <w:t>昌吉州文化馆</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昌吉州文化馆2</w:t>
      </w:r>
      <w:r>
        <w:rPr>
          <w:rFonts w:hint="eastAsia" w:ascii="仿宋_GB2312" w:hAnsi="仿宋_GB2312" w:eastAsia="仿宋_GB2312" w:cs="仿宋_GB2312"/>
          <w:kern w:val="0"/>
          <w:sz w:val="32"/>
          <w:szCs w:val="32"/>
        </w:rPr>
        <w:t>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600" w:lineRule="exact"/>
        <w:ind w:firstLine="640" w:firstLineChars="200"/>
        <w:rPr>
          <w:rFonts w:hint="eastAsia" w:ascii="仿宋_GB2312" w:hAnsi="宋体" w:eastAsia="仿宋_GB2312" w:cs="宋体"/>
          <w:kern w:val="0"/>
          <w:sz w:val="32"/>
          <w:szCs w:val="32"/>
          <w:lang w:eastAsia="zh-CN"/>
        </w:rPr>
      </w:pPr>
      <w:r>
        <w:rPr>
          <w:rFonts w:hint="eastAsia" w:ascii="仿宋_GB2312" w:hAnsi="仿宋_GB2312" w:eastAsia="仿宋_GB2312" w:cs="仿宋_GB2312"/>
          <w:kern w:val="0"/>
          <w:sz w:val="32"/>
          <w:szCs w:val="32"/>
        </w:rPr>
        <w:t>2022年，昌吉州文化馆机关运行经费财政拨款预算</w:t>
      </w:r>
      <w:r>
        <w:rPr>
          <w:rFonts w:hint="eastAsia" w:ascii="仿宋_GB2312" w:hAnsi="仿宋_GB2312" w:eastAsia="仿宋_GB2312" w:cs="仿宋_GB2312"/>
          <w:kern w:val="0"/>
          <w:sz w:val="32"/>
          <w:szCs w:val="32"/>
          <w:lang w:val="en-US" w:eastAsia="zh-CN"/>
        </w:rPr>
        <w:t>19.26</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0.61</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3.06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做好预算编制工作，厉行节约，严控机关运行经费。</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2022年，昌吉州文化馆政府采购预算</w:t>
      </w:r>
      <w:r>
        <w:rPr>
          <w:rFonts w:hint="eastAsia" w:ascii="仿宋_GB2312" w:hAnsi="仿宋_GB2312" w:eastAsia="仿宋_GB2312" w:cs="仿宋_GB2312"/>
          <w:kern w:val="0"/>
          <w:sz w:val="32"/>
          <w:szCs w:val="32"/>
          <w:lang w:val="en-US" w:eastAsia="zh-CN"/>
        </w:rPr>
        <w:t>9.9</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6.9</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2022年度本部门面向中小企业预留政府采购项目预算金额</w:t>
      </w:r>
      <w:r>
        <w:rPr>
          <w:rFonts w:hint="eastAsia" w:ascii="仿宋_GB2312" w:hAnsi="仿宋_GB2312" w:eastAsia="仿宋_GB2312" w:cs="仿宋_GB2312"/>
          <w:sz w:val="32"/>
          <w:lang w:val="en-US" w:eastAsia="zh-CN"/>
        </w:rPr>
        <w:t>9.9</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9.1</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截至2021年底，昌吉州文化馆占用使用国有资产总体情况为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31.57</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31.57</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24.53</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104.25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4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具体情况见下表（</w:t>
      </w:r>
      <w:r>
        <w:rPr>
          <w:rFonts w:hint="eastAsia" w:ascii="仿宋_GB2312" w:hAnsi="宋体" w:eastAsia="仿宋_GB2312" w:cs="宋体"/>
          <w:color w:val="000000"/>
          <w:kern w:val="0"/>
          <w:sz w:val="32"/>
          <w:szCs w:val="32"/>
        </w:rPr>
        <w:t>财政</w:t>
      </w:r>
      <w:r>
        <w:rPr>
          <w:rFonts w:ascii="仿宋_GB2312" w:hAnsi="宋体" w:eastAsia="仿宋_GB2312" w:cs="宋体"/>
          <w:color w:val="000000"/>
          <w:kern w:val="0"/>
          <w:sz w:val="32"/>
          <w:szCs w:val="32"/>
        </w:rPr>
        <w:t>支出</w:t>
      </w:r>
      <w:r>
        <w:rPr>
          <w:rFonts w:hint="eastAsia" w:ascii="仿宋_GB2312" w:hAnsi="宋体" w:eastAsia="仿宋_GB2312" w:cs="宋体"/>
          <w:color w:val="000000"/>
          <w:kern w:val="0"/>
          <w:sz w:val="32"/>
          <w:szCs w:val="32"/>
        </w:rPr>
        <w:t>绩效</w:t>
      </w:r>
      <w:r>
        <w:rPr>
          <w:rFonts w:ascii="仿宋_GB2312" w:hAnsi="宋体" w:eastAsia="仿宋_GB2312" w:cs="宋体"/>
          <w:color w:val="000000"/>
          <w:kern w:val="0"/>
          <w:sz w:val="32"/>
          <w:szCs w:val="32"/>
        </w:rPr>
        <w:t>目标申报表为空表</w:t>
      </w:r>
      <w:r>
        <w:rPr>
          <w:rFonts w:hint="eastAsia" w:ascii="仿宋_GB2312" w:hAnsi="仿宋_GB2312" w:eastAsia="仿宋_GB2312" w:cs="仿宋_GB2312"/>
          <w:kern w:val="0"/>
          <w:sz w:val="32"/>
          <w:szCs w:val="32"/>
          <w:lang w:eastAsia="zh-CN"/>
        </w:rPr>
        <w:t>）：</w:t>
      </w: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ind w:firstLine="640" w:firstLineChars="200"/>
        <w:rPr>
          <w:rFonts w:hint="eastAsia" w:ascii="仿宋_GB2312" w:hAnsi="仿宋_GB2312" w:eastAsia="仿宋_GB2312" w:cs="仿宋_GB2312"/>
          <w:kern w:val="0"/>
          <w:sz w:val="32"/>
          <w:szCs w:val="32"/>
        </w:rPr>
      </w:pPr>
    </w:p>
    <w:p>
      <w:pPr>
        <w:spacing w:line="540" w:lineRule="exact"/>
        <w:rPr>
          <w:rFonts w:hint="eastAsia" w:ascii="仿宋_GB2312" w:hAnsi="仿宋_GB2312" w:eastAsia="仿宋_GB2312" w:cs="仿宋_GB2312"/>
          <w:kern w:val="0"/>
          <w:sz w:val="32"/>
          <w:szCs w:val="32"/>
        </w:rPr>
      </w:pPr>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val="en-US" w:eastAsia="zh-CN"/>
              </w:rPr>
              <w:t xml:space="preserve">  </w:t>
            </w:r>
            <w:r>
              <w:rPr>
                <w:rFonts w:hint="eastAsia" w:ascii="仿宋_GB2312" w:hAnsi="宋体" w:eastAsia="仿宋_GB2312" w:cs="仿宋_GB2312"/>
                <w:b/>
                <w:color w:val="000000"/>
                <w:kern w:val="0"/>
                <w:sz w:val="32"/>
                <w:szCs w:val="32"/>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仿宋_GB2312" w:hAnsi="仿宋_GB2312" w:eastAsia="仿宋_GB2312" w:cs="仿宋_GB2312"/>
                <w:kern w:val="0"/>
                <w:sz w:val="24"/>
                <w:szCs w:val="24"/>
              </w:rPr>
              <w:t>昌吉州文化馆</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p>
        </w:tc>
      </w:tr>
      <w:tr>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部门支出预算的组成部分，是自治</w:t>
      </w:r>
      <w:r>
        <w:rPr>
          <w:rFonts w:hint="eastAsia" w:ascii="仿宋_GB2312" w:eastAsia="仿宋_GB2312"/>
          <w:sz w:val="32"/>
          <w:szCs w:val="32"/>
          <w:lang w:eastAsia="zh-CN"/>
        </w:rPr>
        <w:t>州</w:t>
      </w:r>
      <w:bookmarkStart w:id="0" w:name="_GoBack"/>
      <w:bookmarkEnd w:id="0"/>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昌吉州文化馆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Microsoft Sans Serif">
    <w:panose1 w:val="020B0604020202020204"/>
    <w:charset w:val="00"/>
    <w:family w:val="auto"/>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both"/>
      <w:rPr>
        <w:rFonts w:ascii="宋体" w:hAnsi="宋体"/>
        <w:sz w:val="28"/>
        <w:szCs w:val="28"/>
      </w:rP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
    <w:pPr>
      <w:ind w:left="1277"/>
      <w:outlineLvl w:val="1"/>
    </w:pPr>
    <w:rPr>
      <w:rFonts w:ascii="仿宋_GB2312" w:hAnsi="仿宋_GB2312" w:eastAsia="仿宋_GB2312" w:cs="仿宋_GB2312"/>
      <w:b/>
      <w:bCs/>
      <w:sz w:val="32"/>
      <w:szCs w:val="32"/>
      <w:lang w:val="zh-CN" w:bidi="zh-CN"/>
    </w:rPr>
  </w:style>
  <w:style w:type="character" w:default="1" w:styleId="4">
    <w:name w:val="Default Paragraph Font"/>
  </w:style>
  <w:style w:type="character" w:customStyle="1" w:styleId="3">
    <w:name w:val="标题 2 Char"/>
    <w:basedOn w:val="4"/>
    <w:link w:val="2"/>
    <w:semiHidden/>
    <w:rPr>
      <w:rFonts w:ascii="仿宋_GB2312" w:hAnsi="仿宋_GB2312" w:eastAsia="仿宋_GB2312" w:cs="仿宋_GB2312"/>
      <w:b/>
      <w:bCs/>
      <w:sz w:val="32"/>
      <w:szCs w:val="32"/>
      <w:lang w:val="zh-CN" w:bidi="zh-CN"/>
    </w:rPr>
  </w:style>
  <w:style w:type="paragraph" w:styleId="5">
    <w:name w:val="Body Text"/>
    <w:basedOn w:val="1"/>
    <w:link w:val="6"/>
    <w:rPr>
      <w:rFonts w:ascii="方正仿宋_GBK" w:hAnsi="方正仿宋_GBK" w:eastAsia="方正仿宋_GBK" w:cs="方正仿宋_GBK"/>
      <w:sz w:val="32"/>
      <w:szCs w:val="32"/>
      <w:lang w:val="zh-CN" w:bidi="zh-CN"/>
    </w:rPr>
  </w:style>
  <w:style w:type="character" w:customStyle="1" w:styleId="6">
    <w:name w:val="正文文本 Char"/>
    <w:basedOn w:val="4"/>
    <w:link w:val="5"/>
    <w:semiHidden/>
    <w:rPr>
      <w:rFonts w:ascii="方正仿宋_GBK" w:hAnsi="方正仿宋_GBK" w:eastAsia="方正仿宋_GBK" w:cs="方正仿宋_GBK"/>
      <w:sz w:val="32"/>
      <w:szCs w:val="32"/>
      <w:lang w:val="zh-CN" w:bidi="zh-CN"/>
    </w:rPr>
  </w:style>
  <w:style w:type="paragraph" w:styleId="7">
    <w:name w:val="footer"/>
    <w:basedOn w:val="1"/>
    <w:link w:val="8"/>
    <w:pPr>
      <w:tabs>
        <w:tab w:val="center" w:pos="4153"/>
        <w:tab w:val="right" w:pos="8306"/>
      </w:tabs>
      <w:snapToGrid w:val="0"/>
      <w:jc w:val="left"/>
    </w:pPr>
    <w:rPr>
      <w:sz w:val="18"/>
      <w:szCs w:val="18"/>
    </w:rPr>
  </w:style>
  <w:style w:type="character" w:customStyle="1" w:styleId="8">
    <w:name w:val="页脚 Char"/>
    <w:basedOn w:val="4"/>
    <w:link w:val="7"/>
    <w:semiHidden/>
    <w:rPr>
      <w:sz w:val="18"/>
      <w:szCs w:val="18"/>
    </w:rPr>
  </w:style>
  <w:style w:type="paragraph" w:styleId="9">
    <w:name w:val="header"/>
    <w:basedOn w:val="1"/>
    <w:link w:val="1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4"/>
    <w:link w:val="9"/>
    <w:semiHidden/>
    <w:rPr>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2">
    <w:name w:val="page number"/>
    <w:basedOn w:val="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5193</Words>
  <Characters>6085</Characters>
  <Lines>69</Lines>
  <Paragraphs>19</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2022-02-14T19:16:00Z</dcterms:created>
  <dc:creator>闫超</dc:creator>
  <dcterms:modified xsi:type="dcterms:W3CDTF">2022-04-19T16:43:49Z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AB0CD91E33F844E99CDB19FBD912C214</vt:lpwstr>
  </property>
</Properties>
</file>