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 w:ascii="宋体" w:hAnsi="宋体" w:eastAsia="宋体" w:cs="宋体"/>
          <w:b/>
          <w:bCs/>
          <w:kern w:val="0"/>
          <w:sz w:val="44"/>
          <w:szCs w:val="44"/>
          <w:lang w:eastAsia="zh-CN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昌吉州教育考试中心2022年预算公开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52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2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昌吉州教育考试中心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52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52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52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2022年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预算公开表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收入总体情况表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520" w:lineRule="exact"/>
        <w:ind w:firstLine="640" w:firstLineChars="200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52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2022年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预算情况说明</w:t>
      </w:r>
    </w:p>
    <w:p>
      <w:pPr>
        <w:widowControl/>
        <w:spacing w:line="52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一、关于昌吉州教育考试中心2022年收支预算情况的总体说明</w:t>
      </w:r>
    </w:p>
    <w:p>
      <w:pPr>
        <w:widowControl/>
        <w:spacing w:line="52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二、关于昌吉州教育考试中心2022年收入预算情况说明</w:t>
      </w:r>
    </w:p>
    <w:p>
      <w:pPr>
        <w:widowControl/>
        <w:spacing w:line="52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三、关于昌吉州教育考试中心2022年支出预算情况说明</w:t>
      </w:r>
    </w:p>
    <w:p>
      <w:pPr>
        <w:widowControl/>
        <w:spacing w:line="52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昌吉州教育考试中心2022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52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五、关于昌吉州教育考试中心2022年一般公共预算当年拨款情况说明</w:t>
      </w:r>
    </w:p>
    <w:p>
      <w:pPr>
        <w:widowControl/>
        <w:spacing w:line="52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六、关于昌吉州教育考试中心2022年一般公共预算基本支出情况说明</w:t>
      </w:r>
    </w:p>
    <w:p>
      <w:pPr>
        <w:widowControl/>
        <w:spacing w:line="52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七、关于昌吉州教育考试中心2022年一般公共预算项目支出情况说明</w:t>
      </w:r>
    </w:p>
    <w:p>
      <w:pPr>
        <w:widowControl/>
        <w:spacing w:line="52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八、关于昌吉州教育考试中心2022年一般公共预算“三公”经费预算情况说明</w:t>
      </w:r>
    </w:p>
    <w:p>
      <w:pPr>
        <w:widowControl/>
        <w:spacing w:line="52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九、关于昌吉州教育考试中心2022年政府性基金预算拨款情况说明</w:t>
      </w:r>
    </w:p>
    <w:p>
      <w:pPr>
        <w:widowControl/>
        <w:spacing w:line="52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昌吉州教育考试中心单位概况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要工作职能：教育事业发展提供信息、教育考试、教学研究、教育教学培训等服务，全州基础教育教学的指导服务、教育教学质量监测评价、教育科研课题、组织开展教育科研国内合作交流，全州高考、中考、普通高中、初中学业水平测试及成人类、社会类、国家级各类考试、全州中小学信息化建设及远程教育、实验教学和实验室规范化建设及信息化装备，全州教育教学相关类的培训。主要在教育领域进行招生考试等工作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昌吉州</w:t>
      </w:r>
      <w:r>
        <w:rPr>
          <w:rFonts w:hint="eastAsia" w:ascii="仿宋_GB2312" w:hAnsi="宋体" w:eastAsia="仿宋_GB2312"/>
          <w:kern w:val="0"/>
          <w:sz w:val="32"/>
          <w:szCs w:val="32"/>
        </w:rPr>
        <w:t>教育考试中心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无下属预算单位，下设5个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  <w:lang w:eastAsia="zh-CN"/>
        </w:rPr>
        <w:t>科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>室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，分别是：办公室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教育招生科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教育信息科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教育培训科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教学研究室。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</w:rPr>
        <w:t>教育考试中心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编制数48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，实有人数71人，其中：在职44人，减少2人；退休27人，增加3人；离休0人，增加0人。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40" w:lineRule="exact"/>
        <w:ind w:firstLine="1280" w:firstLineChars="4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2022年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单位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Cs/>
          <w:kern w:val="0"/>
          <w:szCs w:val="21"/>
        </w:rPr>
      </w:pPr>
      <w:r>
        <w:rPr>
          <w:rFonts w:hint="eastAsia" w:ascii="仿宋_GB2312" w:hAnsi="宋体" w:eastAsia="仿宋_GB2312"/>
          <w:bCs/>
          <w:kern w:val="0"/>
          <w:szCs w:val="21"/>
        </w:rPr>
        <w:t>表</w:t>
      </w:r>
      <w:r>
        <w:rPr>
          <w:rFonts w:hint="eastAsia" w:ascii="仿宋_GB2312" w:hAnsi="宋体" w:eastAsia="仿宋_GB2312"/>
          <w:bCs/>
          <w:kern w:val="0"/>
          <w:szCs w:val="21"/>
          <w:lang w:eastAsia="zh-CN"/>
        </w:rPr>
        <w:t>一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 昌吉州教育考试中心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 xml:space="preserve">1008.95 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 xml:space="preserve">1008.95 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61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700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Calibri" w:hAnsi="Calibri" w:eastAsia="仿宋_GB2312" w:cs="Calibri"/>
                <w:color w:val="000000"/>
                <w:kern w:val="0"/>
                <w:sz w:val="22"/>
                <w:szCs w:val="22"/>
                <w:lang w:eastAsia="zh-CN"/>
              </w:rPr>
              <w:t>1708.95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eastAsia="zh-CN"/>
              </w:rPr>
              <w:t>1708.95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Calibri" w:hAnsi="Calibri" w:eastAsia="仿宋_GB2312" w:cs="Calibri"/>
                <w:color w:val="000000"/>
                <w:kern w:val="0"/>
                <w:sz w:val="22"/>
                <w:szCs w:val="22"/>
                <w:lang w:eastAsia="zh-CN"/>
              </w:rPr>
              <w:t>1708.95</w:t>
            </w:r>
          </w:p>
        </w:tc>
      </w:tr>
    </w:tbl>
    <w:p>
      <w:pPr>
        <w:widowControl/>
        <w:spacing w:line="440" w:lineRule="exact"/>
        <w:outlineLvl w:val="1"/>
        <w:rPr>
          <w:rFonts w:ascii="仿宋_GB2312" w:hAnsi="宋体" w:eastAsia="仿宋_GB2312"/>
          <w:bCs/>
          <w:kern w:val="0"/>
          <w:szCs w:val="21"/>
        </w:rPr>
      </w:pPr>
      <w:r>
        <w:rPr>
          <w:rFonts w:hint="eastAsia" w:ascii="仿宋_GB2312" w:hAnsi="宋体" w:eastAsia="仿宋_GB2312"/>
          <w:bCs/>
          <w:kern w:val="0"/>
          <w:szCs w:val="21"/>
        </w:rPr>
        <w:t>表</w:t>
      </w:r>
      <w:r>
        <w:rPr>
          <w:rFonts w:hint="eastAsia" w:ascii="仿宋_GB2312" w:hAnsi="宋体" w:eastAsia="仿宋_GB2312"/>
          <w:bCs/>
          <w:kern w:val="0"/>
          <w:szCs w:val="21"/>
          <w:lang w:eastAsia="zh-CN"/>
        </w:rPr>
        <w:t>二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编制部门：昌吉州教育考试中心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</w:rPr>
        <w:t xml:space="preserve">     单位：万元</w:t>
      </w:r>
    </w:p>
    <w:tbl>
      <w:tblPr>
        <w:tblW w:w="973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541"/>
        <w:gridCol w:w="452"/>
        <w:gridCol w:w="1844"/>
        <w:gridCol w:w="1017"/>
        <w:gridCol w:w="1076"/>
        <w:gridCol w:w="481"/>
        <w:gridCol w:w="794"/>
        <w:gridCol w:w="920"/>
        <w:gridCol w:w="659"/>
        <w:gridCol w:w="707"/>
        <w:gridCol w:w="683"/>
      </w:tblGrid>
      <w:tr>
        <w:trPr>
          <w:trHeight w:val="553" w:hRule="atLeast"/>
        </w:trPr>
        <w:tc>
          <w:tcPr>
            <w:tcW w:w="15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10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4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rPr>
          <w:trHeight w:val="2000" w:hRule="atLeast"/>
        </w:trPr>
        <w:tc>
          <w:tcPr>
            <w:tcW w:w="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506" w:hRule="atLeast"/>
        </w:trPr>
        <w:tc>
          <w:tcPr>
            <w:tcW w:w="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教育支出</w:t>
            </w:r>
          </w:p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  <w:t>1708.95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  <w:t>08.95</w:t>
            </w:r>
          </w:p>
        </w:tc>
        <w:tc>
          <w:tcPr>
            <w:tcW w:w="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700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505" w:hRule="atLeast"/>
        </w:trPr>
        <w:tc>
          <w:tcPr>
            <w:tcW w:w="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普通教育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  <w:t>1708.95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08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  <w:t>.95</w:t>
            </w:r>
          </w:p>
        </w:tc>
        <w:tc>
          <w:tcPr>
            <w:tcW w:w="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700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505" w:hRule="atLeast"/>
        </w:trPr>
        <w:tc>
          <w:tcPr>
            <w:tcW w:w="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其他普通教育支出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  <w:t>1708.95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 xml:space="preserve">1008.95 </w:t>
            </w:r>
          </w:p>
        </w:tc>
        <w:tc>
          <w:tcPr>
            <w:tcW w:w="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700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589" w:hRule="atLeast"/>
        </w:trPr>
        <w:tc>
          <w:tcPr>
            <w:tcW w:w="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589" w:hRule="atLeast"/>
        </w:trPr>
        <w:tc>
          <w:tcPr>
            <w:tcW w:w="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880" w:hRule="atLeast"/>
        </w:trPr>
        <w:tc>
          <w:tcPr>
            <w:tcW w:w="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505" w:hRule="atLeast"/>
        </w:trPr>
        <w:tc>
          <w:tcPr>
            <w:tcW w:w="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589" w:hRule="atLeast"/>
        </w:trPr>
        <w:tc>
          <w:tcPr>
            <w:tcW w:w="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505" w:hRule="atLeast"/>
        </w:trPr>
        <w:tc>
          <w:tcPr>
            <w:tcW w:w="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505" w:hRule="atLeast"/>
        </w:trPr>
        <w:tc>
          <w:tcPr>
            <w:tcW w:w="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589" w:hRule="atLeast"/>
        </w:trPr>
        <w:tc>
          <w:tcPr>
            <w:tcW w:w="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505" w:hRule="atLeast"/>
        </w:trPr>
        <w:tc>
          <w:tcPr>
            <w:tcW w:w="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505" w:hRule="atLeast"/>
        </w:trPr>
        <w:tc>
          <w:tcPr>
            <w:tcW w:w="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505" w:hRule="atLeast"/>
        </w:trPr>
        <w:tc>
          <w:tcPr>
            <w:tcW w:w="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516" w:hRule="atLeast"/>
        </w:trPr>
        <w:tc>
          <w:tcPr>
            <w:tcW w:w="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Calibri" w:hAnsi="Calibri" w:eastAsia="仿宋_GB2312" w:cs="Calibri"/>
                <w:color w:val="000000"/>
                <w:kern w:val="0"/>
                <w:sz w:val="22"/>
                <w:szCs w:val="22"/>
                <w:lang w:eastAsia="zh-CN"/>
              </w:rPr>
              <w:t>1708.95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1008.95 </w:t>
            </w:r>
          </w:p>
        </w:tc>
        <w:tc>
          <w:tcPr>
            <w:tcW w:w="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1"/>
                <w:szCs w:val="21"/>
                <w:lang w:eastAsia="zh-CN"/>
              </w:rPr>
              <w:t>700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1"/>
                <w:szCs w:val="21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outlineLvl w:val="1"/>
        <w:rPr>
          <w:rFonts w:ascii="仿宋_GB2312" w:hAnsi="宋体" w:eastAsia="仿宋_GB2312"/>
          <w:bCs/>
          <w:kern w:val="0"/>
          <w:szCs w:val="21"/>
        </w:rPr>
      </w:pPr>
      <w:r>
        <w:rPr>
          <w:rFonts w:hint="eastAsia" w:ascii="仿宋_GB2312" w:hAnsi="宋体" w:eastAsia="仿宋_GB2312"/>
          <w:bCs/>
          <w:kern w:val="0"/>
          <w:szCs w:val="21"/>
        </w:rPr>
        <w:t>表</w:t>
      </w:r>
      <w:r>
        <w:rPr>
          <w:rFonts w:hint="eastAsia" w:ascii="仿宋_GB2312" w:hAnsi="宋体" w:eastAsia="仿宋_GB2312"/>
          <w:bCs/>
          <w:kern w:val="0"/>
          <w:szCs w:val="21"/>
          <w:lang w:eastAsia="zh-CN"/>
        </w:rPr>
        <w:t>三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编制部门：昌吉州教育考试中心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W w:w="949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428"/>
        <w:gridCol w:w="431"/>
        <w:gridCol w:w="2558"/>
        <w:gridCol w:w="1835"/>
        <w:gridCol w:w="1836"/>
        <w:gridCol w:w="1876"/>
      </w:tblGrid>
      <w:tr>
        <w:trPr>
          <w:trHeight w:val="406" w:hRule="atLeast"/>
        </w:trPr>
        <w:tc>
          <w:tcPr>
            <w:tcW w:w="39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54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rPr>
          <w:trHeight w:val="646" w:hRule="atLeast"/>
        </w:trPr>
        <w:tc>
          <w:tcPr>
            <w:tcW w:w="1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5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3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3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7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rPr>
          <w:trHeight w:val="333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5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41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205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教育支出</w:t>
            </w:r>
          </w:p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Calibri" w:hAnsi="Calibri" w:eastAsia="仿宋_GB2312" w:cs="Calibri"/>
                <w:color w:val="000000"/>
                <w:kern w:val="0"/>
                <w:szCs w:val="21"/>
                <w:lang w:eastAsia="zh-CN"/>
              </w:rPr>
              <w:t>1708.95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Cs w:val="21"/>
              </w:rPr>
              <w:t>888.95</w:t>
            </w: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  <w:t>820</w:t>
            </w:r>
          </w:p>
        </w:tc>
      </w:tr>
      <w:tr>
        <w:trPr>
          <w:trHeight w:val="473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205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02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  <w:lang w:eastAsia="zh-CN"/>
              </w:rPr>
              <w:t>普通教育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  <w:lang w:eastAsia="zh-CN"/>
              </w:rPr>
            </w:pPr>
            <w:r>
              <w:rPr>
                <w:rFonts w:hint="eastAsia" w:ascii="Calibri" w:hAnsi="Calibri" w:eastAsia="仿宋_GB2312" w:cs="Calibri"/>
                <w:color w:val="000000"/>
                <w:kern w:val="0"/>
                <w:szCs w:val="21"/>
                <w:lang w:eastAsia="zh-CN"/>
              </w:rPr>
              <w:t>1708.95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Cs w:val="21"/>
              </w:rPr>
              <w:t>888.95</w:t>
            </w: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  <w:t>820</w:t>
            </w:r>
          </w:p>
        </w:tc>
      </w:tr>
      <w:tr>
        <w:trPr>
          <w:trHeight w:val="473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205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02</w:t>
            </w: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99</w:t>
            </w: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其他普通教育支出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  <w:lang w:eastAsia="zh-CN"/>
              </w:rPr>
            </w:pPr>
            <w:r>
              <w:rPr>
                <w:rFonts w:hint="eastAsia" w:ascii="Calibri" w:hAnsi="Calibri" w:eastAsia="仿宋_GB2312" w:cs="Calibri"/>
                <w:color w:val="000000"/>
                <w:kern w:val="0"/>
                <w:szCs w:val="21"/>
                <w:lang w:eastAsia="zh-CN"/>
              </w:rPr>
              <w:t>1708.95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Cs w:val="21"/>
              </w:rPr>
              <w:t>888.95</w:t>
            </w: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  <w:t>820</w:t>
            </w:r>
          </w:p>
        </w:tc>
      </w:tr>
      <w:tr>
        <w:trPr>
          <w:trHeight w:val="473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rPr>
          <w:trHeight w:val="473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rPr>
          <w:trHeight w:val="629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rPr>
          <w:trHeight w:val="473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rPr>
          <w:trHeight w:val="473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rPr>
          <w:trHeight w:val="473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rPr>
          <w:trHeight w:val="473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rPr>
          <w:trHeight w:val="629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rPr>
          <w:trHeight w:val="473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rPr>
          <w:trHeight w:val="473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rPr>
          <w:trHeight w:val="473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rPr>
          <w:trHeight w:val="473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rPr>
          <w:trHeight w:val="473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rPr>
          <w:trHeight w:val="473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rPr>
          <w:trHeight w:val="473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rPr>
          <w:trHeight w:val="494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  <w:lang w:eastAsia="zh-CN"/>
              </w:rPr>
            </w:pPr>
            <w:r>
              <w:rPr>
                <w:rFonts w:hint="eastAsia" w:ascii="Calibri" w:hAnsi="Calibri" w:eastAsia="仿宋_GB2312" w:cs="Calibri"/>
                <w:color w:val="000000"/>
                <w:kern w:val="0"/>
                <w:szCs w:val="21"/>
                <w:lang w:eastAsia="zh-CN"/>
              </w:rPr>
              <w:t>1708.95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Cs w:val="21"/>
              </w:rPr>
              <w:t>888.95</w:t>
            </w: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  <w:t>820</w:t>
            </w:r>
          </w:p>
        </w:tc>
      </w:tr>
    </w:tbl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Cs w:val="21"/>
        </w:rPr>
      </w:pPr>
    </w:p>
    <w:p>
      <w:pPr>
        <w:widowControl/>
        <w:spacing w:line="440" w:lineRule="exact"/>
        <w:outlineLvl w:val="1"/>
        <w:rPr>
          <w:rFonts w:ascii="仿宋_GB2312" w:hAnsi="宋体" w:eastAsia="仿宋_GB2312"/>
          <w:bCs/>
          <w:kern w:val="0"/>
          <w:szCs w:val="21"/>
        </w:rPr>
      </w:pPr>
      <w:r>
        <w:rPr>
          <w:rFonts w:hint="eastAsia" w:ascii="仿宋_GB2312" w:hAnsi="宋体" w:eastAsia="仿宋_GB2312"/>
          <w:bCs/>
          <w:kern w:val="0"/>
          <w:szCs w:val="21"/>
        </w:rPr>
        <w:t>表</w:t>
      </w:r>
      <w:r>
        <w:rPr>
          <w:rFonts w:hint="eastAsia" w:ascii="仿宋_GB2312" w:hAnsi="宋体" w:eastAsia="仿宋_GB2312"/>
          <w:bCs/>
          <w:kern w:val="0"/>
          <w:szCs w:val="21"/>
          <w:lang w:eastAsia="zh-CN"/>
        </w:rPr>
        <w:t>四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 xml:space="preserve">编制部门：昌吉州教育考试中心                    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     </w:t>
      </w:r>
      <w:r>
        <w:rPr>
          <w:rFonts w:hint="eastAsia" w:ascii="仿宋_GB2312" w:hAnsi="宋体" w:eastAsia="仿宋_GB2312"/>
          <w:kern w:val="0"/>
          <w:szCs w:val="21"/>
        </w:rPr>
        <w:t xml:space="preserve">  单位：万元</w:t>
      </w:r>
    </w:p>
    <w:tbl>
      <w:tblPr>
        <w:tblW w:w="10583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51"/>
        <w:gridCol w:w="964"/>
        <w:gridCol w:w="1021"/>
        <w:gridCol w:w="1132"/>
        <w:gridCol w:w="1085"/>
      </w:tblGrid>
      <w:tr>
        <w:trPr>
          <w:gridAfter w:val="1"/>
          <w:wAfter w:w="1085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收入</w:t>
            </w:r>
          </w:p>
        </w:tc>
        <w:tc>
          <w:tcPr>
            <w:tcW w:w="645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支出</w:t>
            </w:r>
          </w:p>
        </w:tc>
      </w:tr>
      <w:tr>
        <w:trPr>
          <w:gridAfter w:val="1"/>
          <w:wAfter w:w="1085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1008.95 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201 一般公共服务支出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1008.95 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202 外交支出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105" w:firstLineChars="50"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203 国防支出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96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204 公共安全支出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205 教育支出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1008.95 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1008.95 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206 科学技术支出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207 文化旅游体育与传媒支出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208 社会保障和就业支出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209 社会保险基金支出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210卫生健康支出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211 节能环保支出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212 城乡社区支出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213 农林水支出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214 交通运输支出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215 资源勘探工业信息等支出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216 商业服务业等支出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217 金融支出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219 援助其他地区支出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220 自然资源海洋气象等支出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221 住房保障支出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222 粮油物资储备支出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223 国有资本经营预算支出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224灾害防治及应急管理支出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227 预备费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229 其他支出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230转移性支出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231 债务还本支出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232 债务付息支出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233 债务发行费用支出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234 抗疫特别国债还本支出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rPr>
          <w:gridAfter w:val="1"/>
          <w:wAfter w:w="1085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1008.95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支  出  总  计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1008.95 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1008.95 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85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</w:tbl>
    <w:p>
      <w:pPr>
        <w:widowControl/>
        <w:jc w:val="left"/>
        <w:outlineLvl w:val="1"/>
        <w:rPr>
          <w:rFonts w:ascii="仿宋" w:hAnsi="仿宋" w:eastAsia="仿宋" w:cs="仿宋"/>
          <w:b/>
          <w:kern w:val="0"/>
          <w:szCs w:val="21"/>
        </w:rPr>
      </w:pPr>
    </w:p>
    <w:tbl>
      <w:tblPr>
        <w:tblW w:w="9749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"/>
        <w:gridCol w:w="203"/>
        <w:gridCol w:w="114"/>
        <w:gridCol w:w="162"/>
        <w:gridCol w:w="398"/>
        <w:gridCol w:w="10"/>
        <w:gridCol w:w="112"/>
        <w:gridCol w:w="278"/>
        <w:gridCol w:w="104"/>
        <w:gridCol w:w="227"/>
        <w:gridCol w:w="193"/>
        <w:gridCol w:w="452"/>
        <w:gridCol w:w="1341"/>
        <w:gridCol w:w="752"/>
        <w:gridCol w:w="112"/>
        <w:gridCol w:w="260"/>
        <w:gridCol w:w="199"/>
        <w:gridCol w:w="78"/>
        <w:gridCol w:w="462"/>
        <w:gridCol w:w="253"/>
        <w:gridCol w:w="305"/>
        <w:gridCol w:w="97"/>
        <w:gridCol w:w="120"/>
        <w:gridCol w:w="221"/>
        <w:gridCol w:w="314"/>
        <w:gridCol w:w="379"/>
        <w:gridCol w:w="201"/>
        <w:gridCol w:w="137"/>
        <w:gridCol w:w="283"/>
        <w:gridCol w:w="99"/>
        <w:gridCol w:w="380"/>
        <w:gridCol w:w="101"/>
        <w:gridCol w:w="421"/>
        <w:gridCol w:w="421"/>
        <w:gridCol w:w="388"/>
        <w:gridCol w:w="10"/>
        <w:gridCol w:w="153"/>
      </w:tblGrid>
      <w:tr>
        <w:trPr>
          <w:gridBefore w:val="3"/>
          <w:gridAfter w:val="2"/>
          <w:wBefore w:w="326" w:type="dxa"/>
          <w:wAfter w:w="163" w:type="dxa"/>
          <w:trHeight w:val="456" w:hRule="atLeast"/>
        </w:trPr>
        <w:tc>
          <w:tcPr>
            <w:tcW w:w="9260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40" w:lineRule="exact"/>
              <w:outlineLvl w:val="1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表</w:t>
            </w:r>
            <w:r>
              <w:rPr>
                <w:rFonts w:hint="eastAsia" w:ascii="仿宋_GB2312" w:hAnsi="宋体" w:eastAsia="仿宋_GB2312"/>
                <w:bCs/>
                <w:kern w:val="0"/>
                <w:szCs w:val="21"/>
                <w:lang w:eastAsia="zh-CN"/>
              </w:rPr>
              <w:t>五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rPr>
          <w:gridBefore w:val="3"/>
          <w:gridAfter w:val="2"/>
          <w:wBefore w:w="326" w:type="dxa"/>
          <w:wAfter w:w="163" w:type="dxa"/>
          <w:trHeight w:val="500" w:hRule="atLeast"/>
        </w:trPr>
        <w:tc>
          <w:tcPr>
            <w:tcW w:w="5915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编制部门：昌吉州教育考试中心</w:t>
            </w:r>
          </w:p>
        </w:tc>
        <w:tc>
          <w:tcPr>
            <w:tcW w:w="334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rPr>
          <w:gridBefore w:val="3"/>
          <w:gridAfter w:val="2"/>
          <w:wBefore w:w="326" w:type="dxa"/>
          <w:wAfter w:w="163" w:type="dxa"/>
          <w:trHeight w:val="421" w:hRule="atLeast"/>
        </w:trPr>
        <w:tc>
          <w:tcPr>
            <w:tcW w:w="440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4859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rPr>
          <w:gridBefore w:val="3"/>
          <w:gridAfter w:val="2"/>
          <w:wBefore w:w="326" w:type="dxa"/>
          <w:wAfter w:w="163" w:type="dxa"/>
          <w:trHeight w:val="535" w:hRule="atLeast"/>
        </w:trPr>
        <w:tc>
          <w:tcPr>
            <w:tcW w:w="14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917" w:type="dxa"/>
            <w:gridSpan w:val="5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297" w:type="dxa"/>
            <w:gridSpan w:val="5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1" w:type="dxa"/>
            <w:gridSpan w:val="9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1" w:type="dxa"/>
            <w:gridSpan w:val="5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gridBefore w:val="3"/>
          <w:gridAfter w:val="2"/>
          <w:wBefore w:w="326" w:type="dxa"/>
          <w:wAfter w:w="163" w:type="dxa"/>
          <w:trHeight w:val="314" w:hRule="atLeast"/>
        </w:trPr>
        <w:tc>
          <w:tcPr>
            <w:tcW w:w="57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917" w:type="dxa"/>
            <w:gridSpan w:val="5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7" w:type="dxa"/>
            <w:gridSpan w:val="5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1" w:type="dxa"/>
            <w:gridSpan w:val="9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1" w:type="dxa"/>
            <w:gridSpan w:val="5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gridBefore w:val="3"/>
          <w:gridAfter w:val="2"/>
          <w:wBefore w:w="326" w:type="dxa"/>
          <w:wAfter w:w="163" w:type="dxa"/>
          <w:trHeight w:val="483" w:hRule="atLeast"/>
        </w:trPr>
        <w:tc>
          <w:tcPr>
            <w:tcW w:w="57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教育支出</w:t>
            </w:r>
          </w:p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1008.95</w:t>
            </w:r>
          </w:p>
        </w:tc>
        <w:tc>
          <w:tcPr>
            <w:tcW w:w="185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</w:rPr>
              <w:t>88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8.95</w:t>
            </w:r>
          </w:p>
        </w:tc>
        <w:tc>
          <w:tcPr>
            <w:tcW w:w="17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120</w:t>
            </w:r>
          </w:p>
        </w:tc>
      </w:tr>
      <w:tr>
        <w:trPr>
          <w:gridBefore w:val="3"/>
          <w:gridAfter w:val="2"/>
          <w:wBefore w:w="326" w:type="dxa"/>
          <w:wAfter w:w="163" w:type="dxa"/>
          <w:trHeight w:val="466" w:hRule="atLeast"/>
        </w:trPr>
        <w:tc>
          <w:tcPr>
            <w:tcW w:w="57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9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普通教育</w:t>
            </w:r>
          </w:p>
        </w:tc>
        <w:tc>
          <w:tcPr>
            <w:tcW w:w="129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1008.95</w:t>
            </w:r>
          </w:p>
        </w:tc>
        <w:tc>
          <w:tcPr>
            <w:tcW w:w="185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</w:rPr>
              <w:t>88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8.95</w:t>
            </w:r>
          </w:p>
        </w:tc>
        <w:tc>
          <w:tcPr>
            <w:tcW w:w="17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120</w:t>
            </w:r>
          </w:p>
        </w:tc>
      </w:tr>
      <w:tr>
        <w:trPr>
          <w:gridBefore w:val="3"/>
          <w:gridAfter w:val="2"/>
          <w:wBefore w:w="326" w:type="dxa"/>
          <w:wAfter w:w="163" w:type="dxa"/>
          <w:trHeight w:val="466" w:hRule="atLeast"/>
        </w:trPr>
        <w:tc>
          <w:tcPr>
            <w:tcW w:w="57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9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其他普通教育支出</w:t>
            </w:r>
          </w:p>
        </w:tc>
        <w:tc>
          <w:tcPr>
            <w:tcW w:w="129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1008.95</w:t>
            </w:r>
          </w:p>
        </w:tc>
        <w:tc>
          <w:tcPr>
            <w:tcW w:w="185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</w:rPr>
              <w:t>88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8.95</w:t>
            </w:r>
          </w:p>
        </w:tc>
        <w:tc>
          <w:tcPr>
            <w:tcW w:w="17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120</w:t>
            </w:r>
          </w:p>
        </w:tc>
      </w:tr>
      <w:tr>
        <w:trPr>
          <w:gridBefore w:val="3"/>
          <w:gridAfter w:val="2"/>
          <w:wBefore w:w="326" w:type="dxa"/>
          <w:wAfter w:w="163" w:type="dxa"/>
          <w:trHeight w:val="466" w:hRule="atLeast"/>
        </w:trPr>
        <w:tc>
          <w:tcPr>
            <w:tcW w:w="57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9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29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gridBefore w:val="3"/>
          <w:gridAfter w:val="2"/>
          <w:wBefore w:w="326" w:type="dxa"/>
          <w:wAfter w:w="163" w:type="dxa"/>
          <w:trHeight w:val="466" w:hRule="atLeast"/>
        </w:trPr>
        <w:tc>
          <w:tcPr>
            <w:tcW w:w="57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9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29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gridBefore w:val="3"/>
          <w:gridAfter w:val="2"/>
          <w:wBefore w:w="326" w:type="dxa"/>
          <w:wAfter w:w="163" w:type="dxa"/>
          <w:trHeight w:val="562" w:hRule="atLeast"/>
        </w:trPr>
        <w:tc>
          <w:tcPr>
            <w:tcW w:w="57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9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29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gridBefore w:val="3"/>
          <w:gridAfter w:val="2"/>
          <w:wBefore w:w="326" w:type="dxa"/>
          <w:wAfter w:w="163" w:type="dxa"/>
          <w:trHeight w:val="466" w:hRule="atLeast"/>
        </w:trPr>
        <w:tc>
          <w:tcPr>
            <w:tcW w:w="57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gridBefore w:val="3"/>
          <w:gridAfter w:val="2"/>
          <w:wBefore w:w="326" w:type="dxa"/>
          <w:wAfter w:w="163" w:type="dxa"/>
          <w:trHeight w:val="466" w:hRule="atLeast"/>
        </w:trPr>
        <w:tc>
          <w:tcPr>
            <w:tcW w:w="57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gridBefore w:val="3"/>
          <w:gridAfter w:val="2"/>
          <w:wBefore w:w="326" w:type="dxa"/>
          <w:wAfter w:w="163" w:type="dxa"/>
          <w:trHeight w:val="562" w:hRule="atLeast"/>
        </w:trPr>
        <w:tc>
          <w:tcPr>
            <w:tcW w:w="57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gridBefore w:val="3"/>
          <w:gridAfter w:val="2"/>
          <w:wBefore w:w="326" w:type="dxa"/>
          <w:wAfter w:w="163" w:type="dxa"/>
          <w:trHeight w:val="562" w:hRule="atLeast"/>
        </w:trPr>
        <w:tc>
          <w:tcPr>
            <w:tcW w:w="57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gridBefore w:val="3"/>
          <w:gridAfter w:val="2"/>
          <w:wBefore w:w="326" w:type="dxa"/>
          <w:wAfter w:w="163" w:type="dxa"/>
          <w:trHeight w:val="562" w:hRule="atLeast"/>
        </w:trPr>
        <w:tc>
          <w:tcPr>
            <w:tcW w:w="57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gridBefore w:val="3"/>
          <w:gridAfter w:val="2"/>
          <w:wBefore w:w="326" w:type="dxa"/>
          <w:wAfter w:w="163" w:type="dxa"/>
          <w:trHeight w:val="466" w:hRule="atLeast"/>
        </w:trPr>
        <w:tc>
          <w:tcPr>
            <w:tcW w:w="57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gridBefore w:val="3"/>
          <w:gridAfter w:val="2"/>
          <w:wBefore w:w="326" w:type="dxa"/>
          <w:wAfter w:w="163" w:type="dxa"/>
          <w:trHeight w:val="466" w:hRule="atLeast"/>
        </w:trPr>
        <w:tc>
          <w:tcPr>
            <w:tcW w:w="57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gridBefore w:val="3"/>
          <w:gridAfter w:val="2"/>
          <w:wBefore w:w="326" w:type="dxa"/>
          <w:wAfter w:w="163" w:type="dxa"/>
          <w:trHeight w:val="466" w:hRule="atLeast"/>
        </w:trPr>
        <w:tc>
          <w:tcPr>
            <w:tcW w:w="57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gridBefore w:val="3"/>
          <w:gridAfter w:val="2"/>
          <w:wBefore w:w="326" w:type="dxa"/>
          <w:wAfter w:w="163" w:type="dxa"/>
          <w:trHeight w:val="466" w:hRule="atLeast"/>
        </w:trPr>
        <w:tc>
          <w:tcPr>
            <w:tcW w:w="57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gridBefore w:val="3"/>
          <w:gridAfter w:val="2"/>
          <w:wBefore w:w="326" w:type="dxa"/>
          <w:wAfter w:w="163" w:type="dxa"/>
          <w:trHeight w:val="466" w:hRule="atLeast"/>
        </w:trPr>
        <w:tc>
          <w:tcPr>
            <w:tcW w:w="57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gridBefore w:val="3"/>
          <w:gridAfter w:val="2"/>
          <w:wBefore w:w="326" w:type="dxa"/>
          <w:wAfter w:w="163" w:type="dxa"/>
          <w:trHeight w:val="466" w:hRule="atLeast"/>
        </w:trPr>
        <w:tc>
          <w:tcPr>
            <w:tcW w:w="57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gridBefore w:val="3"/>
          <w:gridAfter w:val="2"/>
          <w:wBefore w:w="326" w:type="dxa"/>
          <w:wAfter w:w="163" w:type="dxa"/>
          <w:trHeight w:val="398" w:hRule="atLeast"/>
        </w:trPr>
        <w:tc>
          <w:tcPr>
            <w:tcW w:w="57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gridBefore w:val="3"/>
          <w:gridAfter w:val="2"/>
          <w:wBefore w:w="326" w:type="dxa"/>
          <w:wAfter w:w="163" w:type="dxa"/>
          <w:trHeight w:val="1226" w:hRule="atLeast"/>
        </w:trPr>
        <w:tc>
          <w:tcPr>
            <w:tcW w:w="57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29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1008.95</w:t>
            </w:r>
          </w:p>
        </w:tc>
        <w:tc>
          <w:tcPr>
            <w:tcW w:w="185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</w:rPr>
              <w:t>88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8.95</w:t>
            </w:r>
          </w:p>
        </w:tc>
        <w:tc>
          <w:tcPr>
            <w:tcW w:w="171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120</w:t>
            </w:r>
          </w:p>
        </w:tc>
      </w:tr>
      <w:tr>
        <w:trPr>
          <w:gridBefore w:val="2"/>
          <w:wBefore w:w="212" w:type="dxa"/>
          <w:trHeight w:val="462" w:hRule="atLeast"/>
        </w:trPr>
        <w:tc>
          <w:tcPr>
            <w:tcW w:w="9537" w:type="dxa"/>
            <w:gridSpan w:val="35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>
            <w:pPr>
              <w:widowControl/>
              <w:spacing w:line="440" w:lineRule="exact"/>
              <w:outlineLvl w:val="1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表</w:t>
            </w:r>
            <w:r>
              <w:rPr>
                <w:rFonts w:hint="eastAsia" w:ascii="仿宋_GB2312" w:hAnsi="宋体" w:eastAsia="仿宋_GB2312"/>
                <w:bCs/>
                <w:kern w:val="0"/>
                <w:szCs w:val="21"/>
                <w:lang w:eastAsia="zh-CN"/>
              </w:rPr>
              <w:t>六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rPr>
          <w:gridBefore w:val="2"/>
          <w:wBefore w:w="212" w:type="dxa"/>
          <w:trHeight w:val="346" w:hRule="atLeast"/>
        </w:trPr>
        <w:tc>
          <w:tcPr>
            <w:tcW w:w="4792" w:type="dxa"/>
            <w:gridSpan w:val="16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编制部门：昌吉州教育考试中心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74" w:type="dxa"/>
            <w:gridSpan w:val="8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256" w:type="dxa"/>
            <w:gridSpan w:val="9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rPr>
          <w:gridBefore w:val="2"/>
          <w:wBefore w:w="212" w:type="dxa"/>
          <w:trHeight w:val="378" w:hRule="atLeast"/>
        </w:trPr>
        <w:tc>
          <w:tcPr>
            <w:tcW w:w="479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745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rPr>
          <w:gridBefore w:val="2"/>
          <w:wBefore w:w="212" w:type="dxa"/>
          <w:trHeight w:val="665" w:hRule="atLeast"/>
        </w:trPr>
        <w:tc>
          <w:tcPr>
            <w:tcW w:w="14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387" w:type="dxa"/>
            <w:gridSpan w:val="8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458" w:type="dxa"/>
            <w:gridSpan w:val="6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93" w:type="dxa"/>
            <w:gridSpan w:val="7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494" w:type="dxa"/>
            <w:gridSpan w:val="6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rPr>
          <w:gridBefore w:val="2"/>
          <w:wBefore w:w="212" w:type="dxa"/>
          <w:trHeight w:val="39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387" w:type="dxa"/>
            <w:gridSpan w:val="8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8" w:type="dxa"/>
            <w:gridSpan w:val="6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93" w:type="dxa"/>
            <w:gridSpan w:val="7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4" w:type="dxa"/>
            <w:gridSpan w:val="6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gridBefore w:val="2"/>
          <w:wBefore w:w="212" w:type="dxa"/>
          <w:trHeight w:val="33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工资福利支出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 xml:space="preserve">785.18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 xml:space="preserve">785.18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 xml:space="preserve">0.00 </w:t>
            </w:r>
          </w:p>
        </w:tc>
      </w:tr>
      <w:tr>
        <w:trPr>
          <w:gridBefore w:val="2"/>
          <w:wBefore w:w="212" w:type="dxa"/>
          <w:trHeight w:val="33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基本工资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283.90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283.90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0.00 </w:t>
            </w:r>
          </w:p>
        </w:tc>
      </w:tr>
      <w:tr>
        <w:trPr>
          <w:gridBefore w:val="2"/>
          <w:wBefore w:w="212" w:type="dxa"/>
          <w:trHeight w:val="33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津贴补贴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52.83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52.83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0.00 </w:t>
            </w:r>
          </w:p>
        </w:tc>
      </w:tr>
      <w:tr>
        <w:trPr>
          <w:gridBefore w:val="2"/>
          <w:wBefore w:w="212" w:type="dxa"/>
          <w:trHeight w:val="33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奖金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23.19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23.19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0.00 </w:t>
            </w:r>
          </w:p>
        </w:tc>
      </w:tr>
      <w:tr>
        <w:trPr>
          <w:gridBefore w:val="2"/>
          <w:wBefore w:w="212" w:type="dxa"/>
          <w:trHeight w:val="322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绩效工资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189.28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189.28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0.00 </w:t>
            </w:r>
          </w:p>
        </w:tc>
      </w:tr>
      <w:tr>
        <w:trPr>
          <w:gridBefore w:val="2"/>
          <w:wBefore w:w="212" w:type="dxa"/>
          <w:trHeight w:val="33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机关事业单位基本养老保险缴费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87.14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87.14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0.00 </w:t>
            </w:r>
          </w:p>
        </w:tc>
      </w:tr>
      <w:tr>
        <w:trPr>
          <w:gridBefore w:val="2"/>
          <w:wBefore w:w="212" w:type="dxa"/>
          <w:trHeight w:val="33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城镇职工基本医疗保险缴费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51.74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51.74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0.00 </w:t>
            </w:r>
          </w:p>
        </w:tc>
      </w:tr>
      <w:tr>
        <w:trPr>
          <w:gridBefore w:val="2"/>
          <w:wBefore w:w="212" w:type="dxa"/>
          <w:trHeight w:val="33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公务员医疗补助缴费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16.34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16.34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0.00 </w:t>
            </w:r>
          </w:p>
        </w:tc>
      </w:tr>
      <w:tr>
        <w:trPr>
          <w:gridBefore w:val="2"/>
          <w:wBefore w:w="212" w:type="dxa"/>
          <w:trHeight w:val="33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其他社会保障缴费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2.87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2.87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0.00 </w:t>
            </w:r>
          </w:p>
        </w:tc>
      </w:tr>
      <w:tr>
        <w:trPr>
          <w:gridBefore w:val="2"/>
          <w:wBefore w:w="212" w:type="dxa"/>
          <w:trHeight w:val="356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住房公积金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75.29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75.29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0.00 </w:t>
            </w:r>
          </w:p>
        </w:tc>
      </w:tr>
      <w:tr>
        <w:trPr>
          <w:gridBefore w:val="2"/>
          <w:wBefore w:w="212" w:type="dxa"/>
          <w:trHeight w:val="33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其他工资福利支出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2.6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2.6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0.00 </w:t>
            </w:r>
          </w:p>
        </w:tc>
      </w:tr>
      <w:tr>
        <w:trPr>
          <w:gridBefore w:val="2"/>
          <w:wBefore w:w="212" w:type="dxa"/>
          <w:trHeight w:val="33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商品和服务支出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 xml:space="preserve">67.65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 xml:space="preserve">67.65 </w:t>
            </w:r>
          </w:p>
        </w:tc>
      </w:tr>
      <w:tr>
        <w:trPr>
          <w:gridBefore w:val="2"/>
          <w:wBefore w:w="212" w:type="dxa"/>
          <w:trHeight w:val="33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办公费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16.00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16.00 </w:t>
            </w:r>
          </w:p>
        </w:tc>
      </w:tr>
      <w:tr>
        <w:trPr>
          <w:gridBefore w:val="2"/>
          <w:wBefore w:w="212" w:type="dxa"/>
          <w:trHeight w:val="33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邮电费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3.90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3.90 </w:t>
            </w:r>
          </w:p>
        </w:tc>
      </w:tr>
      <w:tr>
        <w:trPr>
          <w:gridBefore w:val="2"/>
          <w:wBefore w:w="212" w:type="dxa"/>
          <w:trHeight w:val="33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差旅费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6.00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6.00 </w:t>
            </w:r>
          </w:p>
        </w:tc>
      </w:tr>
      <w:tr>
        <w:trPr>
          <w:gridBefore w:val="2"/>
          <w:wBefore w:w="212" w:type="dxa"/>
          <w:trHeight w:val="33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维修(护)费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2.00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2.00 </w:t>
            </w:r>
          </w:p>
        </w:tc>
      </w:tr>
      <w:tr>
        <w:trPr>
          <w:gridBefore w:val="2"/>
          <w:wBefore w:w="212" w:type="dxa"/>
          <w:trHeight w:val="33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培训费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1.00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1.00 </w:t>
            </w:r>
          </w:p>
        </w:tc>
      </w:tr>
      <w:tr>
        <w:trPr>
          <w:gridBefore w:val="2"/>
          <w:wBefore w:w="212" w:type="dxa"/>
          <w:trHeight w:val="33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劳务费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2.88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2.88 </w:t>
            </w:r>
          </w:p>
        </w:tc>
      </w:tr>
      <w:tr>
        <w:trPr>
          <w:gridBefore w:val="2"/>
          <w:wBefore w:w="212" w:type="dxa"/>
          <w:trHeight w:val="33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工会经费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10.22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10.22 </w:t>
            </w:r>
          </w:p>
        </w:tc>
      </w:tr>
      <w:tr>
        <w:trPr>
          <w:gridBefore w:val="2"/>
          <w:wBefore w:w="212" w:type="dxa"/>
          <w:trHeight w:val="33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福利费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9.20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9.20 </w:t>
            </w:r>
          </w:p>
        </w:tc>
      </w:tr>
      <w:tr>
        <w:trPr>
          <w:gridBefore w:val="2"/>
          <w:wBefore w:w="212" w:type="dxa"/>
          <w:trHeight w:val="33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公务用车运行维护费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6.00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6.00 </w:t>
            </w:r>
          </w:p>
        </w:tc>
      </w:tr>
      <w:tr>
        <w:trPr>
          <w:gridBefore w:val="2"/>
          <w:wBefore w:w="212" w:type="dxa"/>
          <w:trHeight w:val="33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其他商品和服务支出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10.45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0.00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10.45 </w:t>
            </w:r>
          </w:p>
        </w:tc>
      </w:tr>
      <w:tr>
        <w:trPr>
          <w:gridBefore w:val="2"/>
          <w:wBefore w:w="212" w:type="dxa"/>
          <w:trHeight w:val="33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对个人和家庭的补助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 xml:space="preserve">36.12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 xml:space="preserve">36.12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 xml:space="preserve">0.00 </w:t>
            </w:r>
          </w:p>
        </w:tc>
      </w:tr>
      <w:tr>
        <w:trPr>
          <w:gridBefore w:val="2"/>
          <w:wBefore w:w="212" w:type="dxa"/>
          <w:trHeight w:val="33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离休费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2.50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2.50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0.00 </w:t>
            </w:r>
          </w:p>
        </w:tc>
      </w:tr>
      <w:tr>
        <w:trPr>
          <w:gridBefore w:val="2"/>
          <w:wBefore w:w="212" w:type="dxa"/>
          <w:trHeight w:val="33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医疗费补助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30.01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30.01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0.00 </w:t>
            </w:r>
          </w:p>
        </w:tc>
      </w:tr>
      <w:tr>
        <w:trPr>
          <w:gridBefore w:val="2"/>
          <w:wBefore w:w="212" w:type="dxa"/>
          <w:trHeight w:val="339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奖励金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3.61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3.61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 xml:space="preserve">0.00 </w:t>
            </w:r>
          </w:p>
        </w:tc>
      </w:tr>
      <w:tr>
        <w:trPr>
          <w:gridBefore w:val="2"/>
          <w:wBefore w:w="212" w:type="dxa"/>
          <w:trHeight w:val="436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rPr>
          <w:gridBefore w:val="2"/>
          <w:wBefore w:w="212" w:type="dxa"/>
          <w:trHeight w:val="436" w:hRule="atLeast"/>
        </w:trPr>
        <w:tc>
          <w:tcPr>
            <w:tcW w:w="79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6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338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45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 xml:space="preserve">888.95 </w:t>
            </w:r>
          </w:p>
        </w:tc>
        <w:tc>
          <w:tcPr>
            <w:tcW w:w="1793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 xml:space="preserve">821.30 </w:t>
            </w: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 xml:space="preserve">67.65 </w:t>
            </w:r>
          </w:p>
        </w:tc>
      </w:tr>
      <w:tr>
        <w:trPr>
          <w:gridBefore w:val="1"/>
          <w:gridAfter w:val="1"/>
          <w:wBefore w:w="9" w:type="dxa"/>
          <w:wAfter w:w="153" w:type="dxa"/>
          <w:trHeight w:val="442" w:hRule="atLeast"/>
        </w:trPr>
        <w:tc>
          <w:tcPr>
            <w:tcW w:w="9587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40" w:lineRule="exact"/>
              <w:outlineLvl w:val="1"/>
              <w:rPr>
                <w:rFonts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表</w:t>
            </w:r>
            <w:r>
              <w:rPr>
                <w:rFonts w:hint="eastAsia" w:ascii="仿宋_GB2312" w:hAnsi="宋体" w:eastAsia="仿宋_GB2312"/>
                <w:bCs/>
                <w:kern w:val="0"/>
                <w:szCs w:val="21"/>
                <w:lang w:eastAsia="zh-CN"/>
              </w:rPr>
              <w:t>七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rPr>
          <w:gridBefore w:val="1"/>
          <w:gridAfter w:val="1"/>
          <w:wBefore w:w="9" w:type="dxa"/>
          <w:wAfter w:w="153" w:type="dxa"/>
          <w:trHeight w:val="431" w:hRule="atLeast"/>
        </w:trPr>
        <w:tc>
          <w:tcPr>
            <w:tcW w:w="445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编制部门：昌吉州教育考试中心</w:t>
            </w:r>
          </w:p>
        </w:tc>
        <w:tc>
          <w:tcPr>
            <w:tcW w:w="9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4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1"/>
          <w:wAfter w:w="153" w:type="dxa"/>
          <w:trHeight w:val="692" w:hRule="atLeast"/>
        </w:trPr>
        <w:tc>
          <w:tcPr>
            <w:tcW w:w="1286" w:type="dxa"/>
            <w:gridSpan w:val="8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976" w:type="dxa"/>
            <w:gridSpan w:val="4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341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71" w:type="dxa"/>
            <w:gridSpan w:val="3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5" w:type="dxa"/>
            <w:gridSpan w:val="3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5" w:type="dxa"/>
            <w:gridSpan w:val="3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80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20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80" w:type="dxa"/>
            <w:gridSpan w:val="3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1"/>
          <w:wAfter w:w="153" w:type="dxa"/>
          <w:trHeight w:val="1578" w:hRule="atLeast"/>
        </w:trPr>
        <w:tc>
          <w:tcPr>
            <w:tcW w:w="48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8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976" w:type="dxa"/>
            <w:gridSpan w:val="4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341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gridSpan w:val="3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3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1"/>
          <w:wAfter w:w="153" w:type="dxa"/>
          <w:trHeight w:val="644" w:hRule="atLeast"/>
        </w:trPr>
        <w:tc>
          <w:tcPr>
            <w:tcW w:w="488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9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教育支出</w:t>
            </w:r>
          </w:p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120</w:t>
            </w:r>
          </w:p>
        </w:tc>
        <w:tc>
          <w:tcPr>
            <w:tcW w:w="57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120</w:t>
            </w: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1"/>
          <w:wAfter w:w="153" w:type="dxa"/>
          <w:trHeight w:val="644" w:hRule="atLeast"/>
        </w:trPr>
        <w:tc>
          <w:tcPr>
            <w:tcW w:w="48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205</w:t>
            </w:r>
          </w:p>
        </w:tc>
        <w:tc>
          <w:tcPr>
            <w:tcW w:w="39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02</w:t>
            </w:r>
          </w:p>
        </w:tc>
        <w:tc>
          <w:tcPr>
            <w:tcW w:w="40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普通教育</w:t>
            </w:r>
          </w:p>
        </w:tc>
        <w:tc>
          <w:tcPr>
            <w:tcW w:w="1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120</w:t>
            </w:r>
          </w:p>
        </w:tc>
        <w:tc>
          <w:tcPr>
            <w:tcW w:w="57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  <w:t>120</w:t>
            </w: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1"/>
          <w:wAfter w:w="153" w:type="dxa"/>
          <w:trHeight w:val="644" w:hRule="atLeast"/>
        </w:trPr>
        <w:tc>
          <w:tcPr>
            <w:tcW w:w="48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205</w:t>
            </w:r>
          </w:p>
        </w:tc>
        <w:tc>
          <w:tcPr>
            <w:tcW w:w="39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02</w:t>
            </w:r>
          </w:p>
        </w:tc>
        <w:tc>
          <w:tcPr>
            <w:tcW w:w="40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99</w:t>
            </w:r>
          </w:p>
        </w:tc>
        <w:tc>
          <w:tcPr>
            <w:tcW w:w="976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其他普通教育支出</w:t>
            </w:r>
          </w:p>
        </w:tc>
        <w:tc>
          <w:tcPr>
            <w:tcW w:w="1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教师继续教育培训经费</w:t>
            </w:r>
          </w:p>
        </w:tc>
        <w:tc>
          <w:tcPr>
            <w:tcW w:w="7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100</w:t>
            </w:r>
          </w:p>
        </w:tc>
        <w:tc>
          <w:tcPr>
            <w:tcW w:w="57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100</w:t>
            </w: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1"/>
          <w:wAfter w:w="153" w:type="dxa"/>
          <w:trHeight w:val="644" w:hRule="atLeast"/>
        </w:trPr>
        <w:tc>
          <w:tcPr>
            <w:tcW w:w="48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205</w:t>
            </w:r>
          </w:p>
        </w:tc>
        <w:tc>
          <w:tcPr>
            <w:tcW w:w="39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02</w:t>
            </w:r>
          </w:p>
        </w:tc>
        <w:tc>
          <w:tcPr>
            <w:tcW w:w="40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99</w:t>
            </w:r>
          </w:p>
        </w:tc>
        <w:tc>
          <w:tcPr>
            <w:tcW w:w="976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其他普通教育支出</w:t>
            </w:r>
          </w:p>
        </w:tc>
        <w:tc>
          <w:tcPr>
            <w:tcW w:w="1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教育教学研究经费</w:t>
            </w:r>
          </w:p>
        </w:tc>
        <w:tc>
          <w:tcPr>
            <w:tcW w:w="7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57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1"/>
          <w:wAfter w:w="153" w:type="dxa"/>
          <w:trHeight w:val="767" w:hRule="atLeast"/>
        </w:trPr>
        <w:tc>
          <w:tcPr>
            <w:tcW w:w="48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205</w:t>
            </w:r>
          </w:p>
        </w:tc>
        <w:tc>
          <w:tcPr>
            <w:tcW w:w="39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02</w:t>
            </w:r>
          </w:p>
        </w:tc>
        <w:tc>
          <w:tcPr>
            <w:tcW w:w="40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99</w:t>
            </w:r>
          </w:p>
        </w:tc>
        <w:tc>
          <w:tcPr>
            <w:tcW w:w="976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其他普通教育支出</w:t>
            </w:r>
          </w:p>
        </w:tc>
        <w:tc>
          <w:tcPr>
            <w:tcW w:w="1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教育信息化经费</w:t>
            </w:r>
          </w:p>
        </w:tc>
        <w:tc>
          <w:tcPr>
            <w:tcW w:w="7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57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1"/>
          <w:wAfter w:w="153" w:type="dxa"/>
          <w:trHeight w:val="644" w:hRule="atLeast"/>
        </w:trPr>
        <w:tc>
          <w:tcPr>
            <w:tcW w:w="48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1"/>
          <w:wAfter w:w="153" w:type="dxa"/>
          <w:trHeight w:val="644" w:hRule="atLeast"/>
        </w:trPr>
        <w:tc>
          <w:tcPr>
            <w:tcW w:w="48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1"/>
          <w:wAfter w:w="153" w:type="dxa"/>
          <w:trHeight w:val="644" w:hRule="atLeast"/>
        </w:trPr>
        <w:tc>
          <w:tcPr>
            <w:tcW w:w="48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1"/>
          <w:wAfter w:w="153" w:type="dxa"/>
          <w:trHeight w:val="644" w:hRule="atLeast"/>
        </w:trPr>
        <w:tc>
          <w:tcPr>
            <w:tcW w:w="48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1"/>
          <w:wAfter w:w="153" w:type="dxa"/>
          <w:trHeight w:val="644" w:hRule="atLeast"/>
        </w:trPr>
        <w:tc>
          <w:tcPr>
            <w:tcW w:w="48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1"/>
          <w:wAfter w:w="153" w:type="dxa"/>
          <w:trHeight w:val="644" w:hRule="atLeast"/>
        </w:trPr>
        <w:tc>
          <w:tcPr>
            <w:tcW w:w="48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1"/>
          <w:wAfter w:w="153" w:type="dxa"/>
          <w:trHeight w:val="644" w:hRule="atLeast"/>
        </w:trPr>
        <w:tc>
          <w:tcPr>
            <w:tcW w:w="48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1"/>
          <w:wAfter w:w="153" w:type="dxa"/>
          <w:trHeight w:val="665" w:hRule="atLeast"/>
        </w:trPr>
        <w:tc>
          <w:tcPr>
            <w:tcW w:w="48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120</w:t>
            </w:r>
          </w:p>
        </w:tc>
        <w:tc>
          <w:tcPr>
            <w:tcW w:w="571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120</w:t>
            </w: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440" w:lineRule="exact"/>
        <w:outlineLvl w:val="1"/>
        <w:rPr>
          <w:rFonts w:ascii="仿宋_GB2312" w:hAnsi="宋体" w:eastAsia="仿宋_GB2312"/>
          <w:bCs/>
          <w:kern w:val="0"/>
          <w:szCs w:val="21"/>
        </w:rPr>
      </w:pPr>
      <w:r>
        <w:rPr>
          <w:rFonts w:hint="eastAsia" w:ascii="仿宋_GB2312" w:hAnsi="宋体" w:eastAsia="仿宋_GB2312"/>
          <w:bCs/>
          <w:kern w:val="0"/>
          <w:szCs w:val="21"/>
        </w:rPr>
        <w:t>表</w:t>
      </w:r>
      <w:r>
        <w:rPr>
          <w:rFonts w:hint="eastAsia" w:ascii="仿宋_GB2312" w:hAnsi="宋体" w:eastAsia="仿宋_GB2312"/>
          <w:bCs/>
          <w:kern w:val="0"/>
          <w:szCs w:val="21"/>
          <w:lang w:eastAsia="zh-CN"/>
        </w:rPr>
        <w:t>八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 昌吉州教育考试中心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6.00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6.00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6.00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6.00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440" w:lineRule="exact"/>
        <w:outlineLvl w:val="1"/>
        <w:rPr>
          <w:rFonts w:hint="eastAsia" w:ascii="仿宋_GB2312" w:hAnsi="宋体" w:eastAsia="仿宋_GB2312"/>
          <w:bCs/>
          <w:kern w:val="0"/>
          <w:szCs w:val="21"/>
        </w:rPr>
      </w:pPr>
    </w:p>
    <w:p>
      <w:pPr>
        <w:widowControl/>
        <w:spacing w:line="440" w:lineRule="exact"/>
        <w:outlineLvl w:val="1"/>
        <w:rPr>
          <w:rFonts w:ascii="仿宋_GB2312" w:hAnsi="宋体" w:eastAsia="仿宋_GB2312"/>
          <w:bCs/>
          <w:kern w:val="0"/>
          <w:szCs w:val="21"/>
        </w:rPr>
      </w:pPr>
      <w:r>
        <w:rPr>
          <w:rFonts w:hint="eastAsia" w:ascii="仿宋_GB2312" w:hAnsi="宋体" w:eastAsia="仿宋_GB2312"/>
          <w:bCs/>
          <w:kern w:val="0"/>
          <w:szCs w:val="21"/>
        </w:rPr>
        <w:t>表</w:t>
      </w:r>
      <w:r>
        <w:rPr>
          <w:rFonts w:hint="eastAsia" w:ascii="仿宋_GB2312" w:hAnsi="宋体" w:eastAsia="仿宋_GB2312"/>
          <w:bCs/>
          <w:kern w:val="0"/>
          <w:szCs w:val="21"/>
          <w:lang w:eastAsia="zh-CN"/>
        </w:rPr>
        <w:t>九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编制部门：昌吉州教育考试中心                             单位：万元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sectPr>
          <w:footerReference r:id="rId4" w:type="default"/>
          <w:footerReference r:id="rId5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2022年昌吉州教育考试中心预算情况说明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昌吉州教育考试中心2022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按照全口径预算的原则，昌吉州教育考试中心2022年所有收入和支出均纳入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预算管理。收支总预算1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08.95万元。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收入预算包括：一般公共预算、财政专户（教育收费）。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昌吉州教育考试中心2022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昌吉州教育考试中心收入预算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1708.95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一般公共预1008.95万元，占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59.04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%，比上年预算增加101.16万元，增长11.14%，主要原因是：</w:t>
      </w:r>
      <w:r>
        <w:rPr>
          <w:rFonts w:hint="eastAsia" w:ascii="仿宋_GB2312" w:hAnsi="黑体" w:eastAsia="仿宋_GB2312"/>
          <w:sz w:val="32"/>
          <w:szCs w:val="32"/>
        </w:rPr>
        <w:t>教师继续教育培训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" w:hAnsi="仿宋" w:eastAsia="仿宋" w:cs="仿宋"/>
          <w:kern w:val="0"/>
          <w:sz w:val="32"/>
          <w:szCs w:val="32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财政专户管理（教育收费）资金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700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700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万元，增长100%，主要原因是工作任务调整，财政专户管理（教育收费）比上年预算增加。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昌吉州教育考试中心2022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昌吉州教育考试中心2022年支出预算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1708.95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基本支出888.95万元，占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52.02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%，比上年预算增加14.16万元，增长1.62%，主要原因是:调标增资，工资福利支出比上年预算增加。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820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万元，占52.18%，比上年预算增加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238.49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黑体" w:eastAsia="仿宋_GB2312"/>
          <w:sz w:val="32"/>
          <w:szCs w:val="32"/>
        </w:rPr>
        <w:t>教师继续教育培训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及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财政专户管理（教育收费）比上年预算增加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昌吉州教育考试中心2022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昌吉州教育考试中心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008.95万元。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收入全部为一般公共预算拨款，无政府性基金预算和国有资本经营预算拨款。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收入预算包括：一般公共预算拨款1008.95万元。</w:t>
      </w:r>
    </w:p>
    <w:p>
      <w:pPr>
        <w:spacing w:line="560" w:lineRule="exact"/>
        <w:ind w:firstLine="616" w:firstLineChars="200"/>
        <w:rPr>
          <w:rFonts w:ascii="仿宋_GB2312" w:hAnsi="宋体" w:eastAsia="仿宋" w:cs="宋体"/>
          <w:spacing w:val="-6"/>
          <w:kern w:val="0"/>
          <w:sz w:val="32"/>
          <w:szCs w:val="32"/>
          <w:highlight w:val="magenta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一般公共预算支出包括：教育支出1008.95万元，主要用于</w:t>
      </w:r>
      <w:r>
        <w:rPr>
          <w:rFonts w:hint="eastAsia" w:ascii="仿宋" w:hAnsi="仿宋" w:eastAsia="仿宋" w:cs="仿宋"/>
          <w:spacing w:val="-6"/>
          <w:kern w:val="0"/>
          <w:sz w:val="32"/>
          <w:szCs w:val="32"/>
          <w:highlight w:val="none"/>
        </w:rPr>
        <w:t>人员经费、公用经费及教育教学研究、教育信息化建设、中小学教师暑期继续教育培训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等项目支出。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昌吉州教育考试中心2022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教育考试中心2022年一般公共预算拨款合计1008.95万元，其中：基本支出888.95万元，比上年预算增加14.16万元，增长1.62%，主要原因是:调标增资，工资福利支出比上年预算增加。项目支出120万元，比上年预算增加87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263.64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主要原因是：</w:t>
      </w:r>
      <w:r>
        <w:rPr>
          <w:rFonts w:hint="eastAsia" w:ascii="仿宋_GB2312" w:hAnsi="黑体" w:eastAsia="仿宋_GB2312"/>
          <w:sz w:val="32"/>
          <w:szCs w:val="32"/>
        </w:rPr>
        <w:t>教师继续教育培训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" w:hAnsi="仿宋" w:eastAsia="仿宋" w:cs="仿宋"/>
          <w:kern w:val="0"/>
          <w:sz w:val="32"/>
          <w:szCs w:val="32"/>
        </w:rPr>
        <w:t>比上年预算增加。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教育支出1008.95万元，</w:t>
      </w:r>
      <w:r>
        <w:rPr>
          <w:rFonts w:hint="eastAsia" w:ascii="仿宋_GB2312" w:eastAsia="仿宋_GB2312"/>
          <w:sz w:val="32"/>
          <w:szCs w:val="32"/>
        </w:rPr>
        <w:t>占100%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教育支出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类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普通教育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款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其他普通教育支出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：2022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1008.95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282.98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预算全部列入此功能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分类科目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黑体" w:eastAsia="仿宋_GB2312"/>
          <w:sz w:val="32"/>
          <w:szCs w:val="32"/>
        </w:rPr>
        <w:t>教师继续教育培训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" w:hAnsi="仿宋" w:eastAsia="仿宋" w:cs="仿宋"/>
          <w:kern w:val="0"/>
          <w:sz w:val="32"/>
          <w:szCs w:val="32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昌吉州教育考试中心2022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昌吉州教育考试中心2022年一般公共预算基本支出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88.95万元，其中：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821.3万元，主要包括：基本工资、津贴补贴、奖金、绩效工资、机关事业单位基本养老保险缴费、职工基本医疗保险缴费、公务员医疗补助缴费、其他社会保障缴费、住房公积金、其他工资福利支出、离休费、医疗费补助、奖励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公用经费67.65万元，主要包括：办公费、邮电费、差旅费、维修（护）费、培训费、劳务费、工会经费、福利费、公务用车运行维护费、其他商品和服务支出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七、关于昌吉州教育考试中心2022年一般公共预算项目支出情况说明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（一）项目名称：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教师继续教育培训经费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设立的政策依据：教育法及相</w:t>
      </w:r>
      <w:r>
        <w:rPr>
          <w:rFonts w:hint="eastAsia" w:ascii="仿宋_GB2312" w:hAnsi="黑体" w:eastAsia="仿宋_GB2312"/>
          <w:sz w:val="32"/>
          <w:szCs w:val="32"/>
        </w:rPr>
        <w:t>关规定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100万元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：昌吉州教育考试中心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：其他普通教育支出100万元，主要用于 培训外请专家费78万元，组织培训22万元 。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：2022年1月-12月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（二）项目名称</w:t>
      </w:r>
      <w:r>
        <w:rPr>
          <w:rFonts w:hint="eastAsia" w:ascii="仿宋_GB2312" w:hAnsi="黑体" w:eastAsia="仿宋_GB2312"/>
          <w:sz w:val="32"/>
          <w:szCs w:val="32"/>
        </w:rPr>
        <w:t>：教育教学研究专项经费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：教育法及相关规定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：昌吉州教育考试中心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：其他普通教育支出10万元，主要用于教育学研究、学术研讨及相关评比评审3万元，小课题立项评审、结题评审2万元，学校视导、调研2万元，教学质量监测2万元，教研员能力提升培训1万元。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：2022年1月-12月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（三）项目名称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：教育信息化经费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：教育法及相关规定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：昌吉州教育考试中心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：其他普通教育支出10万元，主要用于</w:t>
      </w:r>
      <w:r>
        <w:rPr>
          <w:rFonts w:hint="eastAsia" w:ascii="仿宋" w:hAnsi="仿宋" w:eastAsia="仿宋" w:cs="仿宋"/>
          <w:sz w:val="32"/>
          <w:szCs w:val="32"/>
        </w:rPr>
        <w:t>云机房改造成本4万元，各项业务活动讲课费、评审费1万元，录播教室升级改造成本3万元，业务培训2万元</w:t>
      </w:r>
      <w:r>
        <w:rPr>
          <w:rFonts w:hint="eastAsia" w:ascii="仿宋_GB2312" w:hAnsi="黑体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：2022年1月-12月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八、关于昌吉州教育考试中心2022年一般公共预算“三公”经费预算情况说明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昌吉州教育考试中心2022年一般公共预算“三公”经费数为6万元，其中：因公出国（境）费0万元，公务用车购置0万元，公务用车运行费6万元，公务接待费0万元。</w:t>
      </w:r>
    </w:p>
    <w:p>
      <w:pPr>
        <w:spacing w:line="62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增加4万元，增长200%，其中：因公出国（境）费增加0万元，增长0%，</w:t>
      </w:r>
      <w:r>
        <w:rPr>
          <w:rFonts w:hint="eastAsia" w:ascii="仿宋" w:hAnsi="仿宋" w:eastAsia="仿宋" w:cs="仿宋"/>
          <w:kern w:val="0"/>
          <w:sz w:val="32"/>
          <w:szCs w:val="32"/>
        </w:rPr>
        <w:t>主要原因是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未</w:t>
      </w:r>
      <w:r>
        <w:rPr>
          <w:rFonts w:hint="eastAsia" w:ascii="仿宋" w:hAnsi="仿宋" w:eastAsia="仿宋" w:cs="仿宋"/>
          <w:kern w:val="0"/>
          <w:sz w:val="32"/>
          <w:szCs w:val="32"/>
        </w:rPr>
        <w:t>安排因公出国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（境）费预算；公务用车购置费增加0万元，增长0%，主要原因是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安排公务用车购置费预算；公务用车运行费增加4万元，增长200%，主要原因是工作任务调整，</w:t>
      </w:r>
      <w:r>
        <w:rPr>
          <w:rFonts w:hint="eastAsia" w:ascii="仿宋_GB2312" w:hAnsi="黑体" w:eastAsia="仿宋_GB2312"/>
          <w:sz w:val="32"/>
          <w:szCs w:val="32"/>
        </w:rPr>
        <w:t>教师继续教育培训及考试工作任务增加，公务用车运行费比上年预算增加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；公务接待费增加0万元，增长0%，主要原因是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安排公务接待费预算。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九、关于昌吉州教育考试中心2022年政府性基金预算拨款情况说明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昌吉州教育考试中心2022年没有使用政府性基金预算拨款安排的支出，政府性基金预算支出情况表为空表。</w:t>
      </w:r>
    </w:p>
    <w:p>
      <w:pPr>
        <w:widowControl w:val="0"/>
        <w:wordWrap/>
        <w:adjustRightInd/>
        <w:snapToGrid/>
        <w:spacing w:line="580" w:lineRule="exact"/>
        <w:ind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 w:val="0"/>
        <w:wordWrap/>
        <w:adjustRightInd/>
        <w:snapToGrid/>
        <w:spacing w:line="580" w:lineRule="exact"/>
        <w:ind w:firstLine="643" w:firstLineChars="200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 w:val="0"/>
        <w:wordWrap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2022年，昌吉州教育考试中心的机关运行经费财政拨款预算67.65万元，比上年预算减少3.13万元，下降4.42%。主要原因是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厉行节约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规范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公用经费定额标准，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机关运行经费比上年预算减少。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2022年，昌吉州教育考试中心政府采购预算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477.32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95.6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86.94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294.78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/>
          <w:sz w:val="32"/>
          <w:highlight w:val="none"/>
        </w:rPr>
        <w:t>2022年度本</w:t>
      </w:r>
      <w:r>
        <w:rPr>
          <w:rFonts w:hint="eastAsia" w:ascii="仿宋_GB2312" w:hAnsi="仿宋_GB2312" w:eastAsia="仿宋_GB2312"/>
          <w:sz w:val="32"/>
          <w:highlight w:val="none"/>
          <w:lang w:eastAsia="zh-CN"/>
        </w:rPr>
        <w:t>单位</w:t>
      </w:r>
      <w:r>
        <w:rPr>
          <w:rFonts w:hint="eastAsia" w:ascii="仿宋_GB2312" w:hAnsi="仿宋_GB2312" w:eastAsia="仿宋_GB2312"/>
          <w:sz w:val="32"/>
          <w:highlight w:val="none"/>
        </w:rPr>
        <w:t>面向中小企业预留政府采购项目预算金额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95.6</w:t>
      </w:r>
      <w:r>
        <w:rPr>
          <w:rFonts w:hint="eastAsia" w:ascii="仿宋_GB2312" w:hAnsi="仿宋_GB2312" w:eastAsia="仿宋_GB2312"/>
          <w:sz w:val="32"/>
          <w:highlight w:val="none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highlight w:val="none"/>
          <w:lang w:val="en-US" w:eastAsia="zh-CN"/>
        </w:rPr>
        <w:t>95.6</w:t>
      </w:r>
      <w:r>
        <w:rPr>
          <w:rFonts w:hint="eastAsia" w:ascii="仿宋_GB2312" w:hAnsi="仿宋_GB2312" w:eastAsia="仿宋_GB2312"/>
          <w:sz w:val="32"/>
          <w:highlight w:val="none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（三）国有资产占用使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截至2021年底，昌吉州教育考试中心占用使用国有资产总体情况为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2.车辆5，价值88万元；其中：一般公务用车5辆，价值88万元；执法执勤用车0辆，价值0万元；其他车辆0辆，价值0万元。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3.办公家具价值30.26万元。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4.其他资产价值407.44万元。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预算未安排购置车辆经费，安排购置50万元以上大型设备0台（套），单位价值100万元以上大型设备0台（套）。</w:t>
      </w:r>
    </w:p>
    <w:p>
      <w:pPr>
        <w:numPr>
          <w:ilvl w:val="0"/>
          <w:numId w:val="1"/>
        </w:numPr>
        <w:spacing w:line="56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预算绩效情况</w:t>
      </w:r>
    </w:p>
    <w:p>
      <w:pPr>
        <w:numPr>
          <w:numId w:val="0"/>
        </w:num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2022年度，本年度实行绩效管理的一般公共预算项目   3个，涉及预算金额120万元。具体情况见下表:</w:t>
      </w:r>
    </w:p>
    <w:p>
      <w:pPr>
        <w:pStyle w:val="2"/>
        <w:rPr>
          <w:rFonts w:hint="eastAsia"/>
        </w:rPr>
      </w:pPr>
      <w:bookmarkStart w:id="0" w:name="_GoBack"/>
      <w:bookmarkEnd w:id="0"/>
    </w:p>
    <w:p>
      <w:pPr>
        <w:pStyle w:val="2"/>
      </w:pPr>
    </w:p>
    <w:tbl>
      <w:tblPr>
        <w:tblW w:w="9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9"/>
        <w:gridCol w:w="28"/>
        <w:gridCol w:w="791"/>
        <w:gridCol w:w="56"/>
        <w:gridCol w:w="764"/>
        <w:gridCol w:w="83"/>
        <w:gridCol w:w="736"/>
        <w:gridCol w:w="111"/>
        <w:gridCol w:w="1530"/>
        <w:gridCol w:w="164"/>
        <w:gridCol w:w="655"/>
        <w:gridCol w:w="192"/>
        <w:gridCol w:w="628"/>
        <w:gridCol w:w="220"/>
        <w:gridCol w:w="599"/>
        <w:gridCol w:w="247"/>
        <w:gridCol w:w="1397"/>
        <w:gridCol w:w="300"/>
      </w:tblGrid>
      <w:tr>
        <w:trPr>
          <w:gridAfter w:val="1"/>
          <w:wAfter w:w="300" w:type="dxa"/>
          <w:trHeight w:val="475" w:hRule="atLeast"/>
        </w:trPr>
        <w:tc>
          <w:tcPr>
            <w:tcW w:w="902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rPr>
          <w:gridAfter w:val="1"/>
          <w:wAfter w:w="300" w:type="dxa"/>
          <w:trHeight w:val="330" w:hRule="atLeast"/>
        </w:trPr>
        <w:tc>
          <w:tcPr>
            <w:tcW w:w="9020" w:type="dxa"/>
            <w:gridSpan w:val="17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(2022年)</w:t>
            </w:r>
          </w:p>
        </w:tc>
      </w:tr>
      <w:tr>
        <w:trPr>
          <w:gridAfter w:val="1"/>
          <w:wAfter w:w="300" w:type="dxa"/>
          <w:trHeight w:val="362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0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昌吉回族自治州教育考试中心</w:t>
            </w: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2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教师继续教育培训经费</w:t>
            </w:r>
          </w:p>
        </w:tc>
      </w:tr>
      <w:tr>
        <w:trPr>
          <w:gridAfter w:val="1"/>
          <w:wAfter w:w="300" w:type="dxa"/>
          <w:trHeight w:val="675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6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6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6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rPr>
          <w:gridAfter w:val="1"/>
          <w:wAfter w:w="300" w:type="dxa"/>
          <w:trHeight w:val="1610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8201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目标1：统筹各级各类教师培训项目和资源，落实县级教育行政部门主体责任，综合运用多种培训形式，不断提升教师国家通用语言文字教学水平和学科专业水平。目标2：加快推进自治州“双减”工作向纵深发展，提升教师的课堂教学实施能力，提高“双减”背景下我州教师教育教学研究力，培养一支优质的“双减”工作研究与实施的教师队伍。目标3：建设全州“政治过硬、师德高尚、业务精湛、育人有方”的高素质教师队伍，提高全州教师整体素质。</w:t>
            </w:r>
          </w:p>
        </w:tc>
      </w:tr>
      <w:tr>
        <w:trPr>
          <w:gridAfter w:val="1"/>
          <w:wAfter w:w="300" w:type="dxa"/>
          <w:trHeight w:val="362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91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4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gridAfter w:val="1"/>
          <w:wAfter w:w="300" w:type="dxa"/>
          <w:trHeight w:val="531" w:hRule="atLeast"/>
        </w:trPr>
        <w:tc>
          <w:tcPr>
            <w:tcW w:w="8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81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91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组织教学能力培训次数</w:t>
            </w:r>
          </w:p>
        </w:tc>
        <w:tc>
          <w:tcPr>
            <w:tcW w:w="24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&gt;=1次</w:t>
            </w:r>
          </w:p>
        </w:tc>
      </w:tr>
      <w:tr>
        <w:trPr>
          <w:gridAfter w:val="1"/>
          <w:wAfter w:w="300" w:type="dxa"/>
          <w:trHeight w:val="531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1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邀请培训专家人数</w:t>
            </w:r>
          </w:p>
        </w:tc>
        <w:tc>
          <w:tcPr>
            <w:tcW w:w="24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&gt;=480人</w:t>
            </w:r>
          </w:p>
        </w:tc>
      </w:tr>
      <w:tr>
        <w:trPr>
          <w:gridAfter w:val="1"/>
          <w:wAfter w:w="300" w:type="dxa"/>
          <w:trHeight w:val="531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1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组织培训人数</w:t>
            </w:r>
          </w:p>
        </w:tc>
        <w:tc>
          <w:tcPr>
            <w:tcW w:w="24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&gt;=2000人</w:t>
            </w:r>
          </w:p>
        </w:tc>
      </w:tr>
      <w:tr>
        <w:trPr>
          <w:gridAfter w:val="1"/>
          <w:wAfter w:w="300" w:type="dxa"/>
          <w:trHeight w:val="531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1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组织培训天数</w:t>
            </w:r>
          </w:p>
        </w:tc>
        <w:tc>
          <w:tcPr>
            <w:tcW w:w="24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&gt;=12天</w:t>
            </w:r>
          </w:p>
        </w:tc>
      </w:tr>
      <w:tr>
        <w:trPr>
          <w:gridAfter w:val="1"/>
          <w:wAfter w:w="300" w:type="dxa"/>
          <w:trHeight w:val="531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1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培训班级开设数量</w:t>
            </w:r>
          </w:p>
        </w:tc>
        <w:tc>
          <w:tcPr>
            <w:tcW w:w="24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&gt;=15个</w:t>
            </w:r>
          </w:p>
        </w:tc>
      </w:tr>
      <w:tr>
        <w:trPr>
          <w:gridAfter w:val="1"/>
          <w:wAfter w:w="300" w:type="dxa"/>
          <w:trHeight w:val="531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1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教师培训合格率</w:t>
            </w:r>
          </w:p>
        </w:tc>
        <w:tc>
          <w:tcPr>
            <w:tcW w:w="24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100%</w:t>
            </w:r>
          </w:p>
        </w:tc>
      </w:tr>
      <w:tr>
        <w:trPr>
          <w:gridAfter w:val="1"/>
          <w:wAfter w:w="300" w:type="dxa"/>
          <w:trHeight w:val="531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91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培训按期完成率</w:t>
            </w:r>
          </w:p>
        </w:tc>
        <w:tc>
          <w:tcPr>
            <w:tcW w:w="24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100%</w:t>
            </w:r>
          </w:p>
        </w:tc>
      </w:tr>
      <w:tr>
        <w:trPr>
          <w:gridAfter w:val="1"/>
          <w:wAfter w:w="300" w:type="dxa"/>
          <w:trHeight w:val="531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1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组织培训截止期限</w:t>
            </w:r>
          </w:p>
        </w:tc>
        <w:tc>
          <w:tcPr>
            <w:tcW w:w="24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2022年10月31日</w:t>
            </w:r>
          </w:p>
        </w:tc>
      </w:tr>
      <w:tr>
        <w:trPr>
          <w:gridAfter w:val="1"/>
          <w:wAfter w:w="300" w:type="dxa"/>
          <w:trHeight w:val="531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91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培训外请专家费</w:t>
            </w:r>
          </w:p>
        </w:tc>
        <w:tc>
          <w:tcPr>
            <w:tcW w:w="24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&lt;=78万元</w:t>
            </w:r>
          </w:p>
        </w:tc>
      </w:tr>
      <w:tr>
        <w:trPr>
          <w:gridAfter w:val="1"/>
          <w:wAfter w:w="300" w:type="dxa"/>
          <w:trHeight w:val="531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91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组织培训成本</w:t>
            </w:r>
          </w:p>
        </w:tc>
        <w:tc>
          <w:tcPr>
            <w:tcW w:w="24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&lt;=22万元</w:t>
            </w:r>
          </w:p>
        </w:tc>
      </w:tr>
      <w:tr>
        <w:trPr>
          <w:gridAfter w:val="1"/>
          <w:wAfter w:w="300" w:type="dxa"/>
          <w:trHeight w:val="675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91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提高全州教师整体教学能力</w:t>
            </w:r>
          </w:p>
        </w:tc>
        <w:tc>
          <w:tcPr>
            <w:tcW w:w="24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提高</w:t>
            </w:r>
          </w:p>
        </w:tc>
      </w:tr>
      <w:tr>
        <w:trPr>
          <w:gridAfter w:val="1"/>
          <w:wAfter w:w="300" w:type="dxa"/>
          <w:trHeight w:val="675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491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gridAfter w:val="1"/>
          <w:wAfter w:w="300" w:type="dxa"/>
          <w:trHeight w:val="675" w:hRule="atLeast"/>
        </w:trPr>
        <w:tc>
          <w:tcPr>
            <w:tcW w:w="8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491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建设全州“政治过硬、师德高尚、业务精湛、育人有方”的高素质教师队伍。</w:t>
            </w:r>
          </w:p>
        </w:tc>
        <w:tc>
          <w:tcPr>
            <w:tcW w:w="24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提高</w:t>
            </w:r>
          </w:p>
        </w:tc>
      </w:tr>
      <w:tr>
        <w:trPr>
          <w:gridAfter w:val="1"/>
          <w:wAfter w:w="300" w:type="dxa"/>
          <w:trHeight w:val="669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8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91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培训学员满意度</w:t>
            </w:r>
          </w:p>
        </w:tc>
        <w:tc>
          <w:tcPr>
            <w:tcW w:w="24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&gt;=95%</w:t>
            </w:r>
          </w:p>
        </w:tc>
      </w:tr>
      <w:tr>
        <w:trPr>
          <w:trHeight w:val="90" w:hRule="atLeast"/>
        </w:trPr>
        <w:tc>
          <w:tcPr>
            <w:tcW w:w="9320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rPr>
          <w:trHeight w:val="661" w:hRule="atLeast"/>
        </w:trPr>
        <w:tc>
          <w:tcPr>
            <w:tcW w:w="9320" w:type="dxa"/>
            <w:gridSpan w:val="18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(2022年)</w:t>
            </w:r>
          </w:p>
        </w:tc>
      </w:tr>
      <w:tr>
        <w:trPr>
          <w:trHeight w:val="348" w:hRule="atLeast"/>
        </w:trPr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23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昌吉回族自治州教育考试中心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39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教育教学研究经费</w:t>
            </w:r>
          </w:p>
        </w:tc>
      </w:tr>
      <w:tr>
        <w:trPr>
          <w:trHeight w:val="671" w:hRule="atLeast"/>
        </w:trPr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6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6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6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rPr>
          <w:trHeight w:val="1317" w:hRule="atLeast"/>
        </w:trPr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8473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目标1：积极开展好各类教育教学研究活动，做好视导评价等专项调研，做好各级课题评审，做好质量监测相关工作。目标2：逐步打造“教、学、评、研、训”五位一体的教育教学研究体系，促进全州基础教育内涵发展，品质发展。目标3：培育推广教育教学成果，推动教育教学创新发展，搭建区域教研、网络教研、综合教研、主题教研、项目教研等各种发展平台，促进教师专业发展。</w:t>
            </w:r>
          </w:p>
        </w:tc>
      </w:tr>
      <w:tr>
        <w:trPr>
          <w:trHeight w:val="348" w:hRule="atLeast"/>
        </w:trPr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50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trHeight w:val="348" w:hRule="atLeast"/>
        </w:trPr>
        <w:tc>
          <w:tcPr>
            <w:tcW w:w="84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84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50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教科研活动及学术研讨数次</w:t>
            </w:r>
          </w:p>
        </w:tc>
        <w:tc>
          <w:tcPr>
            <w:tcW w:w="2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&gt;=9次</w:t>
            </w:r>
          </w:p>
        </w:tc>
      </w:tr>
      <w:tr>
        <w:trPr>
          <w:trHeight w:val="348" w:hRule="atLeast"/>
        </w:trPr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0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小课题立项评审、结题评审次数</w:t>
            </w:r>
          </w:p>
        </w:tc>
        <w:tc>
          <w:tcPr>
            <w:tcW w:w="2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&gt;=4次</w:t>
            </w:r>
          </w:p>
        </w:tc>
      </w:tr>
      <w:tr>
        <w:trPr>
          <w:trHeight w:val="348" w:hRule="atLeast"/>
        </w:trPr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0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学校视导、调研次数</w:t>
            </w:r>
          </w:p>
        </w:tc>
        <w:tc>
          <w:tcPr>
            <w:tcW w:w="2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&gt;=5次</w:t>
            </w:r>
          </w:p>
        </w:tc>
      </w:tr>
      <w:tr>
        <w:trPr>
          <w:trHeight w:val="348" w:hRule="atLeast"/>
        </w:trPr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0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教学质量监测次数</w:t>
            </w:r>
          </w:p>
        </w:tc>
        <w:tc>
          <w:tcPr>
            <w:tcW w:w="2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&gt;=6次</w:t>
            </w:r>
          </w:p>
        </w:tc>
      </w:tr>
      <w:tr>
        <w:trPr>
          <w:trHeight w:val="348" w:hRule="atLeast"/>
        </w:trPr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0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教研员能力提升培训次数</w:t>
            </w:r>
          </w:p>
        </w:tc>
        <w:tc>
          <w:tcPr>
            <w:tcW w:w="2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&gt;=1次</w:t>
            </w:r>
          </w:p>
        </w:tc>
      </w:tr>
      <w:tr>
        <w:trPr>
          <w:trHeight w:val="348" w:hRule="atLeast"/>
        </w:trPr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0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组织教研员培训人数</w:t>
            </w:r>
          </w:p>
        </w:tc>
        <w:tc>
          <w:tcPr>
            <w:tcW w:w="2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&gt;=30人</w:t>
            </w:r>
          </w:p>
        </w:tc>
      </w:tr>
      <w:tr>
        <w:trPr>
          <w:trHeight w:val="348" w:hRule="atLeast"/>
        </w:trPr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50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培训覆盖率</w:t>
            </w:r>
          </w:p>
        </w:tc>
        <w:tc>
          <w:tcPr>
            <w:tcW w:w="2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&gt;=95%</w:t>
            </w:r>
          </w:p>
        </w:tc>
      </w:tr>
      <w:tr>
        <w:trPr>
          <w:trHeight w:val="348" w:hRule="atLeast"/>
        </w:trPr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0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教学质量监测覆盖率</w:t>
            </w:r>
          </w:p>
        </w:tc>
        <w:tc>
          <w:tcPr>
            <w:tcW w:w="2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&gt;=95%</w:t>
            </w:r>
          </w:p>
        </w:tc>
      </w:tr>
      <w:tr>
        <w:trPr>
          <w:trHeight w:val="348" w:hRule="atLeast"/>
        </w:trPr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50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课题评审及时率</w:t>
            </w:r>
          </w:p>
        </w:tc>
        <w:tc>
          <w:tcPr>
            <w:tcW w:w="2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>
        <w:trPr>
          <w:trHeight w:val="348" w:hRule="atLeast"/>
        </w:trPr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0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各项任务完成时限</w:t>
            </w:r>
          </w:p>
        </w:tc>
        <w:tc>
          <w:tcPr>
            <w:tcW w:w="2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2022年12月31日</w:t>
            </w:r>
          </w:p>
        </w:tc>
      </w:tr>
      <w:tr>
        <w:trPr>
          <w:trHeight w:val="348" w:hRule="atLeast"/>
        </w:trPr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50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教育学研究、学术研讨及相关评比评审成本</w:t>
            </w:r>
          </w:p>
        </w:tc>
        <w:tc>
          <w:tcPr>
            <w:tcW w:w="2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&lt;=3万元</w:t>
            </w:r>
          </w:p>
        </w:tc>
      </w:tr>
      <w:tr>
        <w:trPr>
          <w:trHeight w:val="348" w:hRule="atLeast"/>
        </w:trPr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0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小课题立项评审、结题评审成本</w:t>
            </w:r>
          </w:p>
        </w:tc>
        <w:tc>
          <w:tcPr>
            <w:tcW w:w="2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&lt;=2万元</w:t>
            </w:r>
          </w:p>
        </w:tc>
      </w:tr>
      <w:tr>
        <w:trPr>
          <w:trHeight w:val="348" w:hRule="atLeast"/>
        </w:trPr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0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学校视导、调研成本</w:t>
            </w:r>
          </w:p>
        </w:tc>
        <w:tc>
          <w:tcPr>
            <w:tcW w:w="2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&lt;=2万元</w:t>
            </w:r>
          </w:p>
        </w:tc>
      </w:tr>
      <w:tr>
        <w:trPr>
          <w:trHeight w:val="348" w:hRule="atLeast"/>
        </w:trPr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0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教学质量监测成本</w:t>
            </w:r>
          </w:p>
        </w:tc>
        <w:tc>
          <w:tcPr>
            <w:tcW w:w="2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&lt;=2万元</w:t>
            </w:r>
          </w:p>
        </w:tc>
      </w:tr>
      <w:tr>
        <w:trPr>
          <w:trHeight w:val="348" w:hRule="atLeast"/>
        </w:trPr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0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教研员能力提升培训成本</w:t>
            </w:r>
          </w:p>
        </w:tc>
        <w:tc>
          <w:tcPr>
            <w:tcW w:w="2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&lt;=1万元</w:t>
            </w:r>
          </w:p>
        </w:tc>
      </w:tr>
      <w:tr>
        <w:trPr>
          <w:trHeight w:val="671" w:hRule="atLeast"/>
        </w:trPr>
        <w:tc>
          <w:tcPr>
            <w:tcW w:w="84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50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671" w:hRule="atLeast"/>
        </w:trPr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50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改善我州教育教育教学质量，促进区域教育的均衡发展</w:t>
            </w:r>
          </w:p>
        </w:tc>
        <w:tc>
          <w:tcPr>
            <w:tcW w:w="2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改善</w:t>
            </w:r>
          </w:p>
        </w:tc>
      </w:tr>
      <w:tr>
        <w:trPr>
          <w:trHeight w:val="671" w:hRule="atLeast"/>
        </w:trPr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50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671" w:hRule="atLeast"/>
        </w:trPr>
        <w:tc>
          <w:tcPr>
            <w:tcW w:w="8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50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持续提高我州教育教学水平</w:t>
            </w:r>
          </w:p>
        </w:tc>
        <w:tc>
          <w:tcPr>
            <w:tcW w:w="2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持续</w:t>
            </w:r>
          </w:p>
        </w:tc>
      </w:tr>
      <w:tr>
        <w:trPr>
          <w:trHeight w:val="681" w:hRule="atLeast"/>
        </w:trPr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8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508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教研员满意度</w:t>
            </w:r>
          </w:p>
        </w:tc>
        <w:tc>
          <w:tcPr>
            <w:tcW w:w="25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</w:tbl>
    <w:p>
      <w:pPr>
        <w:pStyle w:val="2"/>
        <w:ind w:firstLine="0" w:firstLineChars="0"/>
        <w:rPr>
          <w:rFonts w:ascii="仿宋_GB2312" w:hAnsi="宋体" w:cs="宋体"/>
          <w:sz w:val="32"/>
          <w:szCs w:val="32"/>
        </w:rPr>
      </w:pPr>
    </w:p>
    <w:tbl>
      <w:tblPr>
        <w:tblW w:w="90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6"/>
        <w:gridCol w:w="816"/>
        <w:gridCol w:w="819"/>
        <w:gridCol w:w="816"/>
        <w:gridCol w:w="1639"/>
        <w:gridCol w:w="816"/>
        <w:gridCol w:w="817"/>
        <w:gridCol w:w="818"/>
        <w:gridCol w:w="1643"/>
      </w:tblGrid>
      <w:tr>
        <w:trPr>
          <w:trHeight w:val="720" w:hRule="atLeast"/>
        </w:trPr>
        <w:tc>
          <w:tcPr>
            <w:tcW w:w="900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rPr>
          <w:trHeight w:val="720" w:hRule="atLeast"/>
        </w:trPr>
        <w:tc>
          <w:tcPr>
            <w:tcW w:w="900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(2022年)</w:t>
            </w:r>
          </w:p>
        </w:tc>
      </w:tr>
      <w:tr>
        <w:trPr>
          <w:trHeight w:val="379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0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昌吉回族自治州教育考试中心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2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教育信息化经费</w:t>
            </w:r>
          </w:p>
        </w:tc>
      </w:tr>
      <w:tr>
        <w:trPr>
          <w:trHeight w:val="731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rPr>
          <w:trHeight w:val="731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818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目标1：扎实有效推进教育信息化发展，为大力推进我州教育信息化建设和条件装备工作；目标2：提高信息技术和条件装备在我州中小学校教学质量中的支撑作用，促进区域教育的均衡发展而积极努力发展。</w:t>
            </w:r>
          </w:p>
        </w:tc>
      </w:tr>
      <w:tr>
        <w:trPr>
          <w:trHeight w:val="379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9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trHeight w:val="379" w:hRule="atLeast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9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云机房系统升级改造</w:t>
            </w:r>
          </w:p>
        </w:tc>
        <w:tc>
          <w:tcPr>
            <w:tcW w:w="2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&gt;=1批</w:t>
            </w:r>
          </w:p>
        </w:tc>
      </w:tr>
      <w:tr>
        <w:trPr>
          <w:trHeight w:val="379" w:hRule="atLeast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教学活动讲课次数</w:t>
            </w:r>
          </w:p>
        </w:tc>
        <w:tc>
          <w:tcPr>
            <w:tcW w:w="2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&gt;=4次</w:t>
            </w:r>
          </w:p>
        </w:tc>
      </w:tr>
      <w:tr>
        <w:trPr>
          <w:trHeight w:val="379" w:hRule="atLeast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进行录播教室升级改造</w:t>
            </w:r>
          </w:p>
        </w:tc>
        <w:tc>
          <w:tcPr>
            <w:tcW w:w="2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&gt;=1批</w:t>
            </w:r>
          </w:p>
        </w:tc>
      </w:tr>
      <w:tr>
        <w:trPr>
          <w:trHeight w:val="379" w:hRule="atLeast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业务培训次数</w:t>
            </w:r>
          </w:p>
        </w:tc>
        <w:tc>
          <w:tcPr>
            <w:tcW w:w="2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&gt;=5次</w:t>
            </w:r>
          </w:p>
        </w:tc>
      </w:tr>
      <w:tr>
        <w:trPr>
          <w:trHeight w:val="379" w:hRule="atLeast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信息化建设项目评审次数</w:t>
            </w:r>
          </w:p>
        </w:tc>
        <w:tc>
          <w:tcPr>
            <w:tcW w:w="2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&gt;=6次</w:t>
            </w:r>
          </w:p>
        </w:tc>
      </w:tr>
      <w:tr>
        <w:trPr>
          <w:trHeight w:val="379" w:hRule="atLeast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采购计算机数量</w:t>
            </w:r>
          </w:p>
        </w:tc>
        <w:tc>
          <w:tcPr>
            <w:tcW w:w="2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=10台</w:t>
            </w:r>
          </w:p>
        </w:tc>
      </w:tr>
      <w:tr>
        <w:trPr>
          <w:trHeight w:val="379" w:hRule="atLeast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9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设备验收合格率</w:t>
            </w:r>
          </w:p>
        </w:tc>
        <w:tc>
          <w:tcPr>
            <w:tcW w:w="2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100%</w:t>
            </w:r>
          </w:p>
        </w:tc>
      </w:tr>
      <w:tr>
        <w:trPr>
          <w:trHeight w:val="379" w:hRule="atLeast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政府采购率</w:t>
            </w:r>
          </w:p>
        </w:tc>
        <w:tc>
          <w:tcPr>
            <w:tcW w:w="2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>
        <w:trPr>
          <w:trHeight w:val="379" w:hRule="atLeast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9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政府采购及时率</w:t>
            </w:r>
          </w:p>
        </w:tc>
        <w:tc>
          <w:tcPr>
            <w:tcW w:w="2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>
        <w:trPr>
          <w:trHeight w:val="379" w:hRule="atLeast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设备采购完成时间（月）</w:t>
            </w:r>
          </w:p>
        </w:tc>
        <w:tc>
          <w:tcPr>
            <w:tcW w:w="2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=12</w:t>
            </w:r>
          </w:p>
        </w:tc>
      </w:tr>
      <w:tr>
        <w:trPr>
          <w:trHeight w:val="379" w:hRule="atLeast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各项任务完成时限</w:t>
            </w:r>
          </w:p>
        </w:tc>
        <w:tc>
          <w:tcPr>
            <w:tcW w:w="2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2022年12月31日</w:t>
            </w:r>
          </w:p>
        </w:tc>
      </w:tr>
      <w:tr>
        <w:trPr>
          <w:trHeight w:val="379" w:hRule="atLeast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9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云机房改造成本</w:t>
            </w:r>
          </w:p>
        </w:tc>
        <w:tc>
          <w:tcPr>
            <w:tcW w:w="2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&lt;=4万元</w:t>
            </w:r>
          </w:p>
        </w:tc>
      </w:tr>
      <w:tr>
        <w:trPr>
          <w:trHeight w:val="379" w:hRule="atLeast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各项业务活动讲课费、评审费</w:t>
            </w:r>
          </w:p>
        </w:tc>
        <w:tc>
          <w:tcPr>
            <w:tcW w:w="2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&lt;=1万元</w:t>
            </w:r>
          </w:p>
        </w:tc>
      </w:tr>
      <w:tr>
        <w:trPr>
          <w:trHeight w:val="379" w:hRule="atLeast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录播教室升级改造成本</w:t>
            </w:r>
          </w:p>
        </w:tc>
        <w:tc>
          <w:tcPr>
            <w:tcW w:w="2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&lt;=3万元</w:t>
            </w:r>
          </w:p>
        </w:tc>
      </w:tr>
      <w:tr>
        <w:trPr>
          <w:trHeight w:val="379" w:hRule="atLeast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9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业务培训成本</w:t>
            </w:r>
          </w:p>
        </w:tc>
        <w:tc>
          <w:tcPr>
            <w:tcW w:w="2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&lt;=2万元</w:t>
            </w:r>
          </w:p>
        </w:tc>
      </w:tr>
      <w:tr>
        <w:trPr>
          <w:trHeight w:val="731" w:hRule="atLeast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49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设备利用率</w:t>
            </w:r>
          </w:p>
        </w:tc>
        <w:tc>
          <w:tcPr>
            <w:tcW w:w="2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100%</w:t>
            </w:r>
          </w:p>
        </w:tc>
      </w:tr>
      <w:tr>
        <w:trPr>
          <w:trHeight w:val="731" w:hRule="atLeast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9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改善我州教育信息化水平，促进区域教育的均衡发展</w:t>
            </w:r>
          </w:p>
        </w:tc>
        <w:tc>
          <w:tcPr>
            <w:tcW w:w="2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改善</w:t>
            </w:r>
          </w:p>
        </w:tc>
      </w:tr>
      <w:tr>
        <w:trPr>
          <w:trHeight w:val="731" w:hRule="atLeast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49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731" w:hRule="atLeast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49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持续提高我州教育信息化水平</w:t>
            </w:r>
          </w:p>
        </w:tc>
        <w:tc>
          <w:tcPr>
            <w:tcW w:w="2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持续</w:t>
            </w:r>
          </w:p>
        </w:tc>
      </w:tr>
      <w:tr>
        <w:trPr>
          <w:trHeight w:val="742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9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教师满意度</w:t>
            </w:r>
          </w:p>
        </w:tc>
        <w:tc>
          <w:tcPr>
            <w:tcW w:w="2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</w:tbl>
    <w:p>
      <w:pPr>
        <w:widowControl/>
        <w:spacing w:line="480" w:lineRule="exact"/>
        <w:ind w:firstLine="321" w:firstLineChars="1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</w:t>
      </w: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昌吉州教育考试中心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6" w:type="default"/>
      <w:pgSz w:w="11906" w:h="16838"/>
      <w:pgMar w:top="1440" w:right="1800" w:bottom="1440" w:left="1800" w:header="851" w:footer="992" w:gutter="0"/>
      <w:pgNumType w:start="23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  <w:r>
      <w:rPr>
        <w:rFonts w:ascii="Times New Roman" w:hAnsi="Times New Roman" w:eastAsia="黑体" w:cs="Times New Roman"/>
        <w:kern w:val="2"/>
        <w:sz w:val="18"/>
        <w:szCs w:val="18"/>
        <w:lang w:val="en-US" w:eastAsia="zh-CN" w:bidi="ar-SA"/>
      </w:rPr>
      <w:pict>
        <v:shape id="_x0000_s4097" o:spid="_x0000_s1025" type="#_x0000_t202" style="position:absolute;left:0;margin-top:0pt;height:144pt;width:144pt;mso-position-horizontal:outside;mso-position-horizontal-relative:margin;mso-wrap-style:none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pStyle w:val="3"/>
                  <w:rPr>
                    <w:rFonts w:eastAsia="宋体"/>
                  </w:rPr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13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  <w:r>
      <w:rPr>
        <w:rFonts w:ascii="Times New Roman" w:hAnsi="Times New Roman" w:eastAsia="黑体" w:cs="Times New Roman"/>
        <w:kern w:val="2"/>
        <w:sz w:val="18"/>
        <w:szCs w:val="18"/>
        <w:lang w:val="en-US" w:eastAsia="zh-CN" w:bidi="ar-SA"/>
      </w:rPr>
      <w:pict>
        <v:shape id="_x0000_s4099" o:spid="_x0000_s1026" type="#_x0000_t202" style="position:absolute;left:0;margin-top:0pt;height:144pt;width:144pt;mso-position-horizontal:outside;mso-position-horizontal-relative:margin;mso-wrap-style:none;rotation:0f;z-index:251659264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pStyle w:val="3"/>
                  <w:rPr>
                    <w:rFonts w:eastAsia="宋体"/>
                  </w:rPr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24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">
    <w:nsid w:val="0000000A"/>
    <w:multiLevelType w:val="singleLevel"/>
    <w:tmpl w:val="0000000A"/>
    <w:lvl w:ilvl="0" w:tentative="1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next w:val="2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</w:style>
  <w:style w:type="paragraph" w:customStyle="1" w:styleId="2">
    <w:name w:val="Body Text Indent 2"/>
    <w:basedOn w:val="1"/>
    <w:pPr>
      <w:widowControl/>
      <w:overflowPunct w:val="0"/>
      <w:autoSpaceDE w:val="0"/>
      <w:autoSpaceDN w:val="0"/>
      <w:adjustRightInd w:val="0"/>
      <w:spacing w:line="560" w:lineRule="exact"/>
      <w:ind w:firstLine="630" w:firstLineChars="210"/>
      <w:textAlignment w:val="bottom"/>
    </w:pPr>
    <w:rPr>
      <w:rFonts w:eastAsia="仿宋_GB2312"/>
      <w:kern w:val="0"/>
      <w:sz w:val="30"/>
      <w:szCs w:val="20"/>
    </w:rPr>
  </w:style>
  <w:style w:type="paragraph" w:styleId="3">
    <w:name w:val="footer"/>
    <w:basedOn w:val="1"/>
    <w:link w:val="4"/>
    <w:pPr>
      <w:tabs>
        <w:tab w:val="center" w:pos="4153"/>
        <w:tab w:val="right" w:pos="8306"/>
      </w:tabs>
      <w:snapToGrid w:val="0"/>
      <w:jc w:val="left"/>
    </w:pPr>
    <w:rPr>
      <w:rFonts w:eastAsia="黑体"/>
      <w:sz w:val="18"/>
      <w:szCs w:val="18"/>
    </w:rPr>
  </w:style>
  <w:style w:type="character" w:customStyle="1" w:styleId="4">
    <w:name w:val="页脚 Char"/>
    <w:link w:val="3"/>
    <w:semiHidden/>
    <w:rPr>
      <w:rFonts w:eastAsia="黑体"/>
      <w:sz w:val="18"/>
      <w:szCs w:val="18"/>
    </w:rPr>
  </w:style>
  <w:style w:type="paragraph" w:styleId="5">
    <w:name w:val="header"/>
    <w:basedOn w:val="1"/>
    <w:link w:val="6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5"/>
    <w:semiHidden/>
    <w:rPr>
      <w:sz w:val="18"/>
      <w:szCs w:val="18"/>
    </w:rPr>
  </w:style>
  <w:style w:type="character" w:customStyle="1" w:styleId="7">
    <w:name w:val="正文文本缩进 3 Char"/>
    <w:link w:val="8"/>
    <w:semiHidden/>
    <w:rPr>
      <w:rFonts w:eastAsia="仿宋_GB2312"/>
      <w:sz w:val="32"/>
      <w:szCs w:val="24"/>
    </w:rPr>
  </w:style>
  <w:style w:type="paragraph" w:customStyle="1" w:styleId="8">
    <w:name w:val="Body Text Indent 3"/>
    <w:basedOn w:val="1"/>
    <w:link w:val="7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szCs w:val="24"/>
    </w:rPr>
  </w:style>
  <w:style w:type="paragraph" w:customStyle="1" w:styleId="10">
    <w:name w:val="批注框文本 Char Char"/>
    <w:basedOn w:val="1"/>
    <w:link w:val="11"/>
    <w:rPr>
      <w:sz w:val="18"/>
      <w:szCs w:val="18"/>
    </w:rPr>
  </w:style>
  <w:style w:type="character" w:customStyle="1" w:styleId="11">
    <w:name w:val="批注框文本 Char Char Char Char"/>
    <w:link w:val="10"/>
    <w:semiHidden/>
    <w:rPr>
      <w:sz w:val="18"/>
      <w:szCs w:val="18"/>
    </w:rPr>
  </w:style>
  <w:style w:type="character" w:customStyle="1" w:styleId="12">
    <w:name w:val="页眉 Char1"/>
    <w:basedOn w:val="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3 Char1"/>
    <w:basedOn w:val="9"/>
    <w:rPr>
      <w:rFonts w:ascii="Times New Roman" w:hAnsi="Times New Roman" w:eastAsia="宋体" w:cs="Times New Roman"/>
      <w:sz w:val="16"/>
      <w:szCs w:val="16"/>
    </w:rPr>
  </w:style>
  <w:style w:type="character" w:customStyle="1" w:styleId="14">
    <w:name w:val="页脚 Char1"/>
    <w:basedOn w:val="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1"/>
    <w:basedOn w:val="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24</Pages>
  <Words>7391</Words>
  <Characters>8691</Characters>
  <Lines>83</Lines>
  <Paragraphs>23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2021-02-08T10:26:00Z</dcterms:created>
  <dc:creator>闫超</dc:creator>
  <cp:lastPrinted>2021-04-13T11:35:00Z</cp:lastPrinted>
  <dcterms:modified xsi:type="dcterms:W3CDTF">2022-04-19T17:25:11Z</dcterms:modified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  <property fmtid="{D5CDD505-2E9C-101B-9397-08002B2CF9AE}" pid="3" name="ICV">
    <vt:lpwstr>9746FCF39C624847BDC7DA2CF86DA9C3</vt:lpwstr>
  </property>
</Properties>
</file>