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p>
    <w:p>
      <w:pPr>
        <w:widowControl/>
        <w:spacing w:before="100" w:beforeAutospacing="1" w:after="100" w:afterAutospacing="1"/>
        <w:jc w:val="center"/>
        <w:outlineLvl w:val="1"/>
        <w:rPr>
          <w:rFonts w:ascii="方正小标宋_GBK" w:hAnsi="宋体" w:eastAsia="方正小标宋_GBK"/>
          <w:kern w:val="0"/>
          <w:sz w:val="44"/>
          <w:szCs w:val="44"/>
        </w:rPr>
      </w:pPr>
    </w:p>
    <w:p>
      <w:pPr>
        <w:pStyle w:val="2"/>
        <w:rPr>
          <w:rFonts w:ascii="方正小标宋_GBK" w:hAnsi="宋体" w:eastAsia="方正小标宋_GBK"/>
          <w:kern w:val="0"/>
          <w:sz w:val="44"/>
          <w:szCs w:val="44"/>
        </w:rPr>
      </w:pPr>
    </w:p>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昌吉州教育局2022年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昌吉州教育局单位</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kern w:val="0"/>
          <w:sz w:val="32"/>
          <w:szCs w:val="32"/>
          <w:lang w:eastAsia="zh-CN"/>
        </w:rPr>
        <w:t>单位</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宋体" w:eastAsia="仿宋_GB2312"/>
          <w:kern w:val="0"/>
          <w:sz w:val="32"/>
          <w:szCs w:val="32"/>
          <w:lang w:eastAsia="zh-CN"/>
        </w:rPr>
        <w:t>单位</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宋体" w:eastAsia="仿宋_GB2312"/>
          <w:kern w:val="0"/>
          <w:sz w:val="32"/>
          <w:szCs w:val="32"/>
          <w:lang w:eastAsia="zh-CN"/>
        </w:rPr>
        <w:t>单位</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昌吉州教育局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昌吉州教育局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昌吉州教育局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昌吉州教育局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sectPr>
          <w:footerReference r:id="rId4" w:type="default"/>
          <w:pgSz w:w="11906" w:h="16838"/>
          <w:pgMar w:top="2098" w:right="1418" w:bottom="1928" w:left="1588" w:header="851" w:footer="992" w:gutter="0"/>
          <w:pgNumType w:fmt="numberInDash" w:start="53"/>
          <w:cols w:space="720" w:num="1"/>
          <w:docGrid w:linePitch="312"/>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昌吉州教育局单位</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昌吉州教育局贯彻落实党中央关于数育工作的方针政策和决策部署以及自治区、自治州党委工作要求，在履行职责过程中坚持和加强党对教育工作的集中统一领导。主要职责是：</w:t>
      </w:r>
    </w:p>
    <w:p>
      <w:pPr>
        <w:spacing w:line="560" w:lineRule="exact"/>
        <w:rPr>
          <w:rFonts w:ascii="仿宋" w:hAnsi="仿宋" w:eastAsia="仿宋" w:cs="仿宋"/>
          <w:sz w:val="32"/>
          <w:szCs w:val="32"/>
        </w:rPr>
      </w:pPr>
      <w:r>
        <w:rPr>
          <w:rFonts w:hint="eastAsia" w:ascii="仿宋" w:hAnsi="仿宋" w:eastAsia="仿宋" w:cs="仿宋"/>
          <w:bCs/>
          <w:kern w:val="0"/>
          <w:sz w:val="32"/>
          <w:szCs w:val="32"/>
        </w:rPr>
        <w:t xml:space="preserve">   </w:t>
      </w:r>
      <w:r>
        <w:rPr>
          <w:rFonts w:hint="eastAsia" w:ascii="仿宋" w:hAnsi="仿宋" w:eastAsia="仿宋" w:cs="仿宋"/>
          <w:sz w:val="32"/>
          <w:szCs w:val="32"/>
        </w:rPr>
        <w:t>（一）全面贯彻执行党和国家、自治区有关教育工作的方针政策、法律法规，拟订自治州教育改革与发展的政策措施和规划并监督实施。</w:t>
      </w:r>
      <w:r>
        <w:rPr>
          <w:rFonts w:hint="eastAsia" w:ascii="仿宋" w:hAnsi="仿宋" w:eastAsia="仿宋" w:cs="仿宋"/>
          <w:sz w:val="32"/>
          <w:szCs w:val="32"/>
        </w:rPr>
        <w:br/>
      </w:r>
      <w:r>
        <w:rPr>
          <w:rFonts w:hint="eastAsia" w:ascii="仿宋" w:hAnsi="仿宋" w:eastAsia="仿宋" w:cs="仿宋"/>
          <w:sz w:val="32"/>
          <w:szCs w:val="32"/>
        </w:rPr>
        <w:t xml:space="preserve">    (二)负责全州各级各类教育的统筹规划和综合协调，制定教育事业发晨规划和计划，确定教育事业发展重点、规模、速度和步聚，指导协调各县(市)、各部门贯彻落实；负责中小学德育和普法依法治理工作；指导各级各类学校的教育教学改草。</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参与管理州本级教育经费预决算的管理，会同有关部门筹措教育经费，制定教育基建投资规划、方案；负责自治州各级各类学校的校舍建设及各项配套设施建设；指导、协调家庭经济困难学生资助管理工作；负责教育基本信息的统计、分析和发布；统筹推进教育扶贫工作。</w:t>
      </w:r>
      <w:r>
        <w:rPr>
          <w:rFonts w:hint="eastAsia" w:ascii="仿宋" w:hAnsi="仿宋" w:eastAsia="仿宋" w:cs="仿宋"/>
          <w:sz w:val="32"/>
          <w:szCs w:val="32"/>
        </w:rPr>
        <w:br/>
      </w:r>
      <w:r>
        <w:rPr>
          <w:rFonts w:hint="eastAsia" w:ascii="仿宋" w:hAnsi="仿宋" w:eastAsia="仿宋" w:cs="仿宋"/>
          <w:sz w:val="32"/>
          <w:szCs w:val="32"/>
        </w:rPr>
        <w:t xml:space="preserve">    (四)指导各级各类学校的体育卫生艺术教育、劳动实践教育和科学教育，协助有关部门做好学校国防教育和军训工作。</w:t>
      </w:r>
      <w:r>
        <w:rPr>
          <w:rFonts w:hint="eastAsia" w:ascii="仿宋" w:hAnsi="仿宋" w:eastAsia="仿宋" w:cs="仿宋"/>
          <w:sz w:val="32"/>
          <w:szCs w:val="32"/>
        </w:rPr>
        <w:br/>
      </w:r>
      <w:r>
        <w:rPr>
          <w:rFonts w:hint="eastAsia" w:ascii="仿宋" w:hAnsi="仿宋" w:eastAsia="仿宋" w:cs="仿宋"/>
          <w:sz w:val="32"/>
          <w:szCs w:val="32"/>
        </w:rPr>
        <w:t xml:space="preserve">    (五)指导教育系统单位、各级各类学校的安全稳定和政治保卫工作；负责制定自治州学校安全工作考核目标，建立安全目标责任制和事故责任追究制，负责平安校园建设，督促检查、指导学校安全工作；负责应急协调和维稳措施的督促落实工作。</w:t>
      </w:r>
      <w:r>
        <w:rPr>
          <w:rFonts w:hint="eastAsia" w:ascii="仿宋" w:hAnsi="仿宋" w:eastAsia="仿宋" w:cs="仿宋"/>
          <w:sz w:val="32"/>
          <w:szCs w:val="32"/>
        </w:rPr>
        <w:br/>
      </w:r>
      <w:r>
        <w:rPr>
          <w:rFonts w:hint="eastAsia" w:ascii="仿宋" w:hAnsi="仿宋" w:eastAsia="仿宋" w:cs="仿宋"/>
          <w:sz w:val="32"/>
          <w:szCs w:val="32"/>
        </w:rPr>
        <w:t xml:space="preserve">    (六)负责义务教育的宏观指导和协调，推进义务教育优质均衡发展，促进育公平；综合管理公州普通高中教育、学前教育、特殊教育、职业教育、成人教育和民办教育等工作，积极推广国家通用语言文字教学；负责各级各类学校教材及中小学教辅材料的征订、使用和监督管理；指导协调各县(市)各部门的有关教育工作。</w:t>
      </w:r>
      <w:r>
        <w:rPr>
          <w:rFonts w:hint="eastAsia" w:ascii="仿宋" w:hAnsi="仿宋" w:eastAsia="仿宋" w:cs="仿宋"/>
          <w:sz w:val="32"/>
          <w:szCs w:val="32"/>
        </w:rPr>
        <w:br/>
      </w:r>
      <w:r>
        <w:rPr>
          <w:rFonts w:hint="eastAsia" w:ascii="仿宋" w:hAnsi="仿宋" w:eastAsia="仿宋" w:cs="仿宋"/>
          <w:sz w:val="32"/>
          <w:szCs w:val="32"/>
        </w:rPr>
        <w:t xml:space="preserve">    (七)统筹指导职业教育发展改革工作，负责学科、专业建设；参与拟订高职院校、中等职业学校毕业生就业政策措施，指导开展就业创业工作。</w:t>
      </w:r>
      <w:r>
        <w:rPr>
          <w:rFonts w:hint="eastAsia" w:ascii="仿宋" w:hAnsi="仿宋" w:eastAsia="仿宋" w:cs="仿宋"/>
          <w:sz w:val="32"/>
          <w:szCs w:val="32"/>
        </w:rPr>
        <w:br/>
      </w:r>
      <w:r>
        <w:rPr>
          <w:rFonts w:hint="eastAsia" w:ascii="仿宋" w:hAnsi="仿宋" w:eastAsia="仿宋" w:cs="仿宋"/>
          <w:sz w:val="32"/>
          <w:szCs w:val="32"/>
        </w:rPr>
        <w:t xml:space="preserve">    (八)负责教育系统人才队伍建设，会同自治州党委组织部，负责自治州直属中小学领导班子、中层于部及后各干部选拔使用和管理工作；负责教师培养培训规划和组织实施工作；负责教育系统教师招聘、专业技术职务评聘、教师继续教育和教师资格认定工作；负责具有师资格的大中专毕业生就业指导工作。</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(九)负责自治州内地高中班、区内初中班的协调、宣传、组织统考、协助招生等工作；协助办班省市和学校做好内地新疆高中班、区内初中班学生的教育和管理工作。</w:t>
      </w:r>
      <w:r>
        <w:rPr>
          <w:rFonts w:hint="eastAsia" w:ascii="仿宋" w:hAnsi="仿宋" w:eastAsia="仿宋" w:cs="仿宋"/>
          <w:sz w:val="32"/>
          <w:szCs w:val="32"/>
        </w:rPr>
        <w:br/>
      </w:r>
      <w:r>
        <w:rPr>
          <w:rFonts w:hint="eastAsia" w:ascii="仿宋" w:hAnsi="仿宋" w:eastAsia="仿宋" w:cs="仿宋"/>
          <w:sz w:val="32"/>
          <w:szCs w:val="32"/>
        </w:rPr>
        <w:t xml:space="preserve">    (十)归ロ管理全州学历教育及其考试工作，统筹管理各级各类招生计划并组织实施。</w:t>
      </w:r>
      <w:r>
        <w:rPr>
          <w:rFonts w:hint="eastAsia" w:ascii="仿宋" w:hAnsi="仿宋" w:eastAsia="仿宋" w:cs="仿宋"/>
          <w:sz w:val="32"/>
          <w:szCs w:val="32"/>
        </w:rPr>
        <w:br/>
      </w:r>
      <w:r>
        <w:rPr>
          <w:rFonts w:hint="eastAsia" w:ascii="仿宋" w:hAnsi="仿宋" w:eastAsia="仿宋" w:cs="仿宋"/>
          <w:sz w:val="32"/>
          <w:szCs w:val="32"/>
        </w:rPr>
        <w:t xml:space="preserve">    (十ー)指导教育体制和办学体制改革工作。</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(十ニ)归ロ管理教育系统对外交流合作、出国留学和来昌留学工作。</w:t>
      </w:r>
      <w:r>
        <w:rPr>
          <w:rFonts w:hint="eastAsia" w:ascii="仿宋" w:hAnsi="仿宋" w:eastAsia="仿宋" w:cs="仿宋"/>
          <w:sz w:val="32"/>
          <w:szCs w:val="32"/>
        </w:rPr>
        <w:br/>
      </w:r>
      <w:r>
        <w:rPr>
          <w:rFonts w:hint="eastAsia" w:ascii="仿宋" w:hAnsi="仿宋" w:eastAsia="仿宋" w:cs="仿宋"/>
          <w:sz w:val="32"/>
          <w:szCs w:val="32"/>
        </w:rPr>
        <w:t xml:space="preserve">    (十三)指导教育系统教育教学研究及教育信息化工作。</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十四)负责国家通用语言文字的宣传规划、规范推广和普及应用等工作；负责民族语言文字规范化、标准化、信息化工作；负责民族语言文字监测、研究、科研和文化保护工作；承担民族语言文字翻译专业人才规划和培养培训工作。</w:t>
      </w:r>
    </w:p>
    <w:p>
      <w:pPr>
        <w:spacing w:line="560" w:lineRule="exact"/>
        <w:ind w:firstLine="640" w:firstLineChars="200"/>
        <w:rPr>
          <w:rFonts w:ascii="仿宋_GB2312" w:hAnsi="宋体" w:eastAsia="仿宋_GB2312" w:cs="宋体"/>
          <w:bCs/>
          <w:kern w:val="0"/>
          <w:sz w:val="32"/>
          <w:szCs w:val="32"/>
        </w:rPr>
      </w:pPr>
      <w:r>
        <w:rPr>
          <w:rFonts w:hint="eastAsia" w:ascii="仿宋" w:hAnsi="仿宋" w:eastAsia="仿宋" w:cs="仿宋"/>
          <w:sz w:val="32"/>
          <w:szCs w:val="32"/>
        </w:rPr>
        <w:t>(十五)承担自治州人民政府教育督导委员会的具体工作，制定自治州教育督导计划和评估方案，并进行指导、监督、检查和评估；负责对教育发展状况和教育质量开展评估、监测；负责自治州直属中小学绩效考核工作。</w:t>
      </w:r>
      <w:r>
        <w:rPr>
          <w:rFonts w:hint="eastAsia" w:ascii="仿宋" w:hAnsi="仿宋" w:eastAsia="仿宋" w:cs="仿宋"/>
          <w:sz w:val="32"/>
          <w:szCs w:val="32"/>
        </w:rPr>
        <w:br/>
      </w:r>
      <w:r>
        <w:rPr>
          <w:rFonts w:hint="eastAsia" w:ascii="仿宋" w:hAnsi="仿宋" w:eastAsia="仿宋" w:cs="仿宋"/>
          <w:sz w:val="32"/>
          <w:szCs w:val="32"/>
        </w:rPr>
        <w:t xml:space="preserve">    (十六)完成自治州党委、自治州人民政府交办的其他任务。</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60" w:lineRule="exact"/>
        <w:ind w:firstLine="640" w:firstLineChars="200"/>
        <w:jc w:val="left"/>
        <w:rPr>
          <w:rFonts w:ascii="仿宋" w:hAnsi="仿宋" w:eastAsia="仿宋" w:cs="宋体"/>
          <w:kern w:val="0"/>
          <w:sz w:val="32"/>
          <w:szCs w:val="32"/>
        </w:rPr>
      </w:pPr>
      <w:r>
        <w:rPr>
          <w:rFonts w:hint="eastAsia" w:ascii="仿宋" w:hAnsi="仿宋" w:eastAsia="仿宋" w:cs="宋体"/>
          <w:bCs/>
          <w:kern w:val="0"/>
          <w:sz w:val="32"/>
          <w:szCs w:val="32"/>
        </w:rPr>
        <w:t>昌吉州教育局无下属预算单位，下设15个</w:t>
      </w:r>
      <w:r>
        <w:rPr>
          <w:rFonts w:hint="eastAsia" w:ascii="仿宋" w:hAnsi="仿宋" w:eastAsia="仿宋" w:cs="宋体"/>
          <w:bCs/>
          <w:kern w:val="0"/>
          <w:sz w:val="32"/>
          <w:szCs w:val="32"/>
          <w:lang w:eastAsia="zh-CN"/>
        </w:rPr>
        <w:t>科</w:t>
      </w:r>
      <w:r>
        <w:rPr>
          <w:rFonts w:hint="eastAsia" w:ascii="仿宋" w:hAnsi="仿宋" w:eastAsia="仿宋" w:cs="宋体"/>
          <w:bCs/>
          <w:kern w:val="0"/>
          <w:sz w:val="32"/>
          <w:szCs w:val="32"/>
        </w:rPr>
        <w:t>室，分别是：办公室（政策法规科）、组织人事科、基础教育科、成人职业教育科（语委）、思想政治教育科、安全管理科、教师工作科、州人民政府教育督导室、州民办教育和内地新疆学生指导中心、州学生资助中心、州教育评估中心、州教育财务审计中心、州学前教育工作中心、州教育安全服务中心、州语言文字普及推广中心。</w:t>
      </w:r>
    </w:p>
    <w:p>
      <w:pPr>
        <w:widowControl/>
        <w:spacing w:line="560" w:lineRule="exact"/>
        <w:ind w:firstLine="640" w:firstLineChars="200"/>
        <w:jc w:val="left"/>
        <w:rPr>
          <w:rFonts w:hint="eastAsia" w:ascii="仿宋_GB2312" w:hAnsi="宋体" w:eastAsia="仿宋_GB2312" w:cs="宋体"/>
          <w:b/>
          <w:kern w:val="0"/>
          <w:sz w:val="32"/>
          <w:szCs w:val="32"/>
        </w:rPr>
      </w:pPr>
      <w:r>
        <w:rPr>
          <w:rFonts w:hint="eastAsia" w:ascii="仿宋" w:hAnsi="仿宋" w:eastAsia="仿宋" w:cs="宋体"/>
          <w:kern w:val="0"/>
          <w:sz w:val="32"/>
          <w:szCs w:val="32"/>
        </w:rPr>
        <w:t>州教育局编制数62</w:t>
      </w:r>
      <w:r>
        <w:rPr>
          <w:rFonts w:hint="eastAsia" w:ascii="仿宋" w:hAnsi="仿宋" w:eastAsia="仿宋" w:cs="宋体"/>
          <w:kern w:val="0"/>
          <w:sz w:val="32"/>
          <w:szCs w:val="32"/>
          <w:lang w:eastAsia="zh-CN"/>
        </w:rPr>
        <w:t>个</w:t>
      </w:r>
      <w:r>
        <w:rPr>
          <w:rFonts w:hint="eastAsia" w:ascii="仿宋" w:hAnsi="仿宋" w:eastAsia="仿宋" w:cs="宋体"/>
          <w:kern w:val="0"/>
          <w:sz w:val="32"/>
          <w:szCs w:val="32"/>
        </w:rPr>
        <w:t>，实有人数</w:t>
      </w:r>
      <w:r>
        <w:rPr>
          <w:rFonts w:hint="eastAsia" w:ascii="仿宋" w:hAnsi="仿宋" w:eastAsia="仿宋" w:cs="宋体"/>
          <w:kern w:val="0"/>
          <w:sz w:val="32"/>
          <w:szCs w:val="32"/>
          <w:lang w:val="en-US" w:eastAsia="zh-CN"/>
        </w:rPr>
        <w:t>117</w:t>
      </w:r>
      <w:r>
        <w:rPr>
          <w:rFonts w:hint="eastAsia" w:ascii="仿宋" w:hAnsi="仿宋" w:eastAsia="仿宋" w:cs="宋体"/>
          <w:kern w:val="0"/>
          <w:sz w:val="32"/>
          <w:szCs w:val="32"/>
        </w:rPr>
        <w:t>人，其中：在职</w:t>
      </w:r>
      <w:r>
        <w:rPr>
          <w:rFonts w:hint="eastAsia" w:ascii="仿宋" w:hAnsi="仿宋" w:eastAsia="仿宋" w:cs="宋体"/>
          <w:kern w:val="0"/>
          <w:sz w:val="32"/>
          <w:szCs w:val="32"/>
          <w:lang w:val="en-US" w:eastAsia="zh-CN"/>
        </w:rPr>
        <w:t>57</w:t>
      </w:r>
      <w:r>
        <w:rPr>
          <w:rFonts w:hint="eastAsia" w:ascii="仿宋" w:hAnsi="仿宋" w:eastAsia="仿宋" w:cs="宋体"/>
          <w:kern w:val="0"/>
          <w:sz w:val="32"/>
          <w:szCs w:val="32"/>
        </w:rPr>
        <w:t>人，增加</w:t>
      </w: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人；退休</w:t>
      </w:r>
      <w:r>
        <w:rPr>
          <w:rFonts w:hint="eastAsia" w:ascii="仿宋" w:hAnsi="仿宋" w:eastAsia="仿宋" w:cs="宋体"/>
          <w:kern w:val="0"/>
          <w:sz w:val="32"/>
          <w:szCs w:val="32"/>
          <w:lang w:val="en-US" w:eastAsia="zh-CN"/>
        </w:rPr>
        <w:t>59</w:t>
      </w:r>
      <w:r>
        <w:rPr>
          <w:rFonts w:hint="eastAsia" w:ascii="仿宋" w:hAnsi="仿宋" w:eastAsia="仿宋" w:cs="宋体"/>
          <w:kern w:val="0"/>
          <w:sz w:val="32"/>
          <w:szCs w:val="32"/>
        </w:rPr>
        <w:t>人，</w:t>
      </w:r>
      <w:r>
        <w:rPr>
          <w:rFonts w:hint="eastAsia" w:ascii="仿宋" w:hAnsi="仿宋" w:eastAsia="仿宋" w:cs="宋体"/>
          <w:kern w:val="0"/>
          <w:sz w:val="32"/>
          <w:szCs w:val="32"/>
          <w:lang w:val="en-US" w:eastAsia="zh-CN"/>
        </w:rPr>
        <w:t>减少3人</w:t>
      </w:r>
      <w:r>
        <w:rPr>
          <w:rFonts w:hint="eastAsia" w:ascii="仿宋" w:hAnsi="仿宋" w:eastAsia="仿宋" w:cs="宋体"/>
          <w:kern w:val="0"/>
          <w:sz w:val="32"/>
          <w:szCs w:val="32"/>
        </w:rPr>
        <w:t>；离休1人，减少0人。</w:t>
      </w: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lang w:val="en-US" w:eastAsia="zh-CN"/>
        </w:rPr>
        <w:t xml:space="preserve"> </w:t>
      </w: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部门</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部门</w:t>
      </w:r>
      <w:r>
        <w:rPr>
          <w:rFonts w:hint="eastAsia" w:ascii="仿宋_GB2312" w:hAnsi="宋体" w:eastAsia="仿宋_GB2312"/>
          <w:kern w:val="0"/>
          <w:sz w:val="24"/>
        </w:rPr>
        <w:t>：</w:t>
      </w:r>
      <w:r>
        <w:rPr>
          <w:rFonts w:hint="eastAsia" w:ascii="仿宋_GB2312" w:hAnsi="宋体" w:eastAsia="仿宋_GB2312"/>
          <w:kern w:val="0"/>
          <w:sz w:val="24"/>
          <w:lang w:val="en-US" w:eastAsia="zh-CN"/>
        </w:rPr>
        <w:t>昌吉州教育局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1303.77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1303.77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1309.77</w:t>
            </w: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1309.77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1309.77</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昌吉州教育局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5"/>
        <w:gridCol w:w="450"/>
        <w:gridCol w:w="420"/>
        <w:gridCol w:w="1971"/>
        <w:gridCol w:w="1018"/>
        <w:gridCol w:w="941"/>
        <w:gridCol w:w="705"/>
        <w:gridCol w:w="765"/>
        <w:gridCol w:w="864"/>
        <w:gridCol w:w="660"/>
        <w:gridCol w:w="708"/>
        <w:gridCol w:w="684"/>
      </w:tblGrid>
      <w:tr>
        <w:trPr>
          <w:trHeight w:val="510" w:hRule="atLeast"/>
        </w:trPr>
        <w:tc>
          <w:tcPr>
            <w:tcW w:w="14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7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4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86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rPr>
          <w:trHeight w:val="1660" w:hRule="atLeast"/>
        </w:trPr>
        <w:tc>
          <w:tcPr>
            <w:tcW w:w="55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7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4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rPr>
          <w:trHeight w:val="35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205</w:t>
            </w:r>
          </w:p>
        </w:tc>
        <w:tc>
          <w:tcPr>
            <w:tcW w:w="4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p>
        </w:tc>
        <w:tc>
          <w:tcPr>
            <w:tcW w:w="42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p>
        </w:tc>
        <w:tc>
          <w:tcPr>
            <w:tcW w:w="197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教育支出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1309.77</w:t>
            </w:r>
          </w:p>
        </w:tc>
        <w:tc>
          <w:tcPr>
            <w:tcW w:w="941"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1303.77</w:t>
            </w:r>
          </w:p>
        </w:tc>
        <w:tc>
          <w:tcPr>
            <w:tcW w:w="705"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val="0"/>
                <w:bCs w:val="0"/>
                <w:color w:val="000000"/>
                <w:kern w:val="0"/>
                <w:sz w:val="20"/>
                <w:szCs w:val="20"/>
              </w:rPr>
            </w:pPr>
          </w:p>
        </w:tc>
        <w:tc>
          <w:tcPr>
            <w:tcW w:w="765"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w:t>
            </w: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val="0"/>
                <w:bCs w:val="0"/>
                <w:color w:val="000000"/>
                <w:kern w:val="0"/>
                <w:sz w:val="20"/>
                <w:szCs w:val="20"/>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p>
        </w:tc>
      </w:tr>
      <w:tr>
        <w:trPr>
          <w:trHeight w:val="46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205</w:t>
            </w:r>
          </w:p>
        </w:tc>
        <w:tc>
          <w:tcPr>
            <w:tcW w:w="4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01</w:t>
            </w:r>
          </w:p>
        </w:tc>
        <w:tc>
          <w:tcPr>
            <w:tcW w:w="42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p>
        </w:tc>
        <w:tc>
          <w:tcPr>
            <w:tcW w:w="197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教育管理事务</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1309.77</w:t>
            </w:r>
          </w:p>
        </w:tc>
        <w:tc>
          <w:tcPr>
            <w:tcW w:w="941"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1303.77</w:t>
            </w:r>
          </w:p>
        </w:tc>
        <w:tc>
          <w:tcPr>
            <w:tcW w:w="705"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val="0"/>
                <w:bCs w:val="0"/>
                <w:color w:val="000000"/>
                <w:kern w:val="0"/>
                <w:sz w:val="20"/>
                <w:szCs w:val="20"/>
              </w:rPr>
            </w:pPr>
          </w:p>
        </w:tc>
        <w:tc>
          <w:tcPr>
            <w:tcW w:w="765"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w:t>
            </w: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val="0"/>
                <w:bCs w:val="0"/>
                <w:color w:val="000000"/>
                <w:kern w:val="0"/>
                <w:sz w:val="20"/>
                <w:szCs w:val="20"/>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p>
        </w:tc>
      </w:tr>
      <w:tr>
        <w:trPr>
          <w:trHeight w:val="405" w:hRule="atLeast"/>
        </w:trPr>
        <w:tc>
          <w:tcPr>
            <w:tcW w:w="555"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205</w:t>
            </w:r>
          </w:p>
        </w:tc>
        <w:tc>
          <w:tcPr>
            <w:tcW w:w="4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01</w:t>
            </w:r>
          </w:p>
        </w:tc>
        <w:tc>
          <w:tcPr>
            <w:tcW w:w="42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01</w:t>
            </w:r>
          </w:p>
        </w:tc>
        <w:tc>
          <w:tcPr>
            <w:tcW w:w="197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行政运行</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999.77</w:t>
            </w:r>
          </w:p>
        </w:tc>
        <w:tc>
          <w:tcPr>
            <w:tcW w:w="941"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999.77</w:t>
            </w:r>
          </w:p>
        </w:tc>
        <w:tc>
          <w:tcPr>
            <w:tcW w:w="705"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val="0"/>
                <w:bCs w:val="0"/>
                <w:color w:val="000000"/>
                <w:kern w:val="0"/>
                <w:sz w:val="20"/>
                <w:szCs w:val="20"/>
              </w:rPr>
            </w:pPr>
          </w:p>
        </w:tc>
        <w:tc>
          <w:tcPr>
            <w:tcW w:w="765"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default" w:ascii="宋体" w:hAnsi="宋体" w:eastAsia="宋体" w:cs="宋体"/>
                <w:b w:val="0"/>
                <w:bCs w:val="0"/>
                <w:color w:val="000000"/>
                <w:kern w:val="0"/>
                <w:sz w:val="20"/>
                <w:szCs w:val="20"/>
                <w:lang w:val="en-US" w:eastAsia="zh-CN"/>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val="0"/>
                <w:bCs w:val="0"/>
                <w:color w:val="000000"/>
                <w:kern w:val="0"/>
                <w:sz w:val="20"/>
                <w:szCs w:val="20"/>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205</w:t>
            </w:r>
          </w:p>
        </w:tc>
        <w:tc>
          <w:tcPr>
            <w:tcW w:w="45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01</w:t>
            </w:r>
          </w:p>
        </w:tc>
        <w:tc>
          <w:tcPr>
            <w:tcW w:w="42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02</w:t>
            </w:r>
          </w:p>
        </w:tc>
        <w:tc>
          <w:tcPr>
            <w:tcW w:w="1971"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310</w:t>
            </w:r>
          </w:p>
        </w:tc>
        <w:tc>
          <w:tcPr>
            <w:tcW w:w="94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304</w:t>
            </w:r>
          </w:p>
        </w:tc>
        <w:tc>
          <w:tcPr>
            <w:tcW w:w="7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6</w:t>
            </w: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4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5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z w:val="20"/>
                <w:szCs w:val="20"/>
              </w:rPr>
              <w:t>合  计　</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1309.77</w:t>
            </w:r>
          </w:p>
        </w:tc>
        <w:tc>
          <w:tcPr>
            <w:tcW w:w="941"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1303.77</w:t>
            </w:r>
          </w:p>
        </w:tc>
        <w:tc>
          <w:tcPr>
            <w:tcW w:w="705"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20"/>
                <w:szCs w:val="20"/>
              </w:rPr>
            </w:pPr>
          </w:p>
        </w:tc>
        <w:tc>
          <w:tcPr>
            <w:tcW w:w="765"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20"/>
                <w:szCs w:val="20"/>
              </w:rPr>
            </w:pPr>
          </w:p>
        </w:tc>
        <w:tc>
          <w:tcPr>
            <w:tcW w:w="864"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6</w:t>
            </w: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pStyle w:val="2"/>
        <w:rPr>
          <w:rFonts w:hint="eastAsia" w:ascii="宋体" w:hAnsi="宋体" w:cs="宋体"/>
          <w:color w:val="000000"/>
          <w:kern w:val="0"/>
          <w:sz w:val="20"/>
          <w:szCs w:val="20"/>
        </w:rPr>
      </w:pPr>
    </w:p>
    <w:p>
      <w:pPr>
        <w:rPr>
          <w:rFonts w:hint="eastAsia"/>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24"/>
          <w:lang w:val="en-US" w:eastAsia="zh-CN"/>
        </w:rPr>
        <w:t>昌吉州教育局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420"/>
        <w:gridCol w:w="510"/>
        <w:gridCol w:w="2200"/>
        <w:gridCol w:w="1855"/>
        <w:gridCol w:w="1856"/>
        <w:gridCol w:w="1904"/>
      </w:tblGrid>
      <w:tr>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60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0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90"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rPr>
          <w:trHeight w:val="440"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205</w:t>
            </w:r>
          </w:p>
        </w:tc>
        <w:tc>
          <w:tcPr>
            <w:tcW w:w="42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bCs/>
                <w:color w:val="000000"/>
                <w:kern w:val="0"/>
                <w:sz w:val="20"/>
                <w:szCs w:val="20"/>
                <w:lang w:val="en-US" w:eastAsia="zh-CN"/>
              </w:rPr>
            </w:pP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bCs/>
                <w:color w:val="000000"/>
                <w:kern w:val="0"/>
                <w:sz w:val="20"/>
                <w:szCs w:val="20"/>
                <w:lang w:val="en-US" w:eastAsia="zh-CN"/>
              </w:rPr>
            </w:pPr>
          </w:p>
        </w:tc>
        <w:tc>
          <w:tcPr>
            <w:tcW w:w="220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教育支出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1309.77</w:t>
            </w:r>
          </w:p>
        </w:tc>
        <w:tc>
          <w:tcPr>
            <w:tcW w:w="1856" w:type="dxa"/>
            <w:tcBorders>
              <w:top w:val="nil"/>
              <w:left w:val="nil"/>
              <w:bottom w:val="single" w:color="auto" w:sz="4" w:space="0"/>
              <w:right w:val="single" w:color="auto" w:sz="4" w:space="0"/>
            </w:tcBorders>
            <w:vAlign w:val="center"/>
          </w:tcPr>
          <w:p>
            <w:pPr>
              <w:widowControl/>
              <w:tabs>
                <w:tab w:val="left" w:pos="577"/>
              </w:tabs>
              <w:spacing w:line="280" w:lineRule="exact"/>
              <w:jc w:val="center"/>
              <w:rPr>
                <w:rFonts w:hint="eastAsia"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999.77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310</w:t>
            </w:r>
          </w:p>
        </w:tc>
      </w:tr>
      <w:tr>
        <w:trPr>
          <w:trHeight w:val="418" w:hRule="atLeast"/>
        </w:trPr>
        <w:tc>
          <w:tcPr>
            <w:tcW w:w="675"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205</w:t>
            </w:r>
          </w:p>
        </w:tc>
        <w:tc>
          <w:tcPr>
            <w:tcW w:w="42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01</w:t>
            </w:r>
          </w:p>
        </w:tc>
        <w:tc>
          <w:tcPr>
            <w:tcW w:w="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bCs/>
                <w:color w:val="000000"/>
                <w:kern w:val="0"/>
                <w:sz w:val="20"/>
                <w:szCs w:val="20"/>
                <w:lang w:val="en-US" w:eastAsia="zh-CN"/>
              </w:rPr>
            </w:pPr>
          </w:p>
        </w:tc>
        <w:tc>
          <w:tcPr>
            <w:tcW w:w="220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教育管理事务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1309.77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999.77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val="0"/>
                <w:color w:val="000000"/>
                <w:kern w:val="0"/>
                <w:sz w:val="20"/>
                <w:szCs w:val="20"/>
                <w:lang w:val="en-US" w:eastAsia="zh-CN"/>
              </w:rPr>
            </w:pPr>
            <w:r>
              <w:rPr>
                <w:rFonts w:hint="eastAsia" w:ascii="仿宋_GB2312" w:hAnsi="仿宋_GB2312" w:eastAsia="仿宋_GB2312" w:cs="仿宋_GB2312"/>
                <w:b w:val="0"/>
                <w:bCs w:val="0"/>
                <w:color w:val="000000"/>
                <w:kern w:val="0"/>
                <w:sz w:val="20"/>
                <w:szCs w:val="20"/>
                <w:lang w:val="en-US" w:eastAsia="zh-CN"/>
              </w:rPr>
              <w:t>310</w:t>
            </w: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205</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01</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01</w:t>
            </w: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行政运行</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999.77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999.77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p>
        </w:tc>
      </w:tr>
      <w:tr>
        <w:trPr>
          <w:trHeight w:val="39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205</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01</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02</w:t>
            </w: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r>
              <w:rPr>
                <w:rFonts w:hint="eastAsia" w:ascii="仿宋_GB2312" w:hAnsi="仿宋_GB2312" w:eastAsia="仿宋_GB2312" w:cs="仿宋_GB2312"/>
                <w:b w:val="0"/>
                <w:bCs w:val="0"/>
                <w:color w:val="000000"/>
                <w:kern w:val="0"/>
                <w:sz w:val="20"/>
                <w:szCs w:val="20"/>
                <w:lang w:val="en-US" w:eastAsia="zh-CN"/>
              </w:rPr>
              <w:t>一般行政管理事务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val="0"/>
                <w:color w:val="000000"/>
                <w:kern w:val="0"/>
                <w:sz w:val="20"/>
                <w:szCs w:val="20"/>
                <w:lang w:val="en-US"/>
              </w:rPr>
            </w:pPr>
            <w:r>
              <w:rPr>
                <w:rFonts w:hint="eastAsia" w:ascii="仿宋_GB2312" w:hAnsi="仿宋_GB2312" w:eastAsia="仿宋_GB2312" w:cs="仿宋_GB2312"/>
                <w:b w:val="0"/>
                <w:bCs w:val="0"/>
                <w:color w:val="000000"/>
                <w:kern w:val="0"/>
                <w:sz w:val="20"/>
                <w:szCs w:val="20"/>
                <w:lang w:val="en-US" w:eastAsia="zh-CN"/>
              </w:rPr>
              <w:t>310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val="0"/>
                <w:bCs w:val="0"/>
                <w:color w:val="000000"/>
                <w:kern w:val="0"/>
                <w:sz w:val="20"/>
                <w:szCs w:val="20"/>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仿宋_GB2312" w:eastAsia="仿宋_GB2312" w:cs="仿宋_GB2312"/>
                <w:b w:val="0"/>
                <w:bCs w:val="0"/>
                <w:color w:val="000000"/>
                <w:kern w:val="0"/>
                <w:sz w:val="20"/>
                <w:szCs w:val="20"/>
                <w:lang w:val="en-US"/>
              </w:rPr>
            </w:pPr>
            <w:r>
              <w:rPr>
                <w:rFonts w:hint="eastAsia" w:ascii="仿宋_GB2312" w:hAnsi="仿宋_GB2312" w:eastAsia="仿宋_GB2312" w:cs="仿宋_GB2312"/>
                <w:b w:val="0"/>
                <w:bCs w:val="0"/>
                <w:color w:val="000000"/>
                <w:kern w:val="0"/>
                <w:sz w:val="20"/>
                <w:szCs w:val="20"/>
                <w:lang w:val="en-US" w:eastAsia="zh-CN"/>
              </w:rPr>
              <w:t>310</w:t>
            </w: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64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61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690"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64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jc w:val="center"/>
            </w:pPr>
          </w:p>
        </w:tc>
        <w:tc>
          <w:tcPr>
            <w:tcW w:w="420" w:type="dxa"/>
            <w:tcBorders>
              <w:top w:val="nil"/>
              <w:left w:val="nil"/>
              <w:bottom w:val="single" w:color="auto" w:sz="4" w:space="0"/>
              <w:right w:val="single" w:color="auto" w:sz="4" w:space="0"/>
            </w:tcBorders>
            <w:vAlign w:val="center"/>
          </w:tcPr>
          <w:p>
            <w:pPr>
              <w:jc w:val="center"/>
            </w:pPr>
          </w:p>
        </w:tc>
        <w:tc>
          <w:tcPr>
            <w:tcW w:w="510" w:type="dxa"/>
            <w:tcBorders>
              <w:top w:val="nil"/>
              <w:left w:val="nil"/>
              <w:bottom w:val="single" w:color="auto" w:sz="4" w:space="0"/>
              <w:right w:val="single" w:color="auto" w:sz="4" w:space="0"/>
            </w:tcBorders>
            <w:vAlign w:val="center"/>
          </w:tcPr>
          <w:p>
            <w:pPr>
              <w:jc w:val="center"/>
            </w:pPr>
          </w:p>
        </w:tc>
        <w:tc>
          <w:tcPr>
            <w:tcW w:w="2200" w:type="dxa"/>
            <w:tcBorders>
              <w:top w:val="nil"/>
              <w:left w:val="nil"/>
              <w:bottom w:val="single" w:color="auto" w:sz="4" w:space="0"/>
              <w:right w:val="single" w:color="auto" w:sz="4" w:space="0"/>
            </w:tcBorders>
            <w:vAlign w:val="center"/>
          </w:tcPr>
          <w:p>
            <w:pPr>
              <w:jc w:val="cente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67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1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2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1309.77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999.77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310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w:t>
      </w:r>
      <w:r>
        <w:rPr>
          <w:rFonts w:hint="eastAsia" w:ascii="仿宋_GB2312" w:hAnsi="宋体" w:eastAsia="仿宋_GB2312"/>
          <w:kern w:val="0"/>
          <w:sz w:val="24"/>
          <w:lang w:val="en-US" w:eastAsia="zh-CN"/>
        </w:rPr>
        <w:t>昌吉州教育局</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45"/>
        <w:gridCol w:w="1185"/>
        <w:gridCol w:w="2400"/>
        <w:gridCol w:w="900"/>
        <w:gridCol w:w="851"/>
        <w:gridCol w:w="1134"/>
        <w:gridCol w:w="1134"/>
      </w:tblGrid>
      <w:tr>
        <w:trPr>
          <w:trHeight w:val="285" w:hRule="atLeast"/>
        </w:trPr>
        <w:tc>
          <w:tcPr>
            <w:tcW w:w="303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1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365" w:hRule="atLeast"/>
        </w:trPr>
        <w:tc>
          <w:tcPr>
            <w:tcW w:w="1845"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85"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4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8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val="0"/>
                <w:bCs w:val="0"/>
                <w:color w:val="000000"/>
                <w:kern w:val="0"/>
                <w:sz w:val="18"/>
                <w:szCs w:val="18"/>
                <w:lang w:val="en-US" w:eastAsia="zh-CN"/>
              </w:rPr>
              <w:t>1303.77</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8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val="0"/>
                <w:bCs w:val="0"/>
                <w:color w:val="000000"/>
                <w:kern w:val="0"/>
                <w:sz w:val="18"/>
                <w:szCs w:val="18"/>
                <w:lang w:val="en-US" w:eastAsia="zh-CN"/>
              </w:rPr>
              <w:t>1303.77</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b w:val="0"/>
                <w:bCs w:val="0"/>
                <w:color w:val="000000"/>
                <w:kern w:val="0"/>
                <w:sz w:val="18"/>
                <w:szCs w:val="18"/>
                <w:lang w:val="en-US" w:eastAsia="zh-CN"/>
              </w:rPr>
              <w:t>1303.77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1303.77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85"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tc>
        <w:tc>
          <w:tcPr>
            <w:tcW w:w="1185" w:type="dxa"/>
            <w:tcBorders>
              <w:top w:val="nil"/>
              <w:left w:val="nil"/>
              <w:bottom w:val="single" w:color="auto" w:sz="4" w:space="0"/>
              <w:right w:val="single" w:color="auto" w:sz="4" w:space="0"/>
            </w:tcBorders>
            <w:vAlign w:val="center"/>
          </w:tcPr>
          <w:p>
            <w:pPr>
              <w:jc w:val="right"/>
            </w:pPr>
          </w:p>
        </w:tc>
        <w:tc>
          <w:tcPr>
            <w:tcW w:w="240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tc>
        <w:tc>
          <w:tcPr>
            <w:tcW w:w="1185" w:type="dxa"/>
            <w:tcBorders>
              <w:top w:val="nil"/>
              <w:left w:val="nil"/>
              <w:bottom w:val="single" w:color="auto" w:sz="4" w:space="0"/>
              <w:right w:val="single" w:color="auto" w:sz="4" w:space="0"/>
            </w:tcBorders>
            <w:vAlign w:val="center"/>
          </w:tcPr>
          <w:p>
            <w:pPr>
              <w:jc w:val="right"/>
            </w:pPr>
          </w:p>
        </w:tc>
        <w:tc>
          <w:tcPr>
            <w:tcW w:w="240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8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1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1303.77</w:t>
            </w:r>
            <w:r>
              <w:rPr>
                <w:rFonts w:hint="eastAsia" w:ascii="仿宋_GB2312" w:hAnsi="宋体" w:eastAsia="仿宋_GB2312" w:cs="宋体"/>
                <w:color w:val="000000"/>
                <w:kern w:val="0"/>
                <w:sz w:val="22"/>
                <w:szCs w:val="22"/>
              </w:rPr>
              <w:t>　</w:t>
            </w:r>
          </w:p>
        </w:tc>
        <w:tc>
          <w:tcPr>
            <w:tcW w:w="2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1303.77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1303.77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val="en-US" w:eastAsia="zh-CN"/>
              </w:rPr>
              <w:t>昌吉州教育局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205</w:t>
            </w:r>
          </w:p>
        </w:tc>
        <w:tc>
          <w:tcPr>
            <w:tcW w:w="49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color w:val="000000"/>
                <w:kern w:val="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教育支出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0"/>
                <w:szCs w:val="20"/>
                <w:lang w:val="en-US" w:eastAsia="zh-CN"/>
              </w:rPr>
            </w:pPr>
            <w:r>
              <w:rPr>
                <w:rFonts w:hint="eastAsia" w:ascii="宋体" w:hAnsi="宋体" w:cs="宋体"/>
                <w:b w:val="0"/>
                <w:bCs w:val="0"/>
                <w:color w:val="000000"/>
                <w:kern w:val="0"/>
                <w:sz w:val="20"/>
                <w:szCs w:val="20"/>
                <w:lang w:val="en-US" w:eastAsia="zh-CN"/>
              </w:rPr>
              <w:t>1303.77</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b w:val="0"/>
                <w:bCs/>
                <w:color w:val="000000"/>
                <w:kern w:val="0"/>
                <w:sz w:val="20"/>
                <w:szCs w:val="20"/>
                <w:lang w:val="en-US" w:eastAsia="zh-CN"/>
              </w:rPr>
              <w:t>999.77</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304</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205</w:t>
            </w:r>
          </w:p>
        </w:tc>
        <w:tc>
          <w:tcPr>
            <w:tcW w:w="49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sz w:val="20"/>
                <w:szCs w:val="20"/>
                <w:lang w:val="en-US" w:eastAsia="zh-CN"/>
              </w:rPr>
              <w:t>教育管理事务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0"/>
                <w:szCs w:val="20"/>
                <w:lang w:val="en-US" w:eastAsia="zh-CN"/>
              </w:rPr>
            </w:pPr>
            <w:r>
              <w:rPr>
                <w:rFonts w:hint="eastAsia" w:ascii="宋体" w:hAnsi="宋体" w:cs="宋体"/>
                <w:b w:val="0"/>
                <w:bCs w:val="0"/>
                <w:color w:val="000000"/>
                <w:kern w:val="0"/>
                <w:sz w:val="20"/>
                <w:szCs w:val="20"/>
                <w:lang w:val="en-US" w:eastAsia="zh-CN"/>
              </w:rPr>
              <w:t>1303.77</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color w:val="000000"/>
                <w:kern w:val="0"/>
                <w:sz w:val="20"/>
                <w:szCs w:val="20"/>
                <w:lang w:val="en-US" w:eastAsia="zh-CN"/>
              </w:rPr>
              <w:t>999.77</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304</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0"/>
                <w:szCs w:val="20"/>
              </w:rPr>
            </w:pPr>
            <w:r>
              <w:rPr>
                <w:rFonts w:hint="eastAsia" w:ascii="仿宋_GB2312" w:hAnsi="仿宋_GB2312" w:eastAsia="仿宋_GB2312" w:cs="仿宋_GB2312"/>
                <w:b w:val="0"/>
                <w:bCs/>
                <w:color w:val="000000"/>
                <w:kern w:val="0"/>
                <w:sz w:val="20"/>
                <w:szCs w:val="20"/>
                <w:lang w:val="en-US" w:eastAsia="zh-CN"/>
              </w:rPr>
              <w:t>205</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0"/>
                <w:szCs w:val="20"/>
              </w:rPr>
            </w:pPr>
            <w:r>
              <w:rPr>
                <w:rFonts w:hint="eastAsia" w:ascii="仿宋_GB2312" w:hAnsi="仿宋_GB2312" w:eastAsia="仿宋_GB2312" w:cs="仿宋_GB2312"/>
                <w:b w:val="0"/>
                <w:bCs/>
                <w:color w:val="000000"/>
                <w:kern w:val="0"/>
                <w:sz w:val="20"/>
                <w:szCs w:val="20"/>
                <w:lang w:val="en-US" w:eastAsia="zh-CN"/>
              </w:rPr>
              <w:t>01</w:t>
            </w: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0"/>
                <w:szCs w:val="20"/>
              </w:rPr>
            </w:pPr>
            <w:r>
              <w:rPr>
                <w:rFonts w:hint="eastAsia" w:ascii="仿宋_GB2312" w:hAnsi="仿宋_GB2312" w:eastAsia="仿宋_GB2312" w:cs="仿宋_GB2312"/>
                <w:b w:val="0"/>
                <w:bCs/>
                <w:color w:val="000000"/>
                <w:kern w:val="0"/>
                <w:sz w:val="20"/>
                <w:szCs w:val="20"/>
                <w:lang w:val="en-US" w:eastAsia="zh-CN"/>
              </w:rPr>
              <w:t>01</w:t>
            </w: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0"/>
                <w:szCs w:val="20"/>
              </w:rPr>
            </w:pPr>
            <w:r>
              <w:rPr>
                <w:rFonts w:hint="eastAsia" w:ascii="仿宋_GB2312" w:hAnsi="仿宋_GB2312" w:eastAsia="仿宋_GB2312" w:cs="仿宋_GB2312"/>
                <w:b w:val="0"/>
                <w:bCs/>
                <w:color w:val="000000"/>
                <w:kern w:val="0"/>
                <w:sz w:val="20"/>
                <w:szCs w:val="20"/>
                <w:lang w:val="en-US" w:eastAsia="zh-CN"/>
              </w:rPr>
              <w:t>行政运行</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宋体" w:hAnsi="宋体" w:cs="宋体"/>
                <w:b w:val="0"/>
                <w:bCs/>
                <w:color w:val="000000"/>
                <w:kern w:val="0"/>
                <w:sz w:val="20"/>
                <w:szCs w:val="20"/>
                <w:lang w:val="en-US" w:eastAsia="zh-CN"/>
              </w:rPr>
              <w:t>999.77</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宋体" w:hAnsi="宋体" w:cs="宋体"/>
                <w:b w:val="0"/>
                <w:bCs/>
                <w:color w:val="000000"/>
                <w:kern w:val="0"/>
                <w:sz w:val="20"/>
                <w:szCs w:val="20"/>
                <w:lang w:val="en-US" w:eastAsia="zh-CN"/>
              </w:rPr>
              <w:t>999.77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0"/>
                <w:szCs w:val="20"/>
              </w:rPr>
            </w:pPr>
            <w:r>
              <w:rPr>
                <w:rFonts w:hint="eastAsia" w:ascii="仿宋_GB2312" w:hAnsi="仿宋_GB2312" w:eastAsia="仿宋_GB2312" w:cs="仿宋_GB2312"/>
                <w:b w:val="0"/>
                <w:bCs/>
                <w:color w:val="000000"/>
                <w:kern w:val="0"/>
                <w:sz w:val="20"/>
                <w:szCs w:val="20"/>
                <w:lang w:val="en-US" w:eastAsia="zh-CN"/>
              </w:rPr>
              <w:t>205</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0"/>
                <w:szCs w:val="20"/>
              </w:rPr>
            </w:pPr>
            <w:r>
              <w:rPr>
                <w:rFonts w:hint="eastAsia" w:ascii="仿宋_GB2312" w:hAnsi="仿宋_GB2312" w:eastAsia="仿宋_GB2312" w:cs="仿宋_GB2312"/>
                <w:b w:val="0"/>
                <w:bCs/>
                <w:color w:val="000000"/>
                <w:kern w:val="0"/>
                <w:sz w:val="20"/>
                <w:szCs w:val="20"/>
                <w:lang w:val="en-US" w:eastAsia="zh-CN"/>
              </w:rPr>
              <w:t>01</w:t>
            </w:r>
          </w:p>
        </w:tc>
        <w:tc>
          <w:tcPr>
            <w:tcW w:w="41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0"/>
                <w:szCs w:val="20"/>
              </w:rPr>
            </w:pPr>
            <w:r>
              <w:rPr>
                <w:rFonts w:hint="eastAsia" w:ascii="仿宋_GB2312" w:hAnsi="仿宋_GB2312" w:eastAsia="仿宋_GB2312" w:cs="仿宋_GB2312"/>
                <w:b w:val="0"/>
                <w:bCs/>
                <w:color w:val="000000"/>
                <w:kern w:val="0"/>
                <w:sz w:val="20"/>
                <w:szCs w:val="20"/>
                <w:lang w:val="en-US" w:eastAsia="zh-CN"/>
              </w:rPr>
              <w:t>02</w:t>
            </w: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b w:val="0"/>
                <w:bCs/>
                <w:color w:val="000000"/>
                <w:kern w:val="0"/>
                <w:sz w:val="20"/>
                <w:szCs w:val="20"/>
              </w:rPr>
            </w:pPr>
            <w:r>
              <w:rPr>
                <w:rFonts w:hint="eastAsia" w:ascii="仿宋_GB2312" w:hAnsi="仿宋_GB2312" w:eastAsia="仿宋_GB2312" w:cs="仿宋_GB2312"/>
                <w:b w:val="0"/>
                <w:bCs/>
                <w:color w:val="000000"/>
                <w:kern w:val="0"/>
                <w:sz w:val="20"/>
                <w:szCs w:val="20"/>
                <w:lang w:val="en-US" w:eastAsia="zh-CN"/>
              </w:rPr>
              <w:t>一般行政管理事务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b w:val="0"/>
                <w:bCs/>
                <w:color w:val="000000"/>
                <w:kern w:val="0"/>
                <w:sz w:val="20"/>
                <w:szCs w:val="20"/>
                <w:lang w:val="en-US"/>
              </w:rPr>
            </w:pPr>
            <w:r>
              <w:rPr>
                <w:rFonts w:hint="eastAsia" w:ascii="宋体" w:hAnsi="宋体" w:cs="宋体"/>
                <w:b w:val="0"/>
                <w:bCs/>
                <w:color w:val="000000"/>
                <w:kern w:val="0"/>
                <w:sz w:val="20"/>
                <w:szCs w:val="20"/>
                <w:lang w:val="en-US" w:eastAsia="zh-CN"/>
              </w:rPr>
              <w:t>304</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b w:val="0"/>
                <w:bCs/>
                <w:color w:val="000000"/>
                <w:kern w:val="0"/>
                <w:sz w:val="20"/>
                <w:szCs w:val="20"/>
                <w:lang w:val="en-US"/>
              </w:rPr>
            </w:pPr>
            <w:r>
              <w:rPr>
                <w:rFonts w:hint="eastAsia" w:ascii="宋体" w:hAnsi="宋体" w:cs="宋体"/>
                <w:b w:val="0"/>
                <w:bCs/>
                <w:color w:val="000000"/>
                <w:kern w:val="0"/>
                <w:sz w:val="20"/>
                <w:szCs w:val="20"/>
                <w:lang w:val="en-US" w:eastAsia="zh-CN"/>
              </w:rPr>
              <w:t>304</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1303.77</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999.77</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3029"/>
        <w:gridCol w:w="857"/>
        <w:gridCol w:w="706"/>
        <w:gridCol w:w="976"/>
        <w:gridCol w:w="725"/>
        <w:gridCol w:w="1701"/>
      </w:tblGrid>
      <w:tr>
        <w:trPr>
          <w:trHeight w:val="458"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rPr>
          <w:trHeight w:val="315" w:hRule="atLeast"/>
        </w:trPr>
        <w:tc>
          <w:tcPr>
            <w:tcW w:w="4363" w:type="dxa"/>
            <w:gridSpan w:val="3"/>
            <w:tcBorders>
              <w:top w:val="nil"/>
              <w:left w:val="nil"/>
              <w:bottom w:val="nil"/>
              <w:right w:val="nil"/>
            </w:tcBorders>
            <w:vAlign w:val="center"/>
          </w:tcPr>
          <w:p>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昌吉州教育局</w:t>
            </w:r>
          </w:p>
        </w:tc>
        <w:tc>
          <w:tcPr>
            <w:tcW w:w="857"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rPr>
          <w:trHeight w:val="245" w:hRule="atLeast"/>
        </w:trPr>
        <w:tc>
          <w:tcPr>
            <w:tcW w:w="436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65"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39"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2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6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2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6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22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i w:val="0"/>
                <w:color w:val="000000"/>
                <w:kern w:val="0"/>
                <w:sz w:val="20"/>
                <w:szCs w:val="20"/>
                <w:u w:val="none"/>
                <w:lang w:val="en-US" w:eastAsia="zh-CN"/>
              </w:rPr>
            </w:pPr>
          </w:p>
        </w:tc>
        <w:tc>
          <w:tcPr>
            <w:tcW w:w="3029" w:type="dxa"/>
            <w:tcBorders>
              <w:top w:val="nil"/>
              <w:left w:val="nil"/>
              <w:bottom w:val="single" w:color="auto" w:sz="4" w:space="0"/>
              <w:right w:val="single" w:color="auto" w:sz="4" w:space="0"/>
            </w:tcBorders>
            <w:vAlign w:val="center"/>
          </w:tcPr>
          <w:p>
            <w:pPr>
              <w:widowControl/>
              <w:jc w:val="left"/>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工资福利支出</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796.92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796.92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b/>
                <w:bCs/>
                <w:i w:val="0"/>
                <w:color w:val="000000"/>
                <w:kern w:val="0"/>
                <w:sz w:val="20"/>
                <w:szCs w:val="20"/>
                <w:u w:val="none"/>
                <w:lang w:val="en-US" w:eastAsia="zh-CN"/>
              </w:rPr>
            </w:pPr>
          </w:p>
        </w:tc>
      </w:tr>
      <w:tr>
        <w:trPr>
          <w:trHeight w:val="32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color w:val="000000"/>
                <w:kern w:val="0"/>
                <w:sz w:val="20"/>
                <w:szCs w:val="20"/>
                <w:u w:val="none"/>
                <w:lang w:val="en-US" w:eastAsia="zh-CN"/>
              </w:rPr>
              <w:t>01</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基本工资</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264.43</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264.43</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28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02</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津贴补贴</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162.81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162.81</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17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03</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奖金</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21.60</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21.60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274"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07</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绩效工资</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101.04</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101.04</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32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08</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机关事业单位基本养老保险缴费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87.05</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87.05</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259"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10</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职工基本医疗保险缴费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51.69</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51.69</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244"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11</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公务员医疗补助缴费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16.32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16.32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20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12</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其他社会保障缴费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1.83</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1.83</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289"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13</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住房公积金</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77.82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77.82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349"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99</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其他工资福利支出</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12.32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12.33</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25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i w:val="0"/>
                <w:color w:val="000000"/>
                <w:kern w:val="0"/>
                <w:sz w:val="20"/>
                <w:szCs w:val="20"/>
                <w:u w:val="none"/>
                <w:lang w:val="en-US" w:eastAsia="zh-CN"/>
              </w:rPr>
            </w:pPr>
          </w:p>
        </w:tc>
        <w:tc>
          <w:tcPr>
            <w:tcW w:w="3029" w:type="dxa"/>
            <w:tcBorders>
              <w:top w:val="nil"/>
              <w:left w:val="nil"/>
              <w:bottom w:val="single" w:color="auto" w:sz="4" w:space="0"/>
              <w:right w:val="single" w:color="auto" w:sz="4" w:space="0"/>
            </w:tcBorders>
            <w:vAlign w:val="center"/>
          </w:tcPr>
          <w:p>
            <w:pPr>
              <w:widowControl/>
              <w:jc w:val="left"/>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商品服务支出</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119.35</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b w:val="0"/>
                <w:bCs w:val="0"/>
                <w:i w:val="0"/>
                <w:color w:val="000000"/>
                <w:kern w:val="0"/>
                <w:sz w:val="20"/>
                <w:szCs w:val="20"/>
                <w:u w:val="none"/>
                <w:lang w:val="en-US" w:eastAsia="zh-CN"/>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119.35</w:t>
            </w:r>
          </w:p>
        </w:tc>
      </w:tr>
      <w:tr>
        <w:trPr>
          <w:trHeight w:val="25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01</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办公费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6.59</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6.59</w:t>
            </w:r>
          </w:p>
        </w:tc>
      </w:tr>
      <w:tr>
        <w:trPr>
          <w:trHeight w:val="289"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05</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水费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4</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4</w:t>
            </w:r>
          </w:p>
        </w:tc>
      </w:tr>
      <w:tr>
        <w:trPr>
          <w:trHeight w:val="319"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06</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电费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10</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10</w:t>
            </w:r>
          </w:p>
        </w:tc>
      </w:tr>
      <w:tr>
        <w:trPr>
          <w:trHeight w:val="289"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07</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邮电费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8.5</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8.5</w:t>
            </w:r>
          </w:p>
        </w:tc>
      </w:tr>
      <w:tr>
        <w:trPr>
          <w:trHeight w:val="22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08</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取暖费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21.5</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21.5</w:t>
            </w:r>
          </w:p>
        </w:tc>
      </w:tr>
      <w:tr>
        <w:trPr>
          <w:trHeight w:val="28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09</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物业管理费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w:t>
            </w:r>
          </w:p>
        </w:tc>
      </w:tr>
      <w:tr>
        <w:trPr>
          <w:trHeight w:val="23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11</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差旅费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w:t>
            </w:r>
          </w:p>
        </w:tc>
      </w:tr>
      <w:tr>
        <w:trPr>
          <w:trHeight w:val="20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13</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维修(护)费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color w:val="000000"/>
                <w:kern w:val="0"/>
                <w:sz w:val="20"/>
                <w:szCs w:val="20"/>
                <w:u w:val="none"/>
                <w:lang w:val="en-US" w:eastAsia="zh-CN"/>
              </w:rPr>
              <w:t>8.8</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color w:val="000000"/>
                <w:kern w:val="0"/>
                <w:sz w:val="20"/>
                <w:szCs w:val="20"/>
                <w:u w:val="none"/>
                <w:lang w:val="en-US" w:eastAsia="zh-CN"/>
              </w:rPr>
              <w:t>8.8</w:t>
            </w:r>
          </w:p>
        </w:tc>
      </w:tr>
      <w:tr>
        <w:trPr>
          <w:trHeight w:val="274"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17</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公务接待费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1.5</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i w:val="0"/>
                <w:color w:val="000000"/>
                <w:kern w:val="0"/>
                <w:sz w:val="20"/>
                <w:szCs w:val="20"/>
                <w:u w:val="none"/>
                <w:lang w:val="en-US" w:eastAsia="zh-CN"/>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1.5</w:t>
            </w:r>
          </w:p>
        </w:tc>
      </w:tr>
      <w:tr>
        <w:trPr>
          <w:trHeight w:val="274"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26</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劳务费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w:t>
            </w:r>
          </w:p>
        </w:tc>
      </w:tr>
      <w:tr>
        <w:trPr>
          <w:trHeight w:val="19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27</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委托业务费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w:t>
            </w:r>
          </w:p>
        </w:tc>
      </w:tr>
      <w:tr>
        <w:trPr>
          <w:trHeight w:val="319"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28</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工会经费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10.24</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10.24</w:t>
            </w:r>
          </w:p>
        </w:tc>
      </w:tr>
      <w:tr>
        <w:trPr>
          <w:trHeight w:val="19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29</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福利费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9.22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9.22</w:t>
            </w:r>
          </w:p>
        </w:tc>
      </w:tr>
      <w:tr>
        <w:trPr>
          <w:trHeight w:val="289"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31</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公务车运行维护费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color w:val="000000"/>
                <w:kern w:val="0"/>
                <w:sz w:val="20"/>
                <w:szCs w:val="20"/>
                <w:u w:val="none"/>
                <w:lang w:val="en-US" w:eastAsia="zh-CN"/>
              </w:rPr>
              <w:t>14</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color w:val="000000"/>
                <w:kern w:val="0"/>
                <w:sz w:val="20"/>
                <w:szCs w:val="20"/>
                <w:u w:val="none"/>
                <w:lang w:val="en-US" w:eastAsia="zh-CN"/>
              </w:rPr>
              <w:t>14</w:t>
            </w:r>
          </w:p>
        </w:tc>
      </w:tr>
      <w:tr>
        <w:trPr>
          <w:trHeight w:val="31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39</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其他交通费用</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2</w:t>
            </w:r>
          </w:p>
        </w:tc>
      </w:tr>
      <w:tr>
        <w:trPr>
          <w:trHeight w:val="32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99</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其他商品和服务支出</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16.00</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16.00</w:t>
            </w:r>
          </w:p>
        </w:tc>
      </w:tr>
      <w:tr>
        <w:trPr>
          <w:trHeight w:val="23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val="0"/>
                <w:bCs w:val="0"/>
                <w:i w:val="0"/>
                <w:color w:val="000000"/>
                <w:kern w:val="0"/>
                <w:sz w:val="20"/>
                <w:szCs w:val="20"/>
                <w:u w:val="none"/>
                <w:lang w:val="en-US" w:eastAsia="zh-CN"/>
              </w:rPr>
            </w:pPr>
          </w:p>
        </w:tc>
        <w:tc>
          <w:tcPr>
            <w:tcW w:w="3029" w:type="dxa"/>
            <w:tcBorders>
              <w:top w:val="nil"/>
              <w:left w:val="nil"/>
              <w:bottom w:val="single" w:color="auto" w:sz="4" w:space="0"/>
              <w:right w:val="single" w:color="auto" w:sz="4" w:space="0"/>
            </w:tcBorders>
            <w:vAlign w:val="center"/>
          </w:tcPr>
          <w:p>
            <w:pPr>
              <w:widowControl/>
              <w:jc w:val="left"/>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对个人和家庭的补助</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83.49</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default" w:ascii="仿宋_GB2312" w:hAnsi="仿宋_GB2312" w:eastAsia="仿宋_GB2312" w:cs="仿宋_GB2312"/>
                <w:b w:val="0"/>
                <w:bCs w:val="0"/>
                <w:i w:val="0"/>
                <w:color w:val="000000"/>
                <w:kern w:val="0"/>
                <w:sz w:val="20"/>
                <w:szCs w:val="20"/>
                <w:u w:val="none"/>
                <w:lang w:val="en-US" w:eastAsia="zh-CN"/>
              </w:rPr>
            </w:pPr>
            <w:r>
              <w:rPr>
                <w:rFonts w:hint="eastAsia" w:ascii="仿宋_GB2312" w:hAnsi="仿宋_GB2312" w:eastAsia="仿宋_GB2312" w:cs="仿宋_GB2312"/>
                <w:b w:val="0"/>
                <w:bCs w:val="0"/>
                <w:i w:val="0"/>
                <w:color w:val="000000"/>
                <w:kern w:val="0"/>
                <w:sz w:val="20"/>
                <w:szCs w:val="20"/>
                <w:u w:val="none"/>
                <w:lang w:val="en-US" w:eastAsia="zh-CN"/>
              </w:rPr>
              <w:t>83.49</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b/>
                <w:bCs/>
                <w:i w:val="0"/>
                <w:color w:val="000000"/>
                <w:kern w:val="0"/>
                <w:sz w:val="20"/>
                <w:szCs w:val="20"/>
                <w:u w:val="none"/>
                <w:lang w:val="en-US" w:eastAsia="zh-CN"/>
              </w:rPr>
            </w:pPr>
          </w:p>
        </w:tc>
      </w:tr>
      <w:tr>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01</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离休费</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color w:val="000000"/>
                <w:kern w:val="0"/>
                <w:sz w:val="20"/>
                <w:szCs w:val="20"/>
                <w:u w:val="none"/>
                <w:lang w:val="en-US" w:eastAsia="zh-CN"/>
              </w:rPr>
              <w:t>18.42</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color w:val="000000"/>
                <w:kern w:val="0"/>
                <w:sz w:val="20"/>
                <w:szCs w:val="20"/>
                <w:u w:val="none"/>
                <w:lang w:val="en-US" w:eastAsia="zh-CN"/>
              </w:rPr>
              <w:t>18.42</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26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05</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生活补助</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0.84</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i w:val="0"/>
                <w:color w:val="000000"/>
                <w:kern w:val="0"/>
                <w:sz w:val="20"/>
                <w:szCs w:val="20"/>
                <w:u w:val="none"/>
                <w:lang w:val="en-US" w:eastAsia="zh-CN"/>
              </w:rPr>
            </w:pPr>
            <w:r>
              <w:rPr>
                <w:rFonts w:hint="eastAsia" w:ascii="仿宋_GB2312" w:hAnsi="仿宋_GB2312" w:eastAsia="仿宋_GB2312" w:cs="仿宋_GB2312"/>
                <w:i w:val="0"/>
                <w:color w:val="000000"/>
                <w:kern w:val="0"/>
                <w:sz w:val="20"/>
                <w:szCs w:val="20"/>
                <w:u w:val="none"/>
                <w:lang w:val="en-US" w:eastAsia="zh-CN"/>
              </w:rPr>
              <w:t>0.84</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i w:val="0"/>
                <w:color w:val="000000"/>
                <w:kern w:val="0"/>
                <w:sz w:val="20"/>
                <w:szCs w:val="20"/>
                <w:u w:val="none"/>
                <w:lang w:val="en-US" w:eastAsia="zh-CN"/>
              </w:rPr>
            </w:pPr>
          </w:p>
        </w:tc>
      </w:tr>
      <w:tr>
        <w:trPr>
          <w:trHeight w:val="37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07</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医疗费补助</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59.68</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59.68</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09</w:t>
            </w:r>
          </w:p>
        </w:tc>
        <w:tc>
          <w:tcPr>
            <w:tcW w:w="3029" w:type="dxa"/>
            <w:tcBorders>
              <w:top w:val="nil"/>
              <w:left w:val="nil"/>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奖励金</w:t>
            </w:r>
          </w:p>
        </w:tc>
        <w:tc>
          <w:tcPr>
            <w:tcW w:w="1563"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4.55</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4.55</w:t>
            </w:r>
          </w:p>
        </w:tc>
        <w:tc>
          <w:tcPr>
            <w:tcW w:w="1701" w:type="dxa"/>
            <w:tcBorders>
              <w:top w:val="nil"/>
              <w:left w:val="nil"/>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color w:val="000000"/>
                <w:kern w:val="0"/>
                <w:sz w:val="20"/>
                <w:szCs w:val="20"/>
                <w:u w:val="none"/>
                <w:lang w:val="en-US" w:eastAsia="zh-CN"/>
              </w:rPr>
              <w:t>0</w:t>
            </w:r>
          </w:p>
        </w:tc>
      </w:tr>
      <w:tr>
        <w:trPr>
          <w:trHeight w:val="30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0"/>
                <w:szCs w:val="20"/>
              </w:rPr>
            </w:pPr>
          </w:p>
        </w:tc>
        <w:tc>
          <w:tcPr>
            <w:tcW w:w="3029"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b/>
                <w:bCs/>
                <w:color w:val="000000"/>
                <w:kern w:val="0"/>
                <w:sz w:val="20"/>
                <w:szCs w:val="20"/>
              </w:rPr>
              <w:t>合  计</w:t>
            </w:r>
          </w:p>
        </w:tc>
        <w:tc>
          <w:tcPr>
            <w:tcW w:w="1563" w:type="dxa"/>
            <w:gridSpan w:val="2"/>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999.77</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880.42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119.35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W w:w="9461"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517"/>
        <w:gridCol w:w="330"/>
        <w:gridCol w:w="336"/>
        <w:gridCol w:w="851"/>
        <w:gridCol w:w="1558"/>
        <w:gridCol w:w="615"/>
        <w:gridCol w:w="420"/>
        <w:gridCol w:w="645"/>
        <w:gridCol w:w="725"/>
        <w:gridCol w:w="652"/>
        <w:gridCol w:w="378"/>
        <w:gridCol w:w="200"/>
        <w:gridCol w:w="419"/>
        <w:gridCol w:w="578"/>
        <w:gridCol w:w="420"/>
        <w:gridCol w:w="420"/>
        <w:gridCol w:w="389"/>
      </w:tblGrid>
      <w:tr>
        <w:trPr>
          <w:gridBefore w:val="1"/>
          <w:wBefore w:w="8" w:type="dxa"/>
          <w:trHeight w:val="375" w:hRule="atLeast"/>
        </w:trPr>
        <w:tc>
          <w:tcPr>
            <w:tcW w:w="9453"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rPr>
          <w:gridBefore w:val="1"/>
          <w:wBefore w:w="8" w:type="dxa"/>
          <w:trHeight w:val="405" w:hRule="atLeast"/>
        </w:trPr>
        <w:tc>
          <w:tcPr>
            <w:tcW w:w="420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昌吉州教育局</w:t>
            </w:r>
          </w:p>
        </w:tc>
        <w:tc>
          <w:tcPr>
            <w:tcW w:w="106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75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58"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61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8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67" w:hRule="atLeast"/>
        </w:trPr>
        <w:tc>
          <w:tcPr>
            <w:tcW w:w="525"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3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3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55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15"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45"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25"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38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25" w:type="dxa"/>
            <w:gridSpan w:val="2"/>
            <w:vAlign w:val="center"/>
          </w:tcPr>
          <w:p>
            <w:pPr>
              <w:jc w:val="center"/>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205</w:t>
            </w:r>
          </w:p>
        </w:tc>
        <w:tc>
          <w:tcPr>
            <w:tcW w:w="330" w:type="dxa"/>
            <w:vAlign w:val="center"/>
          </w:tcPr>
          <w:p>
            <w:pPr>
              <w:jc w:val="center"/>
              <w:rPr>
                <w:rFonts w:hint="eastAsia" w:ascii="仿宋_GB2312" w:hAnsi="宋体" w:eastAsia="仿宋_GB2312"/>
                <w:kern w:val="0"/>
                <w:sz w:val="20"/>
                <w:szCs w:val="20"/>
              </w:rPr>
            </w:pPr>
          </w:p>
        </w:tc>
        <w:tc>
          <w:tcPr>
            <w:tcW w:w="336" w:type="dxa"/>
            <w:vAlign w:val="center"/>
          </w:tcPr>
          <w:p>
            <w:pPr>
              <w:jc w:val="center"/>
              <w:rPr>
                <w:rFonts w:hint="eastAsia" w:ascii="仿宋_GB2312" w:hAnsi="宋体" w:eastAsia="仿宋_GB2312"/>
                <w:kern w:val="0"/>
                <w:sz w:val="20"/>
                <w:szCs w:val="20"/>
              </w:rPr>
            </w:pPr>
          </w:p>
        </w:tc>
        <w:tc>
          <w:tcPr>
            <w:tcW w:w="851" w:type="dxa"/>
            <w:vAlign w:val="center"/>
          </w:tcPr>
          <w:p>
            <w:pPr>
              <w:jc w:val="center"/>
              <w:rPr>
                <w:rFonts w:hint="eastAsia" w:ascii="仿宋_GB2312" w:hAnsi="宋体" w:eastAsia="仿宋_GB2312"/>
                <w:kern w:val="0"/>
                <w:sz w:val="20"/>
                <w:szCs w:val="20"/>
              </w:rPr>
            </w:pPr>
            <w:r>
              <w:rPr>
                <w:rFonts w:hint="eastAsia" w:ascii="仿宋_GB2312" w:hAnsi="仿宋_GB2312" w:eastAsia="仿宋_GB2312" w:cs="仿宋_GB2312"/>
                <w:color w:val="000000"/>
                <w:sz w:val="20"/>
                <w:szCs w:val="20"/>
                <w:lang w:val="en-US" w:eastAsia="zh-CN"/>
              </w:rPr>
              <w:t>教育支出</w:t>
            </w:r>
          </w:p>
        </w:tc>
        <w:tc>
          <w:tcPr>
            <w:tcW w:w="1558" w:type="dxa"/>
            <w:vAlign w:val="center"/>
          </w:tcPr>
          <w:p>
            <w:pPr>
              <w:widowControl/>
              <w:jc w:val="center"/>
              <w:textAlignment w:val="center"/>
              <w:rPr>
                <w:rFonts w:hint="eastAsia" w:ascii="仿宋_GB2312" w:hAnsi="仿宋_GB2312" w:eastAsia="仿宋_GB2312" w:cs="仿宋_GB2312"/>
                <w:color w:val="000000"/>
                <w:kern w:val="0"/>
                <w:sz w:val="20"/>
                <w:szCs w:val="20"/>
                <w:lang w:val="en-US" w:eastAsia="zh-CN"/>
              </w:rPr>
            </w:pPr>
          </w:p>
        </w:tc>
        <w:tc>
          <w:tcPr>
            <w:tcW w:w="61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304</w:t>
            </w:r>
          </w:p>
        </w:tc>
        <w:tc>
          <w:tcPr>
            <w:tcW w:w="420" w:type="dxa"/>
            <w:vAlign w:val="top"/>
          </w:tcPr>
          <w:p>
            <w:pPr>
              <w:widowControl/>
              <w:jc w:val="right"/>
              <w:outlineLvl w:val="1"/>
              <w:rPr>
                <w:rFonts w:hint="eastAsia" w:ascii="仿宋_GB2312" w:hAnsi="宋体" w:eastAsia="仿宋_GB2312"/>
                <w:kern w:val="0"/>
                <w:szCs w:val="21"/>
                <w:lang w:val="en-US" w:eastAsia="zh-CN"/>
              </w:rPr>
            </w:pPr>
          </w:p>
        </w:tc>
        <w:tc>
          <w:tcPr>
            <w:tcW w:w="64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304</w:t>
            </w:r>
          </w:p>
        </w:tc>
        <w:tc>
          <w:tcPr>
            <w:tcW w:w="725" w:type="dxa"/>
            <w:vAlign w:val="top"/>
          </w:tcPr>
          <w:p>
            <w:pPr>
              <w:widowControl/>
              <w:jc w:val="center"/>
              <w:outlineLvl w:val="1"/>
              <w:rPr>
                <w:rFonts w:ascii="仿宋_GB2312" w:hAnsi="宋体" w:eastAsia="仿宋_GB2312"/>
                <w:kern w:val="0"/>
                <w:sz w:val="20"/>
                <w:szCs w:val="20"/>
              </w:rPr>
            </w:pPr>
          </w:p>
        </w:tc>
        <w:tc>
          <w:tcPr>
            <w:tcW w:w="652" w:type="dxa"/>
            <w:vAlign w:val="top"/>
          </w:tcPr>
          <w:p>
            <w:pPr>
              <w:widowControl/>
              <w:jc w:val="center"/>
              <w:outlineLvl w:val="1"/>
              <w:rPr>
                <w:rFonts w:ascii="仿宋_GB2312" w:hAnsi="宋体" w:eastAsia="仿宋_GB2312"/>
                <w:kern w:val="0"/>
                <w:sz w:val="20"/>
                <w:szCs w:val="20"/>
              </w:rPr>
            </w:pPr>
          </w:p>
        </w:tc>
        <w:tc>
          <w:tcPr>
            <w:tcW w:w="578" w:type="dxa"/>
            <w:gridSpan w:val="2"/>
            <w:vAlign w:val="top"/>
          </w:tcPr>
          <w:p>
            <w:pPr>
              <w:widowControl/>
              <w:jc w:val="center"/>
              <w:outlineLvl w:val="1"/>
              <w:rPr>
                <w:rFonts w:ascii="仿宋_GB2312" w:hAnsi="宋体" w:eastAsia="仿宋_GB2312"/>
                <w:kern w:val="0"/>
                <w:sz w:val="20"/>
                <w:szCs w:val="20"/>
              </w:rPr>
            </w:pPr>
          </w:p>
        </w:tc>
        <w:tc>
          <w:tcPr>
            <w:tcW w:w="419" w:type="dxa"/>
            <w:vAlign w:val="top"/>
          </w:tcPr>
          <w:p>
            <w:pPr>
              <w:widowControl/>
              <w:jc w:val="center"/>
              <w:outlineLvl w:val="1"/>
              <w:rPr>
                <w:rFonts w:ascii="仿宋_GB2312" w:hAnsi="宋体" w:eastAsia="仿宋_GB2312"/>
                <w:kern w:val="0"/>
                <w:sz w:val="20"/>
                <w:szCs w:val="20"/>
              </w:rPr>
            </w:pPr>
          </w:p>
        </w:tc>
        <w:tc>
          <w:tcPr>
            <w:tcW w:w="578"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389" w:type="dxa"/>
            <w:vAlign w:val="top"/>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78" w:hRule="atLeast"/>
        </w:trPr>
        <w:tc>
          <w:tcPr>
            <w:tcW w:w="525" w:type="dxa"/>
            <w:gridSpan w:val="2"/>
            <w:vAlign w:val="center"/>
          </w:tcPr>
          <w:p>
            <w:pPr>
              <w:jc w:val="center"/>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205</w:t>
            </w:r>
          </w:p>
        </w:tc>
        <w:tc>
          <w:tcPr>
            <w:tcW w:w="330" w:type="dxa"/>
            <w:vAlign w:val="center"/>
          </w:tcPr>
          <w:p>
            <w:pPr>
              <w:jc w:val="center"/>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01</w:t>
            </w:r>
          </w:p>
        </w:tc>
        <w:tc>
          <w:tcPr>
            <w:tcW w:w="336" w:type="dxa"/>
            <w:vAlign w:val="center"/>
          </w:tcPr>
          <w:p>
            <w:pPr>
              <w:jc w:val="center"/>
              <w:rPr>
                <w:rFonts w:hint="eastAsia" w:ascii="仿宋_GB2312" w:hAnsi="宋体" w:eastAsia="仿宋_GB2312"/>
                <w:kern w:val="0"/>
                <w:sz w:val="20"/>
                <w:szCs w:val="20"/>
              </w:rPr>
            </w:pPr>
          </w:p>
        </w:tc>
        <w:tc>
          <w:tcPr>
            <w:tcW w:w="851" w:type="dxa"/>
            <w:vAlign w:val="center"/>
          </w:tcPr>
          <w:p>
            <w:pPr>
              <w:jc w:val="center"/>
              <w:rPr>
                <w:rFonts w:hint="eastAsia" w:ascii="仿宋_GB2312" w:hAnsi="宋体" w:eastAsia="仿宋_GB2312"/>
                <w:kern w:val="0"/>
                <w:sz w:val="20"/>
                <w:szCs w:val="20"/>
              </w:rPr>
            </w:pPr>
            <w:r>
              <w:rPr>
                <w:rFonts w:hint="eastAsia" w:ascii="仿宋_GB2312" w:hAnsi="仿宋_GB2312" w:eastAsia="仿宋_GB2312" w:cs="仿宋_GB2312"/>
                <w:color w:val="000000"/>
                <w:sz w:val="20"/>
                <w:szCs w:val="20"/>
                <w:lang w:val="en-US" w:eastAsia="zh-CN"/>
              </w:rPr>
              <w:t>教育管理事务</w:t>
            </w:r>
          </w:p>
        </w:tc>
        <w:tc>
          <w:tcPr>
            <w:tcW w:w="1558" w:type="dxa"/>
            <w:vAlign w:val="center"/>
          </w:tcPr>
          <w:p>
            <w:pPr>
              <w:widowControl/>
              <w:jc w:val="center"/>
              <w:textAlignment w:val="center"/>
              <w:rPr>
                <w:rFonts w:hint="eastAsia" w:ascii="仿宋_GB2312" w:hAnsi="仿宋_GB2312" w:eastAsia="仿宋_GB2312" w:cs="仿宋_GB2312"/>
                <w:color w:val="000000"/>
                <w:kern w:val="0"/>
                <w:sz w:val="20"/>
                <w:szCs w:val="20"/>
                <w:lang w:val="en-US" w:eastAsia="zh-CN"/>
              </w:rPr>
            </w:pPr>
          </w:p>
        </w:tc>
        <w:tc>
          <w:tcPr>
            <w:tcW w:w="61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304</w:t>
            </w:r>
          </w:p>
        </w:tc>
        <w:tc>
          <w:tcPr>
            <w:tcW w:w="420" w:type="dxa"/>
            <w:vAlign w:val="top"/>
          </w:tcPr>
          <w:p>
            <w:pPr>
              <w:widowControl/>
              <w:jc w:val="right"/>
              <w:outlineLvl w:val="1"/>
              <w:rPr>
                <w:rFonts w:hint="eastAsia" w:ascii="仿宋_GB2312" w:hAnsi="宋体" w:eastAsia="仿宋_GB2312"/>
                <w:kern w:val="0"/>
                <w:szCs w:val="21"/>
                <w:lang w:val="en-US" w:eastAsia="zh-CN"/>
              </w:rPr>
            </w:pPr>
          </w:p>
        </w:tc>
        <w:tc>
          <w:tcPr>
            <w:tcW w:w="64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304</w:t>
            </w:r>
          </w:p>
        </w:tc>
        <w:tc>
          <w:tcPr>
            <w:tcW w:w="725" w:type="dxa"/>
            <w:vAlign w:val="top"/>
          </w:tcPr>
          <w:p>
            <w:pPr>
              <w:widowControl/>
              <w:jc w:val="center"/>
              <w:outlineLvl w:val="1"/>
              <w:rPr>
                <w:rFonts w:ascii="仿宋_GB2312" w:hAnsi="宋体" w:eastAsia="仿宋_GB2312"/>
                <w:kern w:val="0"/>
                <w:sz w:val="20"/>
                <w:szCs w:val="20"/>
              </w:rPr>
            </w:pPr>
          </w:p>
        </w:tc>
        <w:tc>
          <w:tcPr>
            <w:tcW w:w="652" w:type="dxa"/>
            <w:vAlign w:val="top"/>
          </w:tcPr>
          <w:p>
            <w:pPr>
              <w:widowControl/>
              <w:jc w:val="center"/>
              <w:outlineLvl w:val="1"/>
              <w:rPr>
                <w:rFonts w:ascii="仿宋_GB2312" w:hAnsi="宋体" w:eastAsia="仿宋_GB2312"/>
                <w:kern w:val="0"/>
                <w:sz w:val="20"/>
                <w:szCs w:val="20"/>
              </w:rPr>
            </w:pPr>
          </w:p>
        </w:tc>
        <w:tc>
          <w:tcPr>
            <w:tcW w:w="578" w:type="dxa"/>
            <w:gridSpan w:val="2"/>
            <w:vAlign w:val="top"/>
          </w:tcPr>
          <w:p>
            <w:pPr>
              <w:widowControl/>
              <w:jc w:val="center"/>
              <w:outlineLvl w:val="1"/>
              <w:rPr>
                <w:rFonts w:ascii="仿宋_GB2312" w:hAnsi="宋体" w:eastAsia="仿宋_GB2312"/>
                <w:kern w:val="0"/>
                <w:sz w:val="20"/>
                <w:szCs w:val="20"/>
              </w:rPr>
            </w:pPr>
          </w:p>
        </w:tc>
        <w:tc>
          <w:tcPr>
            <w:tcW w:w="419" w:type="dxa"/>
            <w:vAlign w:val="top"/>
          </w:tcPr>
          <w:p>
            <w:pPr>
              <w:widowControl/>
              <w:jc w:val="center"/>
              <w:outlineLvl w:val="1"/>
              <w:rPr>
                <w:rFonts w:ascii="仿宋_GB2312" w:hAnsi="宋体" w:eastAsia="仿宋_GB2312"/>
                <w:kern w:val="0"/>
                <w:sz w:val="20"/>
                <w:szCs w:val="20"/>
              </w:rPr>
            </w:pPr>
          </w:p>
        </w:tc>
        <w:tc>
          <w:tcPr>
            <w:tcW w:w="578"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389" w:type="dxa"/>
            <w:vAlign w:val="top"/>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25" w:type="dxa"/>
            <w:gridSpan w:val="2"/>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205</w:t>
            </w:r>
          </w:p>
        </w:tc>
        <w:tc>
          <w:tcPr>
            <w:tcW w:w="330"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01</w:t>
            </w:r>
          </w:p>
        </w:tc>
        <w:tc>
          <w:tcPr>
            <w:tcW w:w="336"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02</w:t>
            </w:r>
          </w:p>
        </w:tc>
        <w:tc>
          <w:tcPr>
            <w:tcW w:w="851"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一般行政管理事务</w:t>
            </w:r>
          </w:p>
        </w:tc>
        <w:tc>
          <w:tcPr>
            <w:tcW w:w="1558" w:type="dxa"/>
            <w:vAlign w:val="center"/>
          </w:tcPr>
          <w:p>
            <w:pPr>
              <w:widowControl/>
              <w:jc w:val="center"/>
              <w:textAlignment w:val="center"/>
              <w:rPr>
                <w:rFonts w:hint="default" w:ascii="仿宋_GB2312" w:hAnsi="宋体" w:eastAsia="仿宋_GB2312"/>
                <w:kern w:val="0"/>
                <w:sz w:val="20"/>
                <w:szCs w:val="20"/>
                <w:lang w:val="en-US" w:eastAsia="zh-CN"/>
              </w:rPr>
            </w:pPr>
            <w:r>
              <w:rPr>
                <w:rFonts w:hint="eastAsia" w:ascii="仿宋_GB2312" w:hAnsi="仿宋_GB2312" w:eastAsia="仿宋_GB2312" w:cs="仿宋_GB2312"/>
                <w:color w:val="000000"/>
                <w:kern w:val="0"/>
                <w:sz w:val="20"/>
                <w:szCs w:val="20"/>
                <w:lang w:val="en-US" w:eastAsia="zh-CN"/>
              </w:rPr>
              <w:t>机关运行补助经费</w:t>
            </w:r>
          </w:p>
        </w:tc>
        <w:tc>
          <w:tcPr>
            <w:tcW w:w="61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60</w:t>
            </w:r>
          </w:p>
        </w:tc>
        <w:tc>
          <w:tcPr>
            <w:tcW w:w="420" w:type="dxa"/>
            <w:vAlign w:val="top"/>
          </w:tcPr>
          <w:p>
            <w:pPr>
              <w:widowControl/>
              <w:jc w:val="right"/>
              <w:outlineLvl w:val="1"/>
              <w:rPr>
                <w:rFonts w:hint="eastAsia" w:ascii="仿宋_GB2312" w:hAnsi="宋体" w:eastAsia="仿宋_GB2312"/>
                <w:kern w:val="0"/>
                <w:szCs w:val="21"/>
                <w:lang w:val="en-US" w:eastAsia="zh-CN"/>
              </w:rPr>
            </w:pPr>
          </w:p>
        </w:tc>
        <w:tc>
          <w:tcPr>
            <w:tcW w:w="64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60</w:t>
            </w:r>
          </w:p>
        </w:tc>
        <w:tc>
          <w:tcPr>
            <w:tcW w:w="725" w:type="dxa"/>
            <w:vAlign w:val="top"/>
          </w:tcPr>
          <w:p>
            <w:pPr>
              <w:widowControl/>
              <w:jc w:val="center"/>
              <w:outlineLvl w:val="1"/>
              <w:rPr>
                <w:rFonts w:ascii="仿宋_GB2312" w:hAnsi="宋体" w:eastAsia="仿宋_GB2312"/>
                <w:kern w:val="0"/>
                <w:sz w:val="20"/>
                <w:szCs w:val="20"/>
              </w:rPr>
            </w:pPr>
          </w:p>
        </w:tc>
        <w:tc>
          <w:tcPr>
            <w:tcW w:w="652" w:type="dxa"/>
            <w:vAlign w:val="top"/>
          </w:tcPr>
          <w:p>
            <w:pPr>
              <w:widowControl/>
              <w:jc w:val="center"/>
              <w:outlineLvl w:val="1"/>
              <w:rPr>
                <w:rFonts w:ascii="仿宋_GB2312" w:hAnsi="宋体" w:eastAsia="仿宋_GB2312"/>
                <w:kern w:val="0"/>
                <w:sz w:val="20"/>
                <w:szCs w:val="20"/>
              </w:rPr>
            </w:pPr>
          </w:p>
        </w:tc>
        <w:tc>
          <w:tcPr>
            <w:tcW w:w="578" w:type="dxa"/>
            <w:gridSpan w:val="2"/>
            <w:vAlign w:val="top"/>
          </w:tcPr>
          <w:p>
            <w:pPr>
              <w:widowControl/>
              <w:jc w:val="center"/>
              <w:outlineLvl w:val="1"/>
              <w:rPr>
                <w:rFonts w:ascii="仿宋_GB2312" w:hAnsi="宋体" w:eastAsia="仿宋_GB2312"/>
                <w:kern w:val="0"/>
                <w:sz w:val="20"/>
                <w:szCs w:val="20"/>
              </w:rPr>
            </w:pPr>
          </w:p>
        </w:tc>
        <w:tc>
          <w:tcPr>
            <w:tcW w:w="419" w:type="dxa"/>
            <w:vAlign w:val="top"/>
          </w:tcPr>
          <w:p>
            <w:pPr>
              <w:widowControl/>
              <w:jc w:val="center"/>
              <w:outlineLvl w:val="1"/>
              <w:rPr>
                <w:rFonts w:ascii="仿宋_GB2312" w:hAnsi="宋体" w:eastAsia="仿宋_GB2312"/>
                <w:kern w:val="0"/>
                <w:sz w:val="20"/>
                <w:szCs w:val="20"/>
              </w:rPr>
            </w:pPr>
          </w:p>
        </w:tc>
        <w:tc>
          <w:tcPr>
            <w:tcW w:w="578"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389" w:type="dxa"/>
            <w:vAlign w:val="top"/>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25" w:type="dxa"/>
            <w:gridSpan w:val="2"/>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205</w:t>
            </w:r>
          </w:p>
        </w:tc>
        <w:tc>
          <w:tcPr>
            <w:tcW w:w="330"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01</w:t>
            </w:r>
          </w:p>
        </w:tc>
        <w:tc>
          <w:tcPr>
            <w:tcW w:w="336"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02</w:t>
            </w:r>
          </w:p>
        </w:tc>
        <w:tc>
          <w:tcPr>
            <w:tcW w:w="851"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一般行政管理事务</w:t>
            </w:r>
          </w:p>
        </w:tc>
        <w:tc>
          <w:tcPr>
            <w:tcW w:w="1558" w:type="dxa"/>
            <w:vAlign w:val="center"/>
          </w:tcPr>
          <w:p>
            <w:pPr>
              <w:widowControl/>
              <w:jc w:val="center"/>
              <w:textAlignment w:val="center"/>
              <w:rPr>
                <w:rFonts w:hint="default" w:ascii="仿宋_GB2312" w:hAnsi="宋体" w:eastAsia="仿宋_GB2312"/>
                <w:kern w:val="0"/>
                <w:sz w:val="20"/>
                <w:szCs w:val="20"/>
                <w:lang w:val="en-US" w:eastAsia="zh-CN"/>
              </w:rPr>
            </w:pPr>
            <w:r>
              <w:rPr>
                <w:rFonts w:hint="eastAsia" w:ascii="仿宋_GB2312" w:hAnsi="仿宋_GB2312" w:eastAsia="仿宋_GB2312" w:cs="仿宋_GB2312"/>
                <w:color w:val="000000"/>
                <w:kern w:val="0"/>
                <w:sz w:val="20"/>
                <w:szCs w:val="20"/>
                <w:lang w:val="en-US" w:eastAsia="zh-CN"/>
              </w:rPr>
              <w:t>教师队伍建设经费</w:t>
            </w:r>
          </w:p>
        </w:tc>
        <w:tc>
          <w:tcPr>
            <w:tcW w:w="61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124</w:t>
            </w:r>
          </w:p>
        </w:tc>
        <w:tc>
          <w:tcPr>
            <w:tcW w:w="420" w:type="dxa"/>
            <w:vAlign w:val="top"/>
          </w:tcPr>
          <w:p>
            <w:pPr>
              <w:widowControl/>
              <w:jc w:val="right"/>
              <w:outlineLvl w:val="1"/>
              <w:rPr>
                <w:rFonts w:hint="eastAsia" w:ascii="仿宋_GB2312" w:hAnsi="宋体" w:eastAsia="仿宋_GB2312"/>
                <w:kern w:val="0"/>
                <w:szCs w:val="21"/>
                <w:lang w:val="en-US" w:eastAsia="zh-CN"/>
              </w:rPr>
            </w:pPr>
          </w:p>
        </w:tc>
        <w:tc>
          <w:tcPr>
            <w:tcW w:w="64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124</w:t>
            </w:r>
          </w:p>
        </w:tc>
        <w:tc>
          <w:tcPr>
            <w:tcW w:w="725" w:type="dxa"/>
            <w:vAlign w:val="top"/>
          </w:tcPr>
          <w:p>
            <w:pPr>
              <w:widowControl/>
              <w:jc w:val="center"/>
              <w:outlineLvl w:val="1"/>
              <w:rPr>
                <w:rFonts w:ascii="仿宋_GB2312" w:hAnsi="宋体" w:eastAsia="仿宋_GB2312"/>
                <w:kern w:val="0"/>
                <w:sz w:val="20"/>
                <w:szCs w:val="20"/>
              </w:rPr>
            </w:pPr>
          </w:p>
        </w:tc>
        <w:tc>
          <w:tcPr>
            <w:tcW w:w="652" w:type="dxa"/>
            <w:vAlign w:val="top"/>
          </w:tcPr>
          <w:p>
            <w:pPr>
              <w:widowControl/>
              <w:jc w:val="center"/>
              <w:outlineLvl w:val="1"/>
              <w:rPr>
                <w:rFonts w:ascii="仿宋_GB2312" w:hAnsi="宋体" w:eastAsia="仿宋_GB2312"/>
                <w:kern w:val="0"/>
                <w:sz w:val="20"/>
                <w:szCs w:val="20"/>
              </w:rPr>
            </w:pPr>
          </w:p>
        </w:tc>
        <w:tc>
          <w:tcPr>
            <w:tcW w:w="578" w:type="dxa"/>
            <w:gridSpan w:val="2"/>
            <w:vAlign w:val="top"/>
          </w:tcPr>
          <w:p>
            <w:pPr>
              <w:widowControl/>
              <w:jc w:val="center"/>
              <w:outlineLvl w:val="1"/>
              <w:rPr>
                <w:rFonts w:ascii="仿宋_GB2312" w:hAnsi="宋体" w:eastAsia="仿宋_GB2312"/>
                <w:kern w:val="0"/>
                <w:sz w:val="20"/>
                <w:szCs w:val="20"/>
              </w:rPr>
            </w:pPr>
          </w:p>
        </w:tc>
        <w:tc>
          <w:tcPr>
            <w:tcW w:w="419" w:type="dxa"/>
            <w:vAlign w:val="top"/>
          </w:tcPr>
          <w:p>
            <w:pPr>
              <w:widowControl/>
              <w:jc w:val="center"/>
              <w:outlineLvl w:val="1"/>
              <w:rPr>
                <w:rFonts w:ascii="仿宋_GB2312" w:hAnsi="宋体" w:eastAsia="仿宋_GB2312"/>
                <w:kern w:val="0"/>
                <w:sz w:val="20"/>
                <w:szCs w:val="20"/>
              </w:rPr>
            </w:pPr>
          </w:p>
        </w:tc>
        <w:tc>
          <w:tcPr>
            <w:tcW w:w="578"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389" w:type="dxa"/>
            <w:vAlign w:val="top"/>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25" w:type="dxa"/>
            <w:gridSpan w:val="2"/>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205</w:t>
            </w:r>
          </w:p>
        </w:tc>
        <w:tc>
          <w:tcPr>
            <w:tcW w:w="330"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01</w:t>
            </w:r>
          </w:p>
        </w:tc>
        <w:tc>
          <w:tcPr>
            <w:tcW w:w="336"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02</w:t>
            </w:r>
          </w:p>
        </w:tc>
        <w:tc>
          <w:tcPr>
            <w:tcW w:w="851"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一般行政管理事务</w:t>
            </w:r>
          </w:p>
        </w:tc>
        <w:tc>
          <w:tcPr>
            <w:tcW w:w="1558" w:type="dxa"/>
            <w:vAlign w:val="center"/>
          </w:tcPr>
          <w:p>
            <w:pPr>
              <w:widowControl/>
              <w:jc w:val="center"/>
              <w:textAlignment w:val="center"/>
              <w:rPr>
                <w:rFonts w:ascii="仿宋_GB2312" w:hAnsi="宋体" w:eastAsia="仿宋_GB2312"/>
                <w:kern w:val="0"/>
                <w:sz w:val="20"/>
                <w:szCs w:val="20"/>
              </w:rPr>
            </w:pPr>
            <w:r>
              <w:rPr>
                <w:rFonts w:hint="eastAsia" w:ascii="仿宋_GB2312" w:hAnsi="仿宋_GB2312" w:eastAsia="仿宋_GB2312" w:cs="仿宋_GB2312"/>
                <w:color w:val="000000"/>
                <w:kern w:val="0"/>
                <w:sz w:val="20"/>
                <w:szCs w:val="20"/>
              </w:rPr>
              <w:t>教育督导</w:t>
            </w:r>
            <w:r>
              <w:rPr>
                <w:rFonts w:hint="eastAsia" w:ascii="仿宋_GB2312" w:hAnsi="仿宋_GB2312" w:eastAsia="仿宋_GB2312" w:cs="仿宋_GB2312"/>
                <w:color w:val="000000"/>
                <w:kern w:val="0"/>
                <w:sz w:val="20"/>
                <w:szCs w:val="20"/>
                <w:lang w:val="en-US" w:eastAsia="zh-CN"/>
              </w:rPr>
              <w:t>工作</w:t>
            </w:r>
            <w:r>
              <w:rPr>
                <w:rFonts w:hint="eastAsia" w:ascii="仿宋_GB2312" w:hAnsi="仿宋_GB2312" w:eastAsia="仿宋_GB2312" w:cs="仿宋_GB2312"/>
                <w:color w:val="000000"/>
                <w:kern w:val="0"/>
                <w:sz w:val="20"/>
                <w:szCs w:val="20"/>
              </w:rPr>
              <w:t>经费</w:t>
            </w:r>
          </w:p>
        </w:tc>
        <w:tc>
          <w:tcPr>
            <w:tcW w:w="61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20</w:t>
            </w:r>
          </w:p>
        </w:tc>
        <w:tc>
          <w:tcPr>
            <w:tcW w:w="420" w:type="dxa"/>
            <w:vAlign w:val="top"/>
          </w:tcPr>
          <w:p>
            <w:pPr>
              <w:widowControl/>
              <w:jc w:val="right"/>
              <w:outlineLvl w:val="1"/>
              <w:rPr>
                <w:rFonts w:hint="eastAsia" w:ascii="仿宋_GB2312" w:hAnsi="宋体" w:eastAsia="仿宋_GB2312"/>
                <w:kern w:val="0"/>
                <w:szCs w:val="21"/>
                <w:lang w:val="en-US" w:eastAsia="zh-CN"/>
              </w:rPr>
            </w:pPr>
          </w:p>
        </w:tc>
        <w:tc>
          <w:tcPr>
            <w:tcW w:w="64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20</w:t>
            </w:r>
          </w:p>
        </w:tc>
        <w:tc>
          <w:tcPr>
            <w:tcW w:w="725" w:type="dxa"/>
            <w:vAlign w:val="top"/>
          </w:tcPr>
          <w:p>
            <w:pPr>
              <w:widowControl/>
              <w:jc w:val="center"/>
              <w:outlineLvl w:val="1"/>
              <w:rPr>
                <w:rFonts w:ascii="仿宋_GB2312" w:hAnsi="宋体" w:eastAsia="仿宋_GB2312"/>
                <w:kern w:val="0"/>
                <w:sz w:val="20"/>
                <w:szCs w:val="20"/>
              </w:rPr>
            </w:pPr>
          </w:p>
        </w:tc>
        <w:tc>
          <w:tcPr>
            <w:tcW w:w="652" w:type="dxa"/>
            <w:vAlign w:val="top"/>
          </w:tcPr>
          <w:p>
            <w:pPr>
              <w:widowControl/>
              <w:jc w:val="center"/>
              <w:outlineLvl w:val="1"/>
              <w:rPr>
                <w:rFonts w:ascii="仿宋_GB2312" w:hAnsi="宋体" w:eastAsia="仿宋_GB2312"/>
                <w:kern w:val="0"/>
                <w:sz w:val="20"/>
                <w:szCs w:val="20"/>
              </w:rPr>
            </w:pPr>
          </w:p>
        </w:tc>
        <w:tc>
          <w:tcPr>
            <w:tcW w:w="578" w:type="dxa"/>
            <w:gridSpan w:val="2"/>
            <w:vAlign w:val="top"/>
          </w:tcPr>
          <w:p>
            <w:pPr>
              <w:widowControl/>
              <w:jc w:val="center"/>
              <w:outlineLvl w:val="1"/>
              <w:rPr>
                <w:rFonts w:ascii="仿宋_GB2312" w:hAnsi="宋体" w:eastAsia="仿宋_GB2312"/>
                <w:kern w:val="0"/>
                <w:sz w:val="20"/>
                <w:szCs w:val="20"/>
              </w:rPr>
            </w:pPr>
          </w:p>
        </w:tc>
        <w:tc>
          <w:tcPr>
            <w:tcW w:w="419" w:type="dxa"/>
            <w:vAlign w:val="top"/>
          </w:tcPr>
          <w:p>
            <w:pPr>
              <w:widowControl/>
              <w:jc w:val="center"/>
              <w:outlineLvl w:val="1"/>
              <w:rPr>
                <w:rFonts w:ascii="仿宋_GB2312" w:hAnsi="宋体" w:eastAsia="仿宋_GB2312"/>
                <w:kern w:val="0"/>
                <w:sz w:val="20"/>
                <w:szCs w:val="20"/>
              </w:rPr>
            </w:pPr>
          </w:p>
        </w:tc>
        <w:tc>
          <w:tcPr>
            <w:tcW w:w="578"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389" w:type="dxa"/>
            <w:vAlign w:val="top"/>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25" w:type="dxa"/>
            <w:gridSpan w:val="2"/>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205</w:t>
            </w:r>
          </w:p>
        </w:tc>
        <w:tc>
          <w:tcPr>
            <w:tcW w:w="330"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01</w:t>
            </w:r>
          </w:p>
        </w:tc>
        <w:tc>
          <w:tcPr>
            <w:tcW w:w="336"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02</w:t>
            </w:r>
          </w:p>
        </w:tc>
        <w:tc>
          <w:tcPr>
            <w:tcW w:w="851"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一般行政管理事务</w:t>
            </w:r>
          </w:p>
        </w:tc>
        <w:tc>
          <w:tcPr>
            <w:tcW w:w="1558" w:type="dxa"/>
            <w:vAlign w:val="center"/>
          </w:tcPr>
          <w:p>
            <w:pPr>
              <w:widowControl/>
              <w:jc w:val="center"/>
              <w:textAlignment w:val="center"/>
              <w:rPr>
                <w:rFonts w:ascii="仿宋_GB2312" w:hAnsi="宋体" w:eastAsia="仿宋_GB2312"/>
                <w:kern w:val="0"/>
                <w:sz w:val="20"/>
                <w:szCs w:val="20"/>
              </w:rPr>
            </w:pPr>
            <w:r>
              <w:rPr>
                <w:rFonts w:hint="eastAsia" w:ascii="仿宋_GB2312" w:hAnsi="仿宋_GB2312" w:eastAsia="仿宋_GB2312" w:cs="仿宋_GB2312"/>
                <w:sz w:val="20"/>
                <w:szCs w:val="20"/>
                <w:lang w:val="en-US" w:eastAsia="zh-CN"/>
              </w:rPr>
              <w:t>学生体卫艺科劳研学工作经费</w:t>
            </w:r>
          </w:p>
        </w:tc>
        <w:tc>
          <w:tcPr>
            <w:tcW w:w="61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50</w:t>
            </w:r>
          </w:p>
        </w:tc>
        <w:tc>
          <w:tcPr>
            <w:tcW w:w="420" w:type="dxa"/>
            <w:vAlign w:val="top"/>
          </w:tcPr>
          <w:p>
            <w:pPr>
              <w:widowControl/>
              <w:jc w:val="right"/>
              <w:outlineLvl w:val="1"/>
              <w:rPr>
                <w:rFonts w:hint="eastAsia" w:ascii="仿宋_GB2312" w:hAnsi="宋体" w:eastAsia="仿宋_GB2312"/>
                <w:kern w:val="0"/>
                <w:szCs w:val="21"/>
                <w:lang w:val="en-US" w:eastAsia="zh-CN"/>
              </w:rPr>
            </w:pPr>
          </w:p>
        </w:tc>
        <w:tc>
          <w:tcPr>
            <w:tcW w:w="64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50</w:t>
            </w:r>
          </w:p>
        </w:tc>
        <w:tc>
          <w:tcPr>
            <w:tcW w:w="725" w:type="dxa"/>
            <w:vAlign w:val="top"/>
          </w:tcPr>
          <w:p>
            <w:pPr>
              <w:widowControl/>
              <w:jc w:val="center"/>
              <w:outlineLvl w:val="1"/>
              <w:rPr>
                <w:rFonts w:ascii="仿宋_GB2312" w:hAnsi="宋体" w:eastAsia="仿宋_GB2312"/>
                <w:kern w:val="0"/>
                <w:sz w:val="20"/>
                <w:szCs w:val="20"/>
              </w:rPr>
            </w:pPr>
          </w:p>
        </w:tc>
        <w:tc>
          <w:tcPr>
            <w:tcW w:w="652" w:type="dxa"/>
            <w:vAlign w:val="top"/>
          </w:tcPr>
          <w:p>
            <w:pPr>
              <w:widowControl/>
              <w:jc w:val="center"/>
              <w:outlineLvl w:val="1"/>
              <w:rPr>
                <w:rFonts w:ascii="仿宋_GB2312" w:hAnsi="宋体" w:eastAsia="仿宋_GB2312"/>
                <w:kern w:val="0"/>
                <w:sz w:val="20"/>
                <w:szCs w:val="20"/>
              </w:rPr>
            </w:pPr>
          </w:p>
        </w:tc>
        <w:tc>
          <w:tcPr>
            <w:tcW w:w="578" w:type="dxa"/>
            <w:gridSpan w:val="2"/>
            <w:vAlign w:val="top"/>
          </w:tcPr>
          <w:p>
            <w:pPr>
              <w:widowControl/>
              <w:jc w:val="center"/>
              <w:outlineLvl w:val="1"/>
              <w:rPr>
                <w:rFonts w:ascii="仿宋_GB2312" w:hAnsi="宋体" w:eastAsia="仿宋_GB2312"/>
                <w:kern w:val="0"/>
                <w:sz w:val="20"/>
                <w:szCs w:val="20"/>
              </w:rPr>
            </w:pPr>
          </w:p>
        </w:tc>
        <w:tc>
          <w:tcPr>
            <w:tcW w:w="419" w:type="dxa"/>
            <w:vAlign w:val="top"/>
          </w:tcPr>
          <w:p>
            <w:pPr>
              <w:widowControl/>
              <w:jc w:val="center"/>
              <w:outlineLvl w:val="1"/>
              <w:rPr>
                <w:rFonts w:ascii="仿宋_GB2312" w:hAnsi="宋体" w:eastAsia="仿宋_GB2312"/>
                <w:kern w:val="0"/>
                <w:sz w:val="20"/>
                <w:szCs w:val="20"/>
              </w:rPr>
            </w:pPr>
          </w:p>
        </w:tc>
        <w:tc>
          <w:tcPr>
            <w:tcW w:w="578"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389" w:type="dxa"/>
            <w:vAlign w:val="top"/>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25" w:type="dxa"/>
            <w:gridSpan w:val="2"/>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205</w:t>
            </w:r>
          </w:p>
        </w:tc>
        <w:tc>
          <w:tcPr>
            <w:tcW w:w="330"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01</w:t>
            </w:r>
          </w:p>
        </w:tc>
        <w:tc>
          <w:tcPr>
            <w:tcW w:w="336"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02</w:t>
            </w:r>
          </w:p>
        </w:tc>
        <w:tc>
          <w:tcPr>
            <w:tcW w:w="851" w:type="dxa"/>
            <w:vAlign w:val="center"/>
          </w:tcPr>
          <w:p>
            <w:pPr>
              <w:jc w:val="center"/>
              <w:rPr>
                <w:rFonts w:ascii="仿宋_GB2312" w:hAnsi="宋体" w:eastAsia="仿宋_GB2312"/>
                <w:kern w:val="0"/>
                <w:sz w:val="20"/>
                <w:szCs w:val="20"/>
              </w:rPr>
            </w:pPr>
            <w:r>
              <w:rPr>
                <w:rFonts w:hint="eastAsia" w:ascii="仿宋_GB2312" w:hAnsi="宋体" w:eastAsia="仿宋_GB2312"/>
                <w:kern w:val="0"/>
                <w:sz w:val="20"/>
                <w:szCs w:val="20"/>
              </w:rPr>
              <w:t>一般行政管理事务</w:t>
            </w:r>
          </w:p>
        </w:tc>
        <w:tc>
          <w:tcPr>
            <w:tcW w:w="1558" w:type="dxa"/>
            <w:vAlign w:val="center"/>
          </w:tcPr>
          <w:p>
            <w:pPr>
              <w:widowControl/>
              <w:jc w:val="center"/>
              <w:textAlignment w:val="center"/>
              <w:rPr>
                <w:rFonts w:ascii="仿宋_GB2312" w:hAnsi="宋体" w:eastAsia="仿宋_GB2312"/>
                <w:kern w:val="0"/>
                <w:sz w:val="20"/>
                <w:szCs w:val="20"/>
              </w:rPr>
            </w:pPr>
            <w:r>
              <w:rPr>
                <w:rFonts w:hint="eastAsia" w:ascii="仿宋_GB2312" w:hAnsi="仿宋_GB2312" w:eastAsia="仿宋_GB2312" w:cs="仿宋_GB2312"/>
                <w:color w:val="000000"/>
                <w:kern w:val="0"/>
                <w:sz w:val="20"/>
                <w:szCs w:val="20"/>
              </w:rPr>
              <w:t>语言文字工作经费</w:t>
            </w:r>
          </w:p>
        </w:tc>
        <w:tc>
          <w:tcPr>
            <w:tcW w:w="61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10</w:t>
            </w:r>
          </w:p>
        </w:tc>
        <w:tc>
          <w:tcPr>
            <w:tcW w:w="420" w:type="dxa"/>
            <w:vAlign w:val="top"/>
          </w:tcPr>
          <w:p>
            <w:pPr>
              <w:widowControl/>
              <w:jc w:val="right"/>
              <w:outlineLvl w:val="1"/>
              <w:rPr>
                <w:rFonts w:hint="eastAsia" w:ascii="仿宋_GB2312" w:hAnsi="宋体" w:eastAsia="仿宋_GB2312"/>
                <w:kern w:val="0"/>
                <w:szCs w:val="21"/>
                <w:lang w:val="en-US" w:eastAsia="zh-CN"/>
              </w:rPr>
            </w:pPr>
          </w:p>
        </w:tc>
        <w:tc>
          <w:tcPr>
            <w:tcW w:w="64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10</w:t>
            </w:r>
          </w:p>
        </w:tc>
        <w:tc>
          <w:tcPr>
            <w:tcW w:w="725" w:type="dxa"/>
            <w:vAlign w:val="top"/>
          </w:tcPr>
          <w:p>
            <w:pPr>
              <w:widowControl/>
              <w:jc w:val="center"/>
              <w:outlineLvl w:val="1"/>
              <w:rPr>
                <w:rFonts w:ascii="仿宋_GB2312" w:hAnsi="宋体" w:eastAsia="仿宋_GB2312"/>
                <w:kern w:val="0"/>
                <w:sz w:val="20"/>
                <w:szCs w:val="20"/>
              </w:rPr>
            </w:pPr>
          </w:p>
        </w:tc>
        <w:tc>
          <w:tcPr>
            <w:tcW w:w="652" w:type="dxa"/>
            <w:vAlign w:val="top"/>
          </w:tcPr>
          <w:p>
            <w:pPr>
              <w:widowControl/>
              <w:jc w:val="center"/>
              <w:outlineLvl w:val="1"/>
              <w:rPr>
                <w:rFonts w:ascii="仿宋_GB2312" w:hAnsi="宋体" w:eastAsia="仿宋_GB2312"/>
                <w:kern w:val="0"/>
                <w:sz w:val="20"/>
                <w:szCs w:val="20"/>
              </w:rPr>
            </w:pPr>
          </w:p>
        </w:tc>
        <w:tc>
          <w:tcPr>
            <w:tcW w:w="578" w:type="dxa"/>
            <w:gridSpan w:val="2"/>
            <w:vAlign w:val="top"/>
          </w:tcPr>
          <w:p>
            <w:pPr>
              <w:widowControl/>
              <w:jc w:val="center"/>
              <w:outlineLvl w:val="1"/>
              <w:rPr>
                <w:rFonts w:ascii="仿宋_GB2312" w:hAnsi="宋体" w:eastAsia="仿宋_GB2312"/>
                <w:kern w:val="0"/>
                <w:sz w:val="20"/>
                <w:szCs w:val="20"/>
              </w:rPr>
            </w:pPr>
          </w:p>
        </w:tc>
        <w:tc>
          <w:tcPr>
            <w:tcW w:w="419" w:type="dxa"/>
            <w:vAlign w:val="top"/>
          </w:tcPr>
          <w:p>
            <w:pPr>
              <w:widowControl/>
              <w:jc w:val="center"/>
              <w:outlineLvl w:val="1"/>
              <w:rPr>
                <w:rFonts w:ascii="仿宋_GB2312" w:hAnsi="宋体" w:eastAsia="仿宋_GB2312"/>
                <w:kern w:val="0"/>
                <w:sz w:val="20"/>
                <w:szCs w:val="20"/>
              </w:rPr>
            </w:pPr>
          </w:p>
        </w:tc>
        <w:tc>
          <w:tcPr>
            <w:tcW w:w="578"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389" w:type="dxa"/>
            <w:vAlign w:val="top"/>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25" w:type="dxa"/>
            <w:gridSpan w:val="2"/>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205</w:t>
            </w:r>
          </w:p>
        </w:tc>
        <w:tc>
          <w:tcPr>
            <w:tcW w:w="330"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01</w:t>
            </w:r>
          </w:p>
        </w:tc>
        <w:tc>
          <w:tcPr>
            <w:tcW w:w="336" w:type="dxa"/>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02</w:t>
            </w:r>
          </w:p>
        </w:tc>
        <w:tc>
          <w:tcPr>
            <w:tcW w:w="851" w:type="dxa"/>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其他教育管理事务支出</w:t>
            </w:r>
          </w:p>
        </w:tc>
        <w:tc>
          <w:tcPr>
            <w:tcW w:w="1558" w:type="dxa"/>
            <w:vAlign w:val="center"/>
          </w:tcPr>
          <w:p>
            <w:pPr>
              <w:widowControl/>
              <w:jc w:val="center"/>
              <w:textAlignment w:val="center"/>
              <w:rPr>
                <w:rFonts w:ascii="仿宋_GB2312" w:hAnsi="宋体" w:eastAsia="仿宋_GB2312"/>
                <w:kern w:val="0"/>
                <w:sz w:val="20"/>
                <w:szCs w:val="20"/>
              </w:rPr>
            </w:pPr>
            <w:r>
              <w:rPr>
                <w:rFonts w:hint="eastAsia" w:ascii="仿宋_GB2312" w:hAnsi="仿宋_GB2312" w:eastAsia="仿宋_GB2312" w:cs="仿宋_GB2312"/>
                <w:color w:val="000000"/>
                <w:kern w:val="0"/>
                <w:sz w:val="20"/>
                <w:szCs w:val="20"/>
              </w:rPr>
              <w:t>教师职称评审费</w:t>
            </w:r>
          </w:p>
        </w:tc>
        <w:tc>
          <w:tcPr>
            <w:tcW w:w="61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30</w:t>
            </w:r>
          </w:p>
        </w:tc>
        <w:tc>
          <w:tcPr>
            <w:tcW w:w="420" w:type="dxa"/>
            <w:vAlign w:val="top"/>
          </w:tcPr>
          <w:p>
            <w:pPr>
              <w:widowControl/>
              <w:jc w:val="right"/>
              <w:outlineLvl w:val="1"/>
              <w:rPr>
                <w:rFonts w:hint="eastAsia" w:ascii="仿宋_GB2312" w:hAnsi="宋体" w:eastAsia="仿宋_GB2312"/>
                <w:kern w:val="0"/>
                <w:szCs w:val="21"/>
                <w:lang w:val="en-US" w:eastAsia="zh-CN"/>
              </w:rPr>
            </w:pPr>
          </w:p>
        </w:tc>
        <w:tc>
          <w:tcPr>
            <w:tcW w:w="64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30</w:t>
            </w:r>
          </w:p>
        </w:tc>
        <w:tc>
          <w:tcPr>
            <w:tcW w:w="725" w:type="dxa"/>
            <w:vAlign w:val="top"/>
          </w:tcPr>
          <w:p>
            <w:pPr>
              <w:widowControl/>
              <w:jc w:val="center"/>
              <w:outlineLvl w:val="1"/>
              <w:rPr>
                <w:rFonts w:ascii="仿宋_GB2312" w:hAnsi="宋体" w:eastAsia="仿宋_GB2312"/>
                <w:kern w:val="0"/>
                <w:sz w:val="20"/>
                <w:szCs w:val="20"/>
              </w:rPr>
            </w:pPr>
          </w:p>
        </w:tc>
        <w:tc>
          <w:tcPr>
            <w:tcW w:w="652" w:type="dxa"/>
            <w:vAlign w:val="top"/>
          </w:tcPr>
          <w:p>
            <w:pPr>
              <w:widowControl/>
              <w:jc w:val="center"/>
              <w:outlineLvl w:val="1"/>
              <w:rPr>
                <w:rFonts w:ascii="仿宋_GB2312" w:hAnsi="宋体" w:eastAsia="仿宋_GB2312"/>
                <w:kern w:val="0"/>
                <w:sz w:val="20"/>
                <w:szCs w:val="20"/>
              </w:rPr>
            </w:pPr>
          </w:p>
        </w:tc>
        <w:tc>
          <w:tcPr>
            <w:tcW w:w="578" w:type="dxa"/>
            <w:gridSpan w:val="2"/>
            <w:vAlign w:val="top"/>
          </w:tcPr>
          <w:p>
            <w:pPr>
              <w:widowControl/>
              <w:jc w:val="center"/>
              <w:outlineLvl w:val="1"/>
              <w:rPr>
                <w:rFonts w:ascii="仿宋_GB2312" w:hAnsi="宋体" w:eastAsia="仿宋_GB2312"/>
                <w:kern w:val="0"/>
                <w:sz w:val="20"/>
                <w:szCs w:val="20"/>
              </w:rPr>
            </w:pPr>
          </w:p>
        </w:tc>
        <w:tc>
          <w:tcPr>
            <w:tcW w:w="419" w:type="dxa"/>
            <w:vAlign w:val="top"/>
          </w:tcPr>
          <w:p>
            <w:pPr>
              <w:widowControl/>
              <w:jc w:val="center"/>
              <w:outlineLvl w:val="1"/>
              <w:rPr>
                <w:rFonts w:ascii="仿宋_GB2312" w:hAnsi="宋体" w:eastAsia="仿宋_GB2312"/>
                <w:kern w:val="0"/>
                <w:sz w:val="20"/>
                <w:szCs w:val="20"/>
              </w:rPr>
            </w:pPr>
          </w:p>
        </w:tc>
        <w:tc>
          <w:tcPr>
            <w:tcW w:w="578"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420" w:type="dxa"/>
            <w:vAlign w:val="top"/>
          </w:tcPr>
          <w:p>
            <w:pPr>
              <w:widowControl/>
              <w:jc w:val="center"/>
              <w:outlineLvl w:val="1"/>
              <w:rPr>
                <w:rFonts w:ascii="仿宋_GB2312" w:hAnsi="宋体" w:eastAsia="仿宋_GB2312"/>
                <w:kern w:val="0"/>
                <w:sz w:val="20"/>
                <w:szCs w:val="20"/>
              </w:rPr>
            </w:pPr>
          </w:p>
        </w:tc>
        <w:tc>
          <w:tcPr>
            <w:tcW w:w="389" w:type="dxa"/>
            <w:vAlign w:val="top"/>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228" w:hRule="atLeast"/>
        </w:trPr>
        <w:tc>
          <w:tcPr>
            <w:tcW w:w="525" w:type="dxa"/>
            <w:gridSpan w:val="2"/>
            <w:vAlign w:val="top"/>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205</w:t>
            </w:r>
          </w:p>
        </w:tc>
        <w:tc>
          <w:tcPr>
            <w:tcW w:w="330" w:type="dxa"/>
            <w:vAlign w:val="top"/>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01</w:t>
            </w:r>
          </w:p>
        </w:tc>
        <w:tc>
          <w:tcPr>
            <w:tcW w:w="336" w:type="dxa"/>
            <w:vAlign w:val="top"/>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02</w:t>
            </w:r>
          </w:p>
        </w:tc>
        <w:tc>
          <w:tcPr>
            <w:tcW w:w="851" w:type="dxa"/>
            <w:vAlign w:val="top"/>
          </w:tcPr>
          <w:p>
            <w:pPr>
              <w:widowControl/>
              <w:jc w:val="center"/>
              <w:outlineLvl w:val="1"/>
              <w:rPr>
                <w:rFonts w:hint="eastAsia" w:ascii="仿宋_GB2312" w:hAnsi="宋体" w:eastAsia="仿宋_GB2312"/>
                <w:kern w:val="0"/>
                <w:sz w:val="20"/>
                <w:szCs w:val="20"/>
              </w:rPr>
            </w:pPr>
          </w:p>
          <w:p>
            <w:pPr>
              <w:rPr>
                <w:rFonts w:hint="eastAsia" w:ascii="Times New Roman" w:hAnsi="Times New Roman" w:eastAsia="宋体" w:cs="Times New Roman"/>
                <w:kern w:val="2"/>
                <w:sz w:val="21"/>
                <w:szCs w:val="24"/>
                <w:lang w:val="en-US" w:eastAsia="zh-CN" w:bidi="ar-SA"/>
              </w:rPr>
            </w:pPr>
            <w:r>
              <w:rPr>
                <w:rFonts w:hint="eastAsia" w:ascii="仿宋_GB2312" w:hAnsi="宋体" w:eastAsia="仿宋_GB2312"/>
                <w:kern w:val="0"/>
                <w:sz w:val="20"/>
                <w:szCs w:val="20"/>
              </w:rPr>
              <w:t>其他教育管理事务支出</w:t>
            </w:r>
          </w:p>
          <w:p>
            <w:pPr>
              <w:ind w:firstLine="276" w:firstLineChars="0"/>
              <w:jc w:val="left"/>
              <w:rPr>
                <w:rFonts w:hint="eastAsia"/>
                <w:lang w:val="en-US" w:eastAsia="zh-CN"/>
              </w:rPr>
            </w:pPr>
          </w:p>
        </w:tc>
        <w:tc>
          <w:tcPr>
            <w:tcW w:w="1558" w:type="dxa"/>
            <w:vAlign w:val="top"/>
          </w:tcPr>
          <w:p>
            <w:pPr>
              <w:widowControl/>
              <w:jc w:val="center"/>
              <w:outlineLvl w:val="1"/>
              <w:rPr>
                <w:rFonts w:hint="eastAsia" w:ascii="仿宋_GB2312" w:hAnsi="宋体" w:eastAsia="仿宋_GB2312"/>
                <w:kern w:val="0"/>
                <w:sz w:val="20"/>
                <w:szCs w:val="20"/>
              </w:rPr>
            </w:pPr>
            <w:r>
              <w:rPr>
                <w:rFonts w:hint="eastAsia" w:ascii="仿宋_GB2312" w:hAnsi="仿宋_GB2312" w:eastAsia="仿宋_GB2312" w:cs="仿宋_GB2312"/>
                <w:sz w:val="20"/>
                <w:szCs w:val="20"/>
                <w:lang w:val="en-US" w:eastAsia="zh-CN"/>
              </w:rPr>
              <w:t>关心下一代委员会经费</w:t>
            </w:r>
          </w:p>
        </w:tc>
        <w:tc>
          <w:tcPr>
            <w:tcW w:w="61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10</w:t>
            </w:r>
          </w:p>
        </w:tc>
        <w:tc>
          <w:tcPr>
            <w:tcW w:w="420" w:type="dxa"/>
            <w:vAlign w:val="top"/>
          </w:tcPr>
          <w:p>
            <w:pPr>
              <w:widowControl/>
              <w:jc w:val="right"/>
              <w:outlineLvl w:val="1"/>
              <w:rPr>
                <w:rFonts w:hint="eastAsia" w:ascii="仿宋_GB2312" w:hAnsi="宋体" w:eastAsia="仿宋_GB2312"/>
                <w:kern w:val="0"/>
                <w:szCs w:val="21"/>
                <w:lang w:val="en-US" w:eastAsia="zh-CN"/>
              </w:rPr>
            </w:pPr>
          </w:p>
        </w:tc>
        <w:tc>
          <w:tcPr>
            <w:tcW w:w="645" w:type="dxa"/>
            <w:vAlign w:val="top"/>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10</w:t>
            </w:r>
          </w:p>
        </w:tc>
        <w:tc>
          <w:tcPr>
            <w:tcW w:w="725" w:type="dxa"/>
            <w:vAlign w:val="top"/>
          </w:tcPr>
          <w:p>
            <w:pPr>
              <w:widowControl/>
              <w:jc w:val="center"/>
              <w:outlineLvl w:val="1"/>
              <w:rPr>
                <w:rFonts w:hint="eastAsia" w:ascii="仿宋_GB2312" w:hAnsi="宋体" w:eastAsia="仿宋_GB2312"/>
                <w:kern w:val="0"/>
                <w:sz w:val="20"/>
                <w:szCs w:val="20"/>
              </w:rPr>
            </w:pPr>
          </w:p>
        </w:tc>
        <w:tc>
          <w:tcPr>
            <w:tcW w:w="652" w:type="dxa"/>
            <w:vAlign w:val="top"/>
          </w:tcPr>
          <w:p>
            <w:pPr>
              <w:widowControl/>
              <w:jc w:val="center"/>
              <w:outlineLvl w:val="1"/>
              <w:rPr>
                <w:rFonts w:hint="eastAsia" w:ascii="仿宋_GB2312" w:hAnsi="宋体" w:eastAsia="仿宋_GB2312"/>
                <w:kern w:val="0"/>
                <w:sz w:val="20"/>
                <w:szCs w:val="20"/>
              </w:rPr>
            </w:pPr>
          </w:p>
        </w:tc>
        <w:tc>
          <w:tcPr>
            <w:tcW w:w="578" w:type="dxa"/>
            <w:gridSpan w:val="2"/>
            <w:vAlign w:val="top"/>
          </w:tcPr>
          <w:p>
            <w:pPr>
              <w:widowControl/>
              <w:jc w:val="center"/>
              <w:outlineLvl w:val="1"/>
              <w:rPr>
                <w:rFonts w:hint="eastAsia" w:ascii="仿宋_GB2312" w:hAnsi="宋体" w:eastAsia="仿宋_GB2312"/>
                <w:kern w:val="0"/>
                <w:sz w:val="20"/>
                <w:szCs w:val="20"/>
              </w:rPr>
            </w:pPr>
          </w:p>
        </w:tc>
        <w:tc>
          <w:tcPr>
            <w:tcW w:w="419" w:type="dxa"/>
            <w:vAlign w:val="top"/>
          </w:tcPr>
          <w:p>
            <w:pPr>
              <w:widowControl/>
              <w:jc w:val="center"/>
              <w:outlineLvl w:val="1"/>
              <w:rPr>
                <w:rFonts w:hint="eastAsia" w:ascii="仿宋_GB2312" w:hAnsi="宋体" w:eastAsia="仿宋_GB2312"/>
                <w:kern w:val="0"/>
                <w:sz w:val="20"/>
                <w:szCs w:val="20"/>
              </w:rPr>
            </w:pPr>
          </w:p>
        </w:tc>
        <w:tc>
          <w:tcPr>
            <w:tcW w:w="578" w:type="dxa"/>
            <w:vAlign w:val="top"/>
          </w:tcPr>
          <w:p>
            <w:pPr>
              <w:widowControl/>
              <w:jc w:val="center"/>
              <w:outlineLvl w:val="1"/>
              <w:rPr>
                <w:rFonts w:hint="eastAsia" w:ascii="仿宋_GB2312" w:hAnsi="宋体" w:eastAsia="仿宋_GB2312"/>
                <w:kern w:val="0"/>
                <w:sz w:val="20"/>
                <w:szCs w:val="20"/>
              </w:rPr>
            </w:pPr>
          </w:p>
        </w:tc>
        <w:tc>
          <w:tcPr>
            <w:tcW w:w="420" w:type="dxa"/>
            <w:vAlign w:val="top"/>
          </w:tcPr>
          <w:p>
            <w:pPr>
              <w:widowControl/>
              <w:jc w:val="center"/>
              <w:outlineLvl w:val="1"/>
              <w:rPr>
                <w:rFonts w:hint="eastAsia" w:ascii="仿宋_GB2312" w:hAnsi="宋体" w:eastAsia="仿宋_GB2312"/>
                <w:kern w:val="0"/>
                <w:sz w:val="20"/>
                <w:szCs w:val="20"/>
              </w:rPr>
            </w:pPr>
          </w:p>
        </w:tc>
        <w:tc>
          <w:tcPr>
            <w:tcW w:w="420" w:type="dxa"/>
            <w:vAlign w:val="top"/>
          </w:tcPr>
          <w:p>
            <w:pPr>
              <w:widowControl/>
              <w:jc w:val="center"/>
              <w:outlineLvl w:val="1"/>
              <w:rPr>
                <w:rFonts w:hint="eastAsia" w:ascii="仿宋_GB2312" w:hAnsi="宋体" w:eastAsia="仿宋_GB2312"/>
                <w:kern w:val="0"/>
                <w:sz w:val="20"/>
                <w:szCs w:val="20"/>
              </w:rPr>
            </w:pPr>
          </w:p>
        </w:tc>
        <w:tc>
          <w:tcPr>
            <w:tcW w:w="389" w:type="dxa"/>
            <w:vAlign w:val="top"/>
          </w:tcPr>
          <w:p>
            <w:pPr>
              <w:widowControl/>
              <w:jc w:val="center"/>
              <w:outlineLvl w:val="1"/>
              <w:rPr>
                <w:rFonts w:hint="eastAsia"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0" w:hRule="atLeast"/>
        </w:trPr>
        <w:tc>
          <w:tcPr>
            <w:tcW w:w="525" w:type="dxa"/>
            <w:gridSpan w:val="2"/>
            <w:vAlign w:val="top"/>
          </w:tcPr>
          <w:p>
            <w:pPr>
              <w:widowControl/>
              <w:jc w:val="center"/>
              <w:outlineLvl w:val="1"/>
              <w:rPr>
                <w:rFonts w:ascii="仿宋_GB2312" w:hAnsi="宋体" w:eastAsia="仿宋_GB2312"/>
                <w:kern w:val="0"/>
                <w:sz w:val="32"/>
                <w:szCs w:val="32"/>
              </w:rPr>
            </w:pPr>
          </w:p>
        </w:tc>
        <w:tc>
          <w:tcPr>
            <w:tcW w:w="330" w:type="dxa"/>
            <w:vAlign w:val="top"/>
          </w:tcPr>
          <w:p>
            <w:pPr>
              <w:widowControl/>
              <w:jc w:val="center"/>
              <w:outlineLvl w:val="1"/>
              <w:rPr>
                <w:rFonts w:ascii="仿宋_GB2312" w:hAnsi="宋体" w:eastAsia="仿宋_GB2312"/>
                <w:kern w:val="0"/>
                <w:sz w:val="32"/>
                <w:szCs w:val="32"/>
              </w:rPr>
            </w:pPr>
          </w:p>
        </w:tc>
        <w:tc>
          <w:tcPr>
            <w:tcW w:w="336"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558" w:type="dxa"/>
            <w:vAlign w:val="center"/>
          </w:tcPr>
          <w:p>
            <w:pPr>
              <w:widowControl/>
              <w:jc w:val="center"/>
              <w:outlineLvl w:val="1"/>
              <w:rPr>
                <w:rFonts w:hint="eastAsia" w:ascii="仿宋_GB2312" w:hAnsi="宋体" w:eastAsia="仿宋_GB2312"/>
                <w:b/>
                <w:bCs/>
                <w:kern w:val="0"/>
                <w:szCs w:val="21"/>
              </w:rPr>
            </w:pPr>
          </w:p>
        </w:tc>
        <w:tc>
          <w:tcPr>
            <w:tcW w:w="615" w:type="dxa"/>
            <w:vAlign w:val="center"/>
          </w:tcPr>
          <w:p>
            <w:pPr>
              <w:widowControl/>
              <w:jc w:val="right"/>
              <w:outlineLvl w:val="1"/>
              <w:rPr>
                <w:rFonts w:hint="eastAsia" w:ascii="仿宋_GB2312" w:hAnsi="宋体" w:eastAsia="仿宋_GB2312"/>
                <w:kern w:val="0"/>
                <w:szCs w:val="21"/>
                <w:lang w:val="en-US" w:eastAsia="zh-CN"/>
              </w:rPr>
            </w:pPr>
          </w:p>
        </w:tc>
        <w:tc>
          <w:tcPr>
            <w:tcW w:w="420" w:type="dxa"/>
            <w:vAlign w:val="top"/>
          </w:tcPr>
          <w:p>
            <w:pPr>
              <w:widowControl/>
              <w:jc w:val="right"/>
              <w:outlineLvl w:val="1"/>
              <w:rPr>
                <w:rFonts w:ascii="仿宋_GB2312" w:hAnsi="宋体" w:eastAsia="仿宋_GB2312"/>
                <w:kern w:val="0"/>
                <w:sz w:val="32"/>
                <w:szCs w:val="32"/>
              </w:rPr>
            </w:pPr>
          </w:p>
        </w:tc>
        <w:tc>
          <w:tcPr>
            <w:tcW w:w="645" w:type="dxa"/>
            <w:vAlign w:val="top"/>
          </w:tcPr>
          <w:p>
            <w:pPr>
              <w:widowControl/>
              <w:jc w:val="right"/>
              <w:outlineLvl w:val="1"/>
              <w:rPr>
                <w:rFonts w:hint="eastAsia" w:ascii="仿宋_GB2312" w:hAnsi="宋体" w:eastAsia="仿宋_GB2312"/>
                <w:kern w:val="0"/>
                <w:szCs w:val="21"/>
                <w:lang w:val="en-US" w:eastAsia="zh-CN"/>
              </w:rPr>
            </w:pPr>
          </w:p>
        </w:tc>
        <w:tc>
          <w:tcPr>
            <w:tcW w:w="725"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389" w:type="dxa"/>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0" w:hRule="atLeast"/>
        </w:trPr>
        <w:tc>
          <w:tcPr>
            <w:tcW w:w="525" w:type="dxa"/>
            <w:gridSpan w:val="2"/>
            <w:vAlign w:val="top"/>
          </w:tcPr>
          <w:p>
            <w:pPr>
              <w:widowControl/>
              <w:jc w:val="center"/>
              <w:outlineLvl w:val="1"/>
              <w:rPr>
                <w:rFonts w:ascii="仿宋_GB2312" w:hAnsi="宋体" w:eastAsia="仿宋_GB2312"/>
                <w:kern w:val="0"/>
                <w:sz w:val="32"/>
                <w:szCs w:val="32"/>
              </w:rPr>
            </w:pPr>
          </w:p>
        </w:tc>
        <w:tc>
          <w:tcPr>
            <w:tcW w:w="330" w:type="dxa"/>
            <w:vAlign w:val="top"/>
          </w:tcPr>
          <w:p>
            <w:pPr>
              <w:widowControl/>
              <w:jc w:val="center"/>
              <w:outlineLvl w:val="1"/>
              <w:rPr>
                <w:rFonts w:ascii="仿宋_GB2312" w:hAnsi="宋体" w:eastAsia="仿宋_GB2312"/>
                <w:kern w:val="0"/>
                <w:sz w:val="32"/>
                <w:szCs w:val="32"/>
              </w:rPr>
            </w:pPr>
          </w:p>
        </w:tc>
        <w:tc>
          <w:tcPr>
            <w:tcW w:w="336"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558"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615" w:type="dxa"/>
            <w:vAlign w:val="center"/>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304</w:t>
            </w:r>
          </w:p>
        </w:tc>
        <w:tc>
          <w:tcPr>
            <w:tcW w:w="420" w:type="dxa"/>
            <w:vAlign w:val="top"/>
          </w:tcPr>
          <w:p>
            <w:pPr>
              <w:widowControl/>
              <w:jc w:val="right"/>
              <w:outlineLvl w:val="1"/>
              <w:rPr>
                <w:rFonts w:ascii="仿宋_GB2312" w:hAnsi="宋体" w:eastAsia="仿宋_GB2312"/>
                <w:kern w:val="0"/>
                <w:sz w:val="32"/>
                <w:szCs w:val="32"/>
              </w:rPr>
            </w:pPr>
          </w:p>
        </w:tc>
        <w:tc>
          <w:tcPr>
            <w:tcW w:w="645" w:type="dxa"/>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Cs w:val="21"/>
                <w:lang w:val="en-US" w:eastAsia="zh-CN"/>
              </w:rPr>
              <w:t>304</w:t>
            </w:r>
          </w:p>
        </w:tc>
        <w:tc>
          <w:tcPr>
            <w:tcW w:w="725"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389" w:type="dxa"/>
            <w:vAlign w:val="top"/>
          </w:tcPr>
          <w:p>
            <w:pPr>
              <w:widowControl/>
              <w:jc w:val="right"/>
              <w:outlineLvl w:val="1"/>
              <w:rPr>
                <w:rFonts w:ascii="仿宋_GB2312" w:hAnsi="宋体" w:eastAsia="仿宋_GB2312"/>
                <w:kern w:val="0"/>
                <w:sz w:val="32"/>
                <w:szCs w:val="32"/>
              </w:rPr>
            </w:pPr>
          </w:p>
        </w:tc>
      </w:tr>
    </w:tbl>
    <w:p>
      <w:pPr>
        <w:widowControl/>
        <w:outlineLvl w:val="1"/>
        <w:rPr>
          <w:rFonts w:hint="eastAsia" w:ascii="宋体" w:hAnsi="宋体" w:cs="宋体"/>
          <w:color w:val="000000"/>
          <w:kern w:val="0"/>
          <w:sz w:val="20"/>
          <w:szCs w:val="20"/>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24"/>
          <w:lang w:val="en-US" w:eastAsia="zh-CN"/>
        </w:rPr>
        <w:t>昌吉州教育局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15.5</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14</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14</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1.5</w:t>
            </w:r>
            <w:r>
              <w:rPr>
                <w:rFonts w:hint="eastAsia" w:ascii="宋体" w:hAnsi="宋体" w:cs="宋体"/>
                <w:color w:val="000000"/>
                <w:kern w:val="0"/>
                <w:sz w:val="24"/>
              </w:rPr>
              <w:t>　</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w:t>
      </w:r>
      <w:r>
        <w:rPr>
          <w:rFonts w:hint="eastAsia" w:ascii="仿宋_GB2312" w:hAnsi="宋体" w:eastAsia="仿宋_GB2312"/>
          <w:kern w:val="0"/>
          <w:sz w:val="24"/>
          <w:lang w:val="en-US" w:eastAsia="zh-CN"/>
        </w:rPr>
        <w:t>昌吉州教育局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5" w:type="default"/>
          <w:pgSz w:w="11906" w:h="16838"/>
          <w:pgMar w:top="2098" w:right="1531" w:bottom="1984" w:left="1531" w:header="851" w:footer="992" w:gutter="0"/>
          <w:pgNumType w:fmt="numberInDash" w:start="56"/>
          <w:cols w:space="720" w:num="1"/>
          <w:docGrid w:linePitch="312"/>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昌吉州教育局</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昌吉州教育局</w:t>
      </w:r>
      <w:r>
        <w:rPr>
          <w:rFonts w:hint="eastAsia" w:ascii="仿宋_GB2312" w:hAnsi="宋体" w:eastAsia="仿宋_GB2312" w:cs="宋体"/>
          <w:kern w:val="0"/>
          <w:sz w:val="32"/>
          <w:szCs w:val="32"/>
        </w:rPr>
        <w:t>2022年所有收入和支出均纳入部门预算管理。收支总预算</w:t>
      </w:r>
      <w:r>
        <w:rPr>
          <w:rFonts w:hint="eastAsia" w:ascii="仿宋_GB2312" w:hAnsi="宋体" w:eastAsia="仿宋_GB2312" w:cs="宋体"/>
          <w:kern w:val="0"/>
          <w:sz w:val="32"/>
          <w:szCs w:val="32"/>
          <w:lang w:val="en-US" w:eastAsia="zh-CN"/>
        </w:rPr>
        <w:t>1309.77</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1303.77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财政专户（教育收费）</w:t>
      </w:r>
      <w:r>
        <w:rPr>
          <w:rFonts w:hint="eastAsia" w:ascii="仿宋_GB2312" w:hAnsi="宋体" w:eastAsia="仿宋_GB2312" w:cs="宋体"/>
          <w:kern w:val="0"/>
          <w:sz w:val="32"/>
          <w:szCs w:val="32"/>
          <w:lang w:val="en-US" w:eastAsia="zh-CN"/>
        </w:rPr>
        <w:t>6万元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r>
        <w:rPr>
          <w:rFonts w:hint="eastAsia" w:ascii="仿宋_GB2312" w:hAnsi="宋体" w:eastAsia="仿宋_GB2312" w:cs="宋体"/>
          <w:kern w:val="0"/>
          <w:sz w:val="32"/>
          <w:szCs w:val="32"/>
          <w:lang w:val="en-US" w:eastAsia="zh-CN"/>
        </w:rPr>
        <w:t>1309.77</w:t>
      </w:r>
      <w:r>
        <w:rPr>
          <w:rFonts w:hint="eastAsia" w:ascii="仿宋_GB2312" w:hAnsi="宋体" w:eastAsia="仿宋_GB2312" w:cs="宋体"/>
          <w:kern w:val="0"/>
          <w:sz w:val="32"/>
          <w:szCs w:val="32"/>
        </w:rPr>
        <w:t>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昌吉州教育局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1309.77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1303.77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212.03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19.42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：人员增加，人员经费及公用经费增加；</w:t>
      </w:r>
      <w:r>
        <w:rPr>
          <w:rFonts w:hint="eastAsia" w:ascii="仿宋_GB2312" w:hAnsi="宋体" w:eastAsia="仿宋_GB2312" w:cs="宋体"/>
          <w:kern w:val="0"/>
          <w:sz w:val="32"/>
          <w:szCs w:val="32"/>
          <w:lang w:val="en-US" w:eastAsia="zh-CN"/>
        </w:rPr>
        <w:t>项目支出增加了机关运行补助经费60万元，教育关心下一代委员会专项经费10万元，教育督导经费增加了10万元，学生体卫艺科劳研学经费增加了20万元。</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财政专户管理（教育收费）资金</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0.46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2022年增加了财政专户管理的教师资格认定收费预算。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昌吉州教育局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1309.77万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999.77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76.33</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87.03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9.54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：人员增加，人员经费公用经费增加；</w:t>
      </w:r>
      <w:r>
        <w:rPr>
          <w:rFonts w:hint="eastAsia" w:ascii="仿宋_GB2312" w:hAnsi="宋体" w:eastAsia="仿宋_GB2312" w:cs="宋体"/>
          <w:kern w:val="0"/>
          <w:sz w:val="32"/>
          <w:szCs w:val="32"/>
          <w:lang w:val="en-US" w:eastAsia="zh-CN"/>
        </w:rPr>
        <w:t>增加了由于调资增加的津贴补贴、社保及住房公积金等人员经费拨款</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310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23.67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131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73.18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增加了教师资格考试费用6万元，机关运行补助经费60万元，教育关心下一代委员会专项经费10万元，教育督导经费增加了10万元，学生体卫艺科劳研学经费增加了20万元，教师职称评审经费增加了20万元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昌吉州教育局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昌吉州教育局</w:t>
      </w: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1303.77</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1303.77</w:t>
      </w:r>
      <w:r>
        <w:rPr>
          <w:rFonts w:hint="eastAsia" w:ascii="仿宋_GB2312" w:hAnsi="宋体" w:eastAsia="仿宋_GB2312" w:cs="宋体"/>
          <w:kern w:val="0"/>
          <w:sz w:val="32"/>
          <w:szCs w:val="32"/>
        </w:rPr>
        <w:t>万元。</w:t>
      </w:r>
    </w:p>
    <w:p>
      <w:pPr>
        <w:spacing w:line="560" w:lineRule="exact"/>
        <w:ind w:firstLine="640" w:firstLineChars="200"/>
        <w:rPr>
          <w:rFonts w:ascii="仿宋" w:hAnsi="仿宋" w:eastAsia="仿宋" w:cs="宋体"/>
          <w:spacing w:val="-6"/>
          <w:kern w:val="0"/>
          <w:sz w:val="32"/>
          <w:szCs w:val="32"/>
        </w:rPr>
      </w:pPr>
      <w:r>
        <w:rPr>
          <w:rFonts w:hint="eastAsia" w:ascii="仿宋_GB2312" w:hAnsi="宋体" w:eastAsia="仿宋_GB2312" w:cs="宋体"/>
          <w:kern w:val="0"/>
          <w:sz w:val="32"/>
          <w:szCs w:val="32"/>
        </w:rPr>
        <w:t>一般公共预算支出包括：</w:t>
      </w:r>
      <w:r>
        <w:rPr>
          <w:rFonts w:hint="eastAsia" w:ascii="仿宋" w:hAnsi="仿宋" w:eastAsia="仿宋" w:cs="宋体"/>
          <w:spacing w:val="-6"/>
          <w:kern w:val="0"/>
          <w:sz w:val="32"/>
          <w:szCs w:val="32"/>
        </w:rPr>
        <w:t>教育支出</w:t>
      </w:r>
      <w:r>
        <w:rPr>
          <w:rFonts w:hint="eastAsia" w:ascii="仿宋" w:hAnsi="仿宋" w:eastAsia="仿宋" w:cs="宋体"/>
          <w:spacing w:val="-6"/>
          <w:kern w:val="0"/>
          <w:sz w:val="32"/>
          <w:szCs w:val="32"/>
          <w:lang w:val="en-US" w:eastAsia="zh-CN"/>
        </w:rPr>
        <w:t>1303.77</w:t>
      </w:r>
      <w:r>
        <w:rPr>
          <w:rFonts w:hint="eastAsia" w:ascii="仿宋" w:hAnsi="仿宋" w:eastAsia="仿宋" w:cs="宋体"/>
          <w:spacing w:val="-6"/>
          <w:kern w:val="0"/>
          <w:sz w:val="32"/>
          <w:szCs w:val="32"/>
        </w:rPr>
        <w:t>万元，主要用于工资、津贴、</w:t>
      </w:r>
      <w:r>
        <w:rPr>
          <w:rFonts w:hint="eastAsia" w:ascii="仿宋" w:hAnsi="仿宋" w:eastAsia="仿宋" w:cs="宋体"/>
          <w:spacing w:val="-6"/>
          <w:kern w:val="0"/>
          <w:sz w:val="32"/>
          <w:szCs w:val="32"/>
          <w:lang w:val="en-US" w:eastAsia="zh-CN"/>
        </w:rPr>
        <w:t>社保公积金等人员经费和</w:t>
      </w:r>
      <w:r>
        <w:rPr>
          <w:rFonts w:hint="eastAsia" w:ascii="仿宋" w:hAnsi="仿宋" w:eastAsia="仿宋" w:cs="宋体"/>
          <w:spacing w:val="-6"/>
          <w:kern w:val="0"/>
          <w:sz w:val="32"/>
          <w:szCs w:val="32"/>
        </w:rPr>
        <w:t>维持机关运行的</w:t>
      </w:r>
      <w:r>
        <w:rPr>
          <w:rFonts w:hint="eastAsia" w:ascii="仿宋" w:hAnsi="仿宋" w:eastAsia="仿宋" w:cs="宋体"/>
          <w:spacing w:val="-6"/>
          <w:kern w:val="0"/>
          <w:sz w:val="32"/>
          <w:szCs w:val="32"/>
          <w:lang w:val="en-US" w:eastAsia="zh-CN"/>
        </w:rPr>
        <w:t>水费、电费、暖气费、邮电费、维修费等</w:t>
      </w:r>
      <w:r>
        <w:rPr>
          <w:rFonts w:hint="eastAsia" w:ascii="仿宋" w:hAnsi="仿宋" w:eastAsia="仿宋" w:cs="宋体"/>
          <w:spacing w:val="-6"/>
          <w:kern w:val="0"/>
          <w:sz w:val="32"/>
          <w:szCs w:val="32"/>
        </w:rPr>
        <w:t>公用经费</w:t>
      </w:r>
      <w:r>
        <w:rPr>
          <w:rFonts w:hint="eastAsia" w:ascii="仿宋" w:hAnsi="仿宋" w:eastAsia="仿宋" w:cs="宋体"/>
          <w:spacing w:val="-6"/>
          <w:kern w:val="0"/>
          <w:sz w:val="32"/>
          <w:szCs w:val="32"/>
          <w:lang w:eastAsia="zh-CN"/>
        </w:rPr>
        <w:t>，及各项教育教学业务工作的开展</w:t>
      </w:r>
      <w:r>
        <w:rPr>
          <w:rFonts w:hint="eastAsia" w:ascii="仿宋" w:hAnsi="仿宋" w:eastAsia="仿宋" w:cs="宋体"/>
          <w:spacing w:val="-6"/>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昌吉州教育局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1303.77</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999.77</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87.03</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增长</w:t>
      </w:r>
      <w:r>
        <w:rPr>
          <w:rFonts w:hint="eastAsia" w:ascii="仿宋_GB2312" w:hAnsi="宋体" w:eastAsia="仿宋_GB2312" w:cs="宋体"/>
          <w:kern w:val="0"/>
          <w:sz w:val="32"/>
          <w:szCs w:val="32"/>
          <w:lang w:val="en-US" w:eastAsia="zh-CN"/>
        </w:rPr>
        <w:t>9.54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人员增加，人员经费公用经费增加；</w:t>
      </w:r>
      <w:r>
        <w:rPr>
          <w:rFonts w:hint="eastAsia" w:ascii="仿宋_GB2312" w:hAnsi="宋体" w:eastAsia="仿宋_GB2312" w:cs="宋体"/>
          <w:kern w:val="0"/>
          <w:sz w:val="32"/>
          <w:szCs w:val="32"/>
          <w:lang w:val="en-US" w:eastAsia="zh-CN"/>
        </w:rPr>
        <w:t>增加了由于调资增加的津贴补贴、社保及住房公积金等人员经费拨款</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304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125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69.83</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增加了</w:t>
      </w:r>
      <w:r>
        <w:rPr>
          <w:rFonts w:hint="eastAsia" w:ascii="仿宋_GB2312" w:hAnsi="宋体" w:eastAsia="仿宋_GB2312" w:cs="宋体"/>
          <w:kern w:val="0"/>
          <w:sz w:val="32"/>
          <w:szCs w:val="32"/>
          <w:lang w:val="en-US" w:eastAsia="zh-CN"/>
        </w:rPr>
        <w:t>机关运行补助经费60万元，教育关心下一代委员会专项经费10万元，教育督导经费增加了10万元，学生体卫艺科劳研学经费增加了20万元，教师职称评审经费增加了20万元</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1.教育支出</w:t>
      </w:r>
      <w:r>
        <w:rPr>
          <w:rFonts w:hint="eastAsia" w:ascii="仿宋_GB2312" w:hAnsi="宋体" w:eastAsia="仿宋_GB2312" w:cs="宋体"/>
          <w:kern w:val="0"/>
          <w:sz w:val="32"/>
          <w:szCs w:val="32"/>
          <w:lang w:val="en-US" w:eastAsia="zh-CN"/>
        </w:rPr>
        <w:t>1303.77</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default" w:ascii="仿宋" w:hAnsi="仿宋" w:eastAsia="仿宋" w:cs="宋体"/>
          <w:kern w:val="0"/>
          <w:sz w:val="32"/>
          <w:szCs w:val="32"/>
          <w:lang w:val="en-US"/>
        </w:rPr>
      </w:pPr>
      <w:r>
        <w:rPr>
          <w:rFonts w:hint="eastAsia" w:ascii="仿宋_GB2312" w:hAnsi="仿宋_GB2312" w:eastAsia="仿宋_GB2312" w:cs="仿宋_GB2312"/>
          <w:kern w:val="0"/>
          <w:sz w:val="32"/>
          <w:szCs w:val="32"/>
        </w:rPr>
        <w:t>1.</w:t>
      </w:r>
      <w:r>
        <w:rPr>
          <w:rFonts w:hint="eastAsia" w:ascii="仿宋" w:hAnsi="仿宋" w:eastAsia="仿宋" w:cs="宋体"/>
          <w:kern w:val="0"/>
          <w:sz w:val="32"/>
          <w:szCs w:val="32"/>
        </w:rPr>
        <w:t>教育支出（类）教育管理事务（款）行政运行（项）：202</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年</w:t>
      </w:r>
      <w:r>
        <w:rPr>
          <w:rFonts w:ascii="仿宋" w:hAnsi="仿宋" w:eastAsia="仿宋" w:cs="宋体"/>
          <w:kern w:val="0"/>
          <w:sz w:val="32"/>
          <w:szCs w:val="32"/>
        </w:rPr>
        <w:t>预算数为</w:t>
      </w:r>
      <w:r>
        <w:rPr>
          <w:rFonts w:hint="eastAsia" w:ascii="仿宋" w:hAnsi="仿宋" w:eastAsia="仿宋" w:cs="宋体"/>
          <w:kern w:val="0"/>
          <w:sz w:val="32"/>
          <w:szCs w:val="32"/>
          <w:lang w:val="en-US" w:eastAsia="zh-CN"/>
        </w:rPr>
        <w:t>999.77</w:t>
      </w:r>
      <w:r>
        <w:rPr>
          <w:rFonts w:ascii="仿宋" w:hAnsi="仿宋" w:eastAsia="仿宋" w:cs="宋体"/>
          <w:kern w:val="0"/>
          <w:sz w:val="32"/>
          <w:szCs w:val="32"/>
        </w:rPr>
        <w:t>万元</w:t>
      </w:r>
      <w:r>
        <w:rPr>
          <w:rFonts w:hint="eastAsia" w:ascii="仿宋" w:hAnsi="仿宋" w:eastAsia="仿宋" w:cs="宋体"/>
          <w:kern w:val="0"/>
          <w:sz w:val="32"/>
          <w:szCs w:val="32"/>
        </w:rPr>
        <w:t>，比上年预算数增加</w:t>
      </w:r>
      <w:r>
        <w:rPr>
          <w:rFonts w:hint="eastAsia" w:ascii="仿宋" w:hAnsi="仿宋" w:eastAsia="仿宋" w:cs="宋体"/>
          <w:kern w:val="0"/>
          <w:sz w:val="32"/>
          <w:szCs w:val="32"/>
          <w:lang w:val="en-US" w:eastAsia="zh-CN"/>
        </w:rPr>
        <w:t>273.99</w:t>
      </w:r>
      <w:r>
        <w:rPr>
          <w:rFonts w:hint="eastAsia" w:ascii="仿宋" w:hAnsi="仿宋" w:eastAsia="仿宋" w:cs="宋体"/>
          <w:kern w:val="0"/>
          <w:sz w:val="32"/>
          <w:szCs w:val="32"/>
        </w:rPr>
        <w:t>万元，增加</w:t>
      </w:r>
      <w:r>
        <w:rPr>
          <w:rFonts w:hint="eastAsia" w:ascii="仿宋" w:hAnsi="仿宋" w:eastAsia="仿宋" w:cs="宋体"/>
          <w:kern w:val="0"/>
          <w:sz w:val="32"/>
          <w:szCs w:val="32"/>
          <w:lang w:val="en-US" w:eastAsia="zh-CN"/>
        </w:rPr>
        <w:t>37.75</w:t>
      </w:r>
      <w:r>
        <w:rPr>
          <w:rFonts w:hint="eastAsia" w:ascii="仿宋" w:hAnsi="仿宋" w:eastAsia="仿宋" w:cs="宋体"/>
          <w:kern w:val="0"/>
          <w:sz w:val="32"/>
          <w:szCs w:val="32"/>
        </w:rPr>
        <w:t>%。主要原因是：</w:t>
      </w:r>
      <w:r>
        <w:rPr>
          <w:rFonts w:hint="eastAsia" w:ascii="仿宋_GB2312" w:hAnsi="宋体" w:eastAsia="仿宋_GB2312" w:cs="宋体"/>
          <w:kern w:val="0"/>
          <w:sz w:val="32"/>
          <w:szCs w:val="32"/>
          <w:lang w:val="en-US" w:eastAsia="zh-CN"/>
        </w:rPr>
        <w:t>增加了由于调资增加的津贴补贴、社保及住房公积金等人员经费；</w:t>
      </w:r>
      <w:r>
        <w:rPr>
          <w:rFonts w:hint="eastAsia" w:ascii="仿宋_GB2312" w:hAnsi="宋体" w:eastAsia="仿宋_GB2312" w:cs="宋体"/>
          <w:kern w:val="0"/>
          <w:sz w:val="32"/>
          <w:szCs w:val="32"/>
          <w:highlight w:val="none"/>
          <w:lang w:eastAsia="zh-CN"/>
        </w:rPr>
        <w:t>按照预算编制要求，</w:t>
      </w:r>
      <w:r>
        <w:rPr>
          <w:rFonts w:hint="eastAsia" w:ascii="仿宋_GB2312" w:hAnsi="宋体" w:eastAsia="仿宋_GB2312" w:cs="宋体"/>
          <w:kern w:val="0"/>
          <w:sz w:val="32"/>
          <w:szCs w:val="32"/>
          <w:highlight w:val="none"/>
        </w:rPr>
        <w:t>支出功能分类科目</w:t>
      </w:r>
      <w:r>
        <w:rPr>
          <w:rFonts w:hint="eastAsia" w:ascii="仿宋_GB2312" w:hAnsi="宋体" w:eastAsia="仿宋_GB2312" w:cs="宋体"/>
          <w:kern w:val="0"/>
          <w:sz w:val="32"/>
          <w:szCs w:val="32"/>
          <w:highlight w:val="none"/>
          <w:lang w:eastAsia="zh-CN"/>
        </w:rPr>
        <w:t>调整，</w:t>
      </w:r>
      <w:r>
        <w:rPr>
          <w:rFonts w:hint="eastAsia" w:ascii="仿宋_GB2312" w:hAnsi="宋体" w:eastAsia="仿宋_GB2312" w:cs="宋体"/>
          <w:kern w:val="0"/>
          <w:sz w:val="32"/>
          <w:szCs w:val="32"/>
          <w:highlight w:val="none"/>
        </w:rPr>
        <w:t>社会保障</w:t>
      </w:r>
      <w:r>
        <w:rPr>
          <w:rFonts w:hint="eastAsia" w:ascii="仿宋_GB2312" w:hAnsi="宋体" w:eastAsia="仿宋_GB2312" w:cs="宋体"/>
          <w:kern w:val="0"/>
          <w:sz w:val="32"/>
          <w:szCs w:val="32"/>
          <w:highlight w:val="none"/>
          <w:lang w:eastAsia="zh-CN"/>
        </w:rPr>
        <w:t>和</w:t>
      </w:r>
      <w:r>
        <w:rPr>
          <w:rFonts w:hint="eastAsia" w:ascii="仿宋_GB2312" w:hAnsi="宋体" w:eastAsia="仿宋_GB2312" w:cs="宋体"/>
          <w:kern w:val="0"/>
          <w:sz w:val="32"/>
          <w:szCs w:val="32"/>
          <w:highlight w:val="none"/>
        </w:rPr>
        <w:t>就业</w:t>
      </w:r>
      <w:r>
        <w:rPr>
          <w:rFonts w:hint="eastAsia" w:ascii="仿宋_GB2312" w:hAnsi="宋体" w:eastAsia="仿宋_GB2312" w:cs="宋体"/>
          <w:kern w:val="0"/>
          <w:sz w:val="32"/>
          <w:szCs w:val="32"/>
          <w:highlight w:val="none"/>
          <w:lang w:eastAsia="zh-CN"/>
        </w:rPr>
        <w:t>支出、</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eastAsia="zh-CN"/>
        </w:rPr>
        <w:t>全部列入此科目中</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hint="default" w:ascii="仿宋_GB2312" w:hAnsi="仿宋_GB2312" w:eastAsia="仿宋"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 w:hAnsi="仿宋" w:eastAsia="仿宋" w:cs="宋体"/>
          <w:kern w:val="0"/>
          <w:sz w:val="32"/>
          <w:szCs w:val="32"/>
        </w:rPr>
        <w:t>教育支出（</w:t>
      </w:r>
      <w:r>
        <w:rPr>
          <w:rFonts w:hint="eastAsia" w:ascii="仿宋" w:hAnsi="仿宋" w:eastAsia="仿宋" w:cs="宋体"/>
          <w:kern w:val="0"/>
          <w:sz w:val="32"/>
          <w:szCs w:val="32"/>
          <w:lang w:eastAsia="zh-CN"/>
        </w:rPr>
        <w:t>类</w:t>
      </w:r>
      <w:r>
        <w:rPr>
          <w:rFonts w:hint="eastAsia" w:ascii="仿宋" w:hAnsi="仿宋" w:eastAsia="仿宋" w:cs="宋体"/>
          <w:kern w:val="0"/>
          <w:sz w:val="32"/>
          <w:szCs w:val="32"/>
        </w:rPr>
        <w:t>）教育管理事务（</w:t>
      </w:r>
      <w:r>
        <w:rPr>
          <w:rFonts w:hint="eastAsia" w:ascii="仿宋" w:hAnsi="仿宋" w:eastAsia="仿宋" w:cs="宋体"/>
          <w:kern w:val="0"/>
          <w:sz w:val="32"/>
          <w:szCs w:val="32"/>
          <w:lang w:eastAsia="zh-CN"/>
        </w:rPr>
        <w:t>款</w:t>
      </w:r>
      <w:r>
        <w:rPr>
          <w:rFonts w:hint="eastAsia" w:ascii="仿宋" w:hAnsi="仿宋" w:eastAsia="仿宋" w:cs="宋体"/>
          <w:kern w:val="0"/>
          <w:sz w:val="32"/>
          <w:szCs w:val="32"/>
        </w:rPr>
        <w:t>）</w:t>
      </w:r>
      <w:r>
        <w:rPr>
          <w:rFonts w:hint="eastAsia" w:ascii="仿宋" w:hAnsi="仿宋" w:eastAsia="仿宋" w:cs="宋体"/>
          <w:spacing w:val="-6"/>
          <w:kern w:val="0"/>
          <w:sz w:val="32"/>
          <w:szCs w:val="32"/>
        </w:rPr>
        <w:t>一般行政管理事务</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项</w:t>
      </w:r>
      <w:r>
        <w:rPr>
          <w:rFonts w:hint="eastAsia" w:ascii="仿宋" w:hAnsi="仿宋" w:eastAsia="仿宋" w:cs="宋体"/>
          <w:kern w:val="0"/>
          <w:sz w:val="32"/>
          <w:szCs w:val="32"/>
        </w:rPr>
        <w:t>）：</w:t>
      </w:r>
      <w:r>
        <w:rPr>
          <w:rFonts w:hint="eastAsia" w:ascii="仿宋" w:hAnsi="仿宋" w:eastAsia="仿宋" w:cs="宋体"/>
          <w:kern w:val="0"/>
          <w:sz w:val="32"/>
          <w:szCs w:val="32"/>
          <w:lang w:val="en-US" w:eastAsia="zh-CN"/>
        </w:rPr>
        <w:t>2022年预算数为304万元，比上年预算数增加135万元，增加79.88%，主要原因是：</w:t>
      </w:r>
      <w:r>
        <w:rPr>
          <w:rFonts w:hint="eastAsia" w:ascii="仿宋_GB2312" w:hAnsi="宋体" w:eastAsia="仿宋_GB2312" w:cs="宋体"/>
          <w:kern w:val="0"/>
          <w:sz w:val="32"/>
          <w:szCs w:val="32"/>
          <w:lang w:val="en-US" w:eastAsia="zh-CN"/>
        </w:rPr>
        <w:t>增加了机关运行补助经费60万元，教育关心下一代委员会专项经费10万元，教育督导经费增加了10万元，学生体卫艺科劳研学经费增加了20万元，教师职称评审经费增加了20万元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昌吉州教育局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昌吉州教育局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999.77</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人员经费</w:t>
      </w:r>
      <w:r>
        <w:rPr>
          <w:rFonts w:hint="eastAsia" w:ascii="仿宋" w:hAnsi="仿宋" w:eastAsia="仿宋" w:cs="宋体"/>
          <w:kern w:val="0"/>
          <w:sz w:val="32"/>
          <w:szCs w:val="32"/>
          <w:lang w:val="en-US" w:eastAsia="zh-CN"/>
        </w:rPr>
        <w:t>880.42</w:t>
      </w:r>
      <w:r>
        <w:rPr>
          <w:rFonts w:hint="eastAsia" w:ascii="仿宋" w:hAnsi="仿宋" w:eastAsia="仿宋" w:cs="宋体"/>
          <w:kern w:val="0"/>
          <w:sz w:val="32"/>
          <w:szCs w:val="32"/>
        </w:rPr>
        <w:t>万元，主要包括：基本工资</w:t>
      </w:r>
      <w:r>
        <w:rPr>
          <w:rFonts w:hint="eastAsia" w:ascii="仿宋" w:hAnsi="仿宋" w:eastAsia="仿宋" w:cs="宋体"/>
          <w:kern w:val="0"/>
          <w:sz w:val="32"/>
          <w:szCs w:val="32"/>
          <w:lang w:val="en-US" w:eastAsia="zh-CN"/>
        </w:rPr>
        <w:t>264.43</w:t>
      </w:r>
      <w:r>
        <w:rPr>
          <w:rFonts w:hint="eastAsia" w:ascii="仿宋" w:hAnsi="仿宋" w:eastAsia="仿宋" w:cs="宋体"/>
          <w:kern w:val="0"/>
          <w:sz w:val="32"/>
          <w:szCs w:val="32"/>
        </w:rPr>
        <w:t>万元、津贴补贴</w:t>
      </w:r>
      <w:r>
        <w:rPr>
          <w:rFonts w:hint="eastAsia" w:ascii="仿宋" w:hAnsi="仿宋" w:eastAsia="仿宋" w:cs="宋体"/>
          <w:kern w:val="0"/>
          <w:sz w:val="32"/>
          <w:szCs w:val="32"/>
          <w:lang w:val="en-US" w:eastAsia="zh-CN"/>
        </w:rPr>
        <w:t>162.81</w:t>
      </w:r>
      <w:r>
        <w:rPr>
          <w:rFonts w:hint="eastAsia" w:ascii="仿宋" w:hAnsi="仿宋" w:eastAsia="仿宋" w:cs="宋体"/>
          <w:kern w:val="0"/>
          <w:sz w:val="32"/>
          <w:szCs w:val="32"/>
        </w:rPr>
        <w:t>万元、奖金</w:t>
      </w:r>
      <w:r>
        <w:rPr>
          <w:rFonts w:hint="eastAsia" w:ascii="仿宋" w:hAnsi="仿宋" w:eastAsia="仿宋" w:cs="宋体"/>
          <w:kern w:val="0"/>
          <w:sz w:val="32"/>
          <w:szCs w:val="32"/>
          <w:lang w:val="en-US" w:eastAsia="zh-CN"/>
        </w:rPr>
        <w:t>21.6</w:t>
      </w:r>
      <w:r>
        <w:rPr>
          <w:rFonts w:hint="eastAsia" w:ascii="仿宋" w:hAnsi="仿宋" w:eastAsia="仿宋" w:cs="宋体"/>
          <w:kern w:val="0"/>
          <w:sz w:val="32"/>
          <w:szCs w:val="32"/>
        </w:rPr>
        <w:t>万元、</w:t>
      </w:r>
      <w:r>
        <w:rPr>
          <w:rFonts w:hint="eastAsia" w:ascii="仿宋" w:hAnsi="仿宋" w:eastAsia="仿宋" w:cs="宋体"/>
          <w:color w:val="auto"/>
          <w:kern w:val="0"/>
          <w:sz w:val="32"/>
          <w:szCs w:val="32"/>
        </w:rPr>
        <w:t>绩效工资</w:t>
      </w:r>
      <w:r>
        <w:rPr>
          <w:rFonts w:hint="eastAsia" w:ascii="仿宋" w:hAnsi="仿宋" w:eastAsia="仿宋" w:cs="宋体"/>
          <w:color w:val="auto"/>
          <w:kern w:val="0"/>
          <w:sz w:val="32"/>
          <w:szCs w:val="32"/>
          <w:lang w:val="en-US" w:eastAsia="zh-CN"/>
        </w:rPr>
        <w:t>101.04</w:t>
      </w:r>
      <w:r>
        <w:rPr>
          <w:rFonts w:hint="eastAsia" w:ascii="仿宋" w:hAnsi="仿宋" w:eastAsia="仿宋" w:cs="宋体"/>
          <w:color w:val="auto"/>
          <w:kern w:val="0"/>
          <w:sz w:val="32"/>
          <w:szCs w:val="32"/>
        </w:rPr>
        <w:t>万元、机关事业单位基本养老保险缴费</w:t>
      </w:r>
      <w:r>
        <w:rPr>
          <w:rFonts w:hint="eastAsia" w:ascii="仿宋" w:hAnsi="仿宋" w:eastAsia="仿宋" w:cs="宋体"/>
          <w:color w:val="auto"/>
          <w:kern w:val="0"/>
          <w:sz w:val="32"/>
          <w:szCs w:val="32"/>
          <w:lang w:val="en-US" w:eastAsia="zh-CN"/>
        </w:rPr>
        <w:t>87.05</w:t>
      </w:r>
      <w:r>
        <w:rPr>
          <w:rFonts w:hint="eastAsia" w:ascii="仿宋" w:hAnsi="仿宋" w:eastAsia="仿宋" w:cs="宋体"/>
          <w:color w:val="auto"/>
          <w:kern w:val="0"/>
          <w:sz w:val="32"/>
          <w:szCs w:val="32"/>
        </w:rPr>
        <w:t>万元、职工基本医疗保险缴费</w:t>
      </w:r>
      <w:r>
        <w:rPr>
          <w:rFonts w:hint="eastAsia" w:ascii="仿宋" w:hAnsi="仿宋" w:eastAsia="仿宋" w:cs="宋体"/>
          <w:color w:val="auto"/>
          <w:kern w:val="0"/>
          <w:sz w:val="32"/>
          <w:szCs w:val="32"/>
          <w:lang w:val="en-US" w:eastAsia="zh-CN"/>
        </w:rPr>
        <w:t>51.69</w:t>
      </w:r>
      <w:r>
        <w:rPr>
          <w:rFonts w:hint="eastAsia" w:ascii="仿宋" w:hAnsi="仿宋" w:eastAsia="仿宋" w:cs="宋体"/>
          <w:color w:val="auto"/>
          <w:kern w:val="0"/>
          <w:sz w:val="32"/>
          <w:szCs w:val="32"/>
        </w:rPr>
        <w:t>万元、公务员医疗补助缴费</w:t>
      </w:r>
      <w:r>
        <w:rPr>
          <w:rFonts w:hint="eastAsia" w:ascii="仿宋" w:hAnsi="仿宋" w:eastAsia="仿宋" w:cs="宋体"/>
          <w:color w:val="auto"/>
          <w:kern w:val="0"/>
          <w:sz w:val="32"/>
          <w:szCs w:val="32"/>
          <w:lang w:val="en-US" w:eastAsia="zh-CN"/>
        </w:rPr>
        <w:t>16.32</w:t>
      </w:r>
      <w:r>
        <w:rPr>
          <w:rFonts w:hint="eastAsia" w:ascii="仿宋" w:hAnsi="仿宋" w:eastAsia="仿宋" w:cs="宋体"/>
          <w:color w:val="auto"/>
          <w:kern w:val="0"/>
          <w:sz w:val="32"/>
          <w:szCs w:val="32"/>
        </w:rPr>
        <w:t>万</w:t>
      </w:r>
      <w:r>
        <w:rPr>
          <w:rFonts w:hint="eastAsia" w:ascii="仿宋" w:hAnsi="仿宋" w:eastAsia="仿宋" w:cs="宋体"/>
          <w:kern w:val="0"/>
          <w:sz w:val="32"/>
          <w:szCs w:val="32"/>
        </w:rPr>
        <w:t>元、其他社会保障缴费</w:t>
      </w:r>
      <w:r>
        <w:rPr>
          <w:rFonts w:hint="eastAsia" w:ascii="仿宋" w:hAnsi="仿宋" w:eastAsia="仿宋" w:cs="宋体"/>
          <w:kern w:val="0"/>
          <w:sz w:val="32"/>
          <w:szCs w:val="32"/>
          <w:lang w:val="en-US" w:eastAsia="zh-CN"/>
        </w:rPr>
        <w:t>1.83</w:t>
      </w:r>
      <w:r>
        <w:rPr>
          <w:rFonts w:hint="eastAsia" w:ascii="仿宋" w:hAnsi="仿宋" w:eastAsia="仿宋" w:cs="宋体"/>
          <w:kern w:val="0"/>
          <w:sz w:val="32"/>
          <w:szCs w:val="32"/>
        </w:rPr>
        <w:t>万元、住房公积金</w:t>
      </w:r>
      <w:r>
        <w:rPr>
          <w:rFonts w:hint="eastAsia" w:ascii="仿宋" w:hAnsi="仿宋" w:eastAsia="仿宋" w:cs="宋体"/>
          <w:kern w:val="0"/>
          <w:sz w:val="32"/>
          <w:szCs w:val="32"/>
          <w:lang w:val="en-US" w:eastAsia="zh-CN"/>
        </w:rPr>
        <w:t>77.82</w:t>
      </w:r>
      <w:r>
        <w:rPr>
          <w:rFonts w:hint="eastAsia" w:ascii="仿宋" w:hAnsi="仿宋" w:eastAsia="仿宋" w:cs="宋体"/>
          <w:kern w:val="0"/>
          <w:sz w:val="32"/>
          <w:szCs w:val="32"/>
        </w:rPr>
        <w:t>万元、其他工资福利支出</w:t>
      </w:r>
      <w:r>
        <w:rPr>
          <w:rFonts w:hint="eastAsia" w:ascii="仿宋" w:hAnsi="仿宋" w:eastAsia="仿宋" w:cs="宋体"/>
          <w:kern w:val="0"/>
          <w:sz w:val="32"/>
          <w:szCs w:val="32"/>
          <w:lang w:val="en-US" w:eastAsia="zh-CN"/>
        </w:rPr>
        <w:t>12.33</w:t>
      </w:r>
      <w:r>
        <w:rPr>
          <w:rFonts w:hint="eastAsia" w:ascii="仿宋" w:hAnsi="仿宋" w:eastAsia="仿宋" w:cs="宋体"/>
          <w:kern w:val="0"/>
          <w:sz w:val="32"/>
          <w:szCs w:val="32"/>
        </w:rPr>
        <w:t>万元、离休费</w:t>
      </w:r>
      <w:r>
        <w:rPr>
          <w:rFonts w:hint="eastAsia" w:ascii="仿宋" w:hAnsi="仿宋" w:eastAsia="仿宋" w:cs="宋体"/>
          <w:kern w:val="0"/>
          <w:sz w:val="32"/>
          <w:szCs w:val="32"/>
          <w:lang w:val="en-US" w:eastAsia="zh-CN"/>
        </w:rPr>
        <w:t>18.42</w:t>
      </w:r>
      <w:r>
        <w:rPr>
          <w:rFonts w:hint="eastAsia" w:ascii="仿宋" w:hAnsi="仿宋" w:eastAsia="仿宋" w:cs="宋体"/>
          <w:kern w:val="0"/>
          <w:sz w:val="32"/>
          <w:szCs w:val="32"/>
        </w:rPr>
        <w:t>万元、</w:t>
      </w:r>
      <w:r>
        <w:rPr>
          <w:rFonts w:hint="eastAsia" w:ascii="仿宋" w:hAnsi="仿宋" w:eastAsia="仿宋" w:cs="宋体"/>
          <w:kern w:val="0"/>
          <w:sz w:val="32"/>
          <w:szCs w:val="32"/>
          <w:lang w:val="en-US" w:eastAsia="zh-CN"/>
        </w:rPr>
        <w:t>生活补助0.84万元、医疗费补助59.68万元、</w:t>
      </w:r>
      <w:r>
        <w:rPr>
          <w:rFonts w:hint="eastAsia" w:ascii="仿宋" w:hAnsi="仿宋" w:eastAsia="仿宋" w:cs="宋体"/>
          <w:kern w:val="0"/>
          <w:sz w:val="32"/>
          <w:szCs w:val="32"/>
        </w:rPr>
        <w:t>奖励金4.</w:t>
      </w:r>
      <w:r>
        <w:rPr>
          <w:rFonts w:hint="eastAsia" w:ascii="仿宋" w:hAnsi="仿宋" w:eastAsia="仿宋" w:cs="宋体"/>
          <w:kern w:val="0"/>
          <w:sz w:val="32"/>
          <w:szCs w:val="32"/>
          <w:lang w:val="en-US" w:eastAsia="zh-CN"/>
        </w:rPr>
        <w:t>55</w:t>
      </w:r>
      <w:r>
        <w:rPr>
          <w:rFonts w:hint="eastAsia" w:ascii="仿宋" w:hAnsi="仿宋" w:eastAsia="仿宋" w:cs="宋体"/>
          <w:kern w:val="0"/>
          <w:sz w:val="32"/>
          <w:szCs w:val="32"/>
        </w:rPr>
        <w:t>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公用经费</w:t>
      </w:r>
      <w:r>
        <w:rPr>
          <w:rFonts w:hint="eastAsia" w:ascii="仿宋" w:hAnsi="仿宋" w:eastAsia="仿宋" w:cs="宋体"/>
          <w:kern w:val="0"/>
          <w:sz w:val="32"/>
          <w:szCs w:val="32"/>
          <w:lang w:val="en-US" w:eastAsia="zh-CN"/>
        </w:rPr>
        <w:t>119.35</w:t>
      </w:r>
      <w:r>
        <w:rPr>
          <w:rFonts w:hint="eastAsia" w:ascii="仿宋" w:hAnsi="仿宋" w:eastAsia="仿宋" w:cs="宋体"/>
          <w:kern w:val="0"/>
          <w:sz w:val="32"/>
          <w:szCs w:val="32"/>
        </w:rPr>
        <w:t>万元，主要包括：办公费</w:t>
      </w:r>
      <w:r>
        <w:rPr>
          <w:rFonts w:hint="eastAsia" w:ascii="仿宋" w:hAnsi="仿宋" w:eastAsia="仿宋" w:cs="宋体"/>
          <w:kern w:val="0"/>
          <w:sz w:val="32"/>
          <w:szCs w:val="32"/>
          <w:lang w:val="en-US" w:eastAsia="zh-CN"/>
        </w:rPr>
        <w:t>6.59</w:t>
      </w:r>
      <w:r>
        <w:rPr>
          <w:rFonts w:hint="eastAsia" w:ascii="仿宋" w:hAnsi="仿宋" w:eastAsia="仿宋" w:cs="宋体"/>
          <w:kern w:val="0"/>
          <w:sz w:val="32"/>
          <w:szCs w:val="32"/>
        </w:rPr>
        <w:t>万元、水费</w:t>
      </w: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万元、电费</w:t>
      </w:r>
      <w:r>
        <w:rPr>
          <w:rFonts w:hint="eastAsia" w:ascii="仿宋" w:hAnsi="仿宋" w:eastAsia="仿宋" w:cs="宋体"/>
          <w:kern w:val="0"/>
          <w:sz w:val="32"/>
          <w:szCs w:val="32"/>
          <w:lang w:val="en-US" w:eastAsia="zh-CN"/>
        </w:rPr>
        <w:t>10</w:t>
      </w:r>
      <w:r>
        <w:rPr>
          <w:rFonts w:hint="eastAsia" w:ascii="仿宋" w:hAnsi="仿宋" w:eastAsia="仿宋" w:cs="宋体"/>
          <w:kern w:val="0"/>
          <w:sz w:val="32"/>
          <w:szCs w:val="32"/>
        </w:rPr>
        <w:t>万元、邮电费</w:t>
      </w:r>
      <w:r>
        <w:rPr>
          <w:rFonts w:hint="eastAsia" w:ascii="仿宋" w:hAnsi="仿宋" w:eastAsia="仿宋" w:cs="宋体"/>
          <w:kern w:val="0"/>
          <w:sz w:val="32"/>
          <w:szCs w:val="32"/>
          <w:lang w:val="en-US" w:eastAsia="zh-CN"/>
        </w:rPr>
        <w:t>8.5</w:t>
      </w:r>
      <w:r>
        <w:rPr>
          <w:rFonts w:hint="eastAsia" w:ascii="仿宋" w:hAnsi="仿宋" w:eastAsia="仿宋" w:cs="宋体"/>
          <w:kern w:val="0"/>
          <w:sz w:val="32"/>
          <w:szCs w:val="32"/>
        </w:rPr>
        <w:t>万元、取暖费</w:t>
      </w:r>
      <w:r>
        <w:rPr>
          <w:rFonts w:hint="eastAsia" w:ascii="仿宋" w:hAnsi="仿宋" w:eastAsia="仿宋" w:cs="宋体"/>
          <w:kern w:val="0"/>
          <w:sz w:val="32"/>
          <w:szCs w:val="32"/>
          <w:lang w:val="en-US" w:eastAsia="zh-CN"/>
        </w:rPr>
        <w:t>21.5</w:t>
      </w:r>
      <w:r>
        <w:rPr>
          <w:rFonts w:hint="eastAsia" w:ascii="仿宋" w:hAnsi="仿宋" w:eastAsia="仿宋" w:cs="宋体"/>
          <w:kern w:val="0"/>
          <w:sz w:val="32"/>
          <w:szCs w:val="32"/>
        </w:rPr>
        <w:t>万元、物业管理费1万元、差旅费</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万元、维修（护）费</w:t>
      </w:r>
      <w:r>
        <w:rPr>
          <w:rFonts w:hint="eastAsia" w:ascii="仿宋" w:hAnsi="仿宋" w:eastAsia="仿宋" w:cs="宋体"/>
          <w:kern w:val="0"/>
          <w:sz w:val="32"/>
          <w:szCs w:val="32"/>
          <w:lang w:val="en-US" w:eastAsia="zh-CN"/>
        </w:rPr>
        <w:t>8.8</w:t>
      </w:r>
      <w:r>
        <w:rPr>
          <w:rFonts w:hint="eastAsia" w:ascii="仿宋" w:hAnsi="仿宋" w:eastAsia="仿宋" w:cs="宋体"/>
          <w:kern w:val="0"/>
          <w:sz w:val="32"/>
          <w:szCs w:val="32"/>
        </w:rPr>
        <w:t>万元、</w:t>
      </w:r>
      <w:r>
        <w:rPr>
          <w:rFonts w:hint="eastAsia" w:ascii="仿宋" w:hAnsi="仿宋" w:eastAsia="仿宋" w:cs="宋体"/>
          <w:kern w:val="0"/>
          <w:sz w:val="32"/>
          <w:szCs w:val="32"/>
          <w:lang w:val="en-US" w:eastAsia="zh-CN"/>
        </w:rPr>
        <w:t>公务接待费1.</w:t>
      </w:r>
      <w:r>
        <w:rPr>
          <w:rFonts w:hint="eastAsia" w:ascii="仿宋" w:hAnsi="仿宋" w:eastAsia="仿宋" w:cs="宋体"/>
          <w:kern w:val="0"/>
          <w:sz w:val="32"/>
          <w:szCs w:val="32"/>
        </w:rPr>
        <w:t>5万元、劳务费</w:t>
      </w: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万元、委托业务费1万元、工会经费</w:t>
      </w:r>
      <w:r>
        <w:rPr>
          <w:rFonts w:hint="eastAsia" w:ascii="仿宋" w:hAnsi="仿宋" w:eastAsia="仿宋" w:cs="宋体"/>
          <w:kern w:val="0"/>
          <w:sz w:val="32"/>
          <w:szCs w:val="32"/>
          <w:lang w:val="en-US" w:eastAsia="zh-CN"/>
        </w:rPr>
        <w:t>10.24</w:t>
      </w:r>
      <w:r>
        <w:rPr>
          <w:rFonts w:hint="eastAsia" w:ascii="仿宋" w:hAnsi="仿宋" w:eastAsia="仿宋" w:cs="宋体"/>
          <w:kern w:val="0"/>
          <w:sz w:val="32"/>
          <w:szCs w:val="32"/>
        </w:rPr>
        <w:t>万元、福利费</w:t>
      </w:r>
      <w:r>
        <w:rPr>
          <w:rFonts w:hint="eastAsia" w:ascii="仿宋" w:hAnsi="仿宋" w:eastAsia="仿宋" w:cs="宋体"/>
          <w:kern w:val="0"/>
          <w:sz w:val="32"/>
          <w:szCs w:val="32"/>
          <w:lang w:val="en-US" w:eastAsia="zh-CN"/>
        </w:rPr>
        <w:t>9.22</w:t>
      </w:r>
      <w:r>
        <w:rPr>
          <w:rFonts w:hint="eastAsia" w:ascii="仿宋" w:hAnsi="仿宋" w:eastAsia="仿宋" w:cs="宋体"/>
          <w:kern w:val="0"/>
          <w:sz w:val="32"/>
          <w:szCs w:val="32"/>
        </w:rPr>
        <w:t>万元、公务用车运行维护费</w:t>
      </w:r>
      <w:r>
        <w:rPr>
          <w:rFonts w:hint="eastAsia" w:ascii="仿宋" w:hAnsi="仿宋" w:eastAsia="仿宋" w:cs="宋体"/>
          <w:kern w:val="0"/>
          <w:sz w:val="32"/>
          <w:szCs w:val="32"/>
          <w:lang w:val="en-US" w:eastAsia="zh-CN"/>
        </w:rPr>
        <w:t>14</w:t>
      </w:r>
      <w:r>
        <w:rPr>
          <w:rFonts w:hint="eastAsia" w:ascii="仿宋" w:hAnsi="仿宋" w:eastAsia="仿宋" w:cs="宋体"/>
          <w:kern w:val="0"/>
          <w:sz w:val="32"/>
          <w:szCs w:val="32"/>
        </w:rPr>
        <w:t>万元、其他交通费用</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万元、其他商品和服务支出</w:t>
      </w:r>
      <w:r>
        <w:rPr>
          <w:rFonts w:hint="eastAsia" w:ascii="仿宋" w:hAnsi="仿宋" w:eastAsia="仿宋" w:cs="宋体"/>
          <w:kern w:val="0"/>
          <w:sz w:val="32"/>
          <w:szCs w:val="32"/>
          <w:lang w:val="en-US" w:eastAsia="zh-CN"/>
        </w:rPr>
        <w:t>16</w:t>
      </w:r>
      <w:r>
        <w:rPr>
          <w:rFonts w:hint="eastAsia" w:ascii="仿宋" w:hAnsi="仿宋" w:eastAsia="仿宋" w:cs="宋体"/>
          <w:kern w:val="0"/>
          <w:sz w:val="32"/>
          <w:szCs w:val="32"/>
        </w:rPr>
        <w:t>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昌吉州教育局</w:t>
      </w:r>
      <w:r>
        <w:rPr>
          <w:rFonts w:hint="eastAsia" w:ascii="楷体_GB2312" w:hAnsi="楷体_GB2312" w:eastAsia="楷体_GB2312" w:cs="楷体_GB2312"/>
          <w:b/>
          <w:bCs/>
          <w:spacing w:val="-6"/>
          <w:kern w:val="0"/>
          <w:sz w:val="32"/>
          <w:szCs w:val="32"/>
        </w:rPr>
        <w:t>2022年一般公共预算项目支出情况说明</w:t>
      </w:r>
    </w:p>
    <w:p>
      <w:pPr>
        <w:widowControl/>
        <w:spacing w:line="580" w:lineRule="exact"/>
        <w:ind w:firstLine="640"/>
        <w:jc w:val="left"/>
        <w:rPr>
          <w:rFonts w:hint="default" w:ascii="仿宋" w:hAnsi="仿宋" w:eastAsia="仿宋"/>
          <w:b/>
          <w:sz w:val="32"/>
          <w:szCs w:val="32"/>
          <w:lang w:val="en-US" w:eastAsia="zh-CN"/>
        </w:rPr>
      </w:pPr>
      <w:r>
        <w:rPr>
          <w:rFonts w:hint="eastAsia" w:ascii="仿宋" w:hAnsi="仿宋" w:eastAsia="仿宋"/>
          <w:b/>
          <w:sz w:val="32"/>
          <w:szCs w:val="32"/>
        </w:rPr>
        <w:t>1、项目</w:t>
      </w:r>
      <w:r>
        <w:rPr>
          <w:rFonts w:ascii="仿宋" w:hAnsi="仿宋" w:eastAsia="仿宋"/>
          <w:b/>
          <w:sz w:val="32"/>
          <w:szCs w:val="32"/>
        </w:rPr>
        <w:t>名称</w:t>
      </w:r>
      <w:r>
        <w:rPr>
          <w:rFonts w:hint="eastAsia" w:ascii="仿宋" w:hAnsi="仿宋" w:eastAsia="仿宋"/>
          <w:b/>
          <w:sz w:val="32"/>
          <w:szCs w:val="32"/>
        </w:rPr>
        <w:t>：</w:t>
      </w:r>
      <w:r>
        <w:rPr>
          <w:rFonts w:hint="eastAsia" w:ascii="仿宋" w:hAnsi="仿宋" w:eastAsia="仿宋"/>
          <w:b/>
          <w:sz w:val="32"/>
          <w:szCs w:val="32"/>
          <w:lang w:val="en-US" w:eastAsia="zh-CN"/>
        </w:rPr>
        <w:t>教师队伍建设经费</w:t>
      </w:r>
    </w:p>
    <w:p>
      <w:pPr>
        <w:widowControl w:val="0"/>
        <w:wordWrap/>
        <w:adjustRightInd/>
        <w:snapToGrid/>
        <w:spacing w:before="0" w:after="0" w:line="560" w:lineRule="exact"/>
        <w:ind w:left="0" w:leftChars="0" w:right="0" w:firstLine="640" w:firstLineChars="200"/>
        <w:jc w:val="both"/>
        <w:textAlignment w:val="auto"/>
        <w:outlineLvl w:val="9"/>
        <w:rPr>
          <w:rFonts w:hint="default" w:ascii="仿宋_GB2312" w:hAnsi="仿宋_GB2312" w:eastAsia="仿宋_GB2312" w:cs="仿宋_GB2312"/>
          <w:sz w:val="32"/>
          <w:szCs w:val="32"/>
          <w:lang w:val="en-US" w:eastAsia="zh-CN"/>
        </w:rPr>
      </w:pPr>
      <w:r>
        <w:rPr>
          <w:rFonts w:ascii="仿宋" w:hAnsi="仿宋" w:eastAsia="仿宋"/>
          <w:sz w:val="32"/>
          <w:szCs w:val="32"/>
        </w:rPr>
        <w:t>设立的政策依据</w:t>
      </w:r>
      <w:r>
        <w:rPr>
          <w:rFonts w:hint="eastAsia" w:ascii="仿宋" w:hAnsi="仿宋" w:eastAsia="仿宋"/>
          <w:sz w:val="32"/>
          <w:szCs w:val="32"/>
        </w:rPr>
        <w:t>：</w:t>
      </w:r>
      <w:r>
        <w:rPr>
          <w:rFonts w:hint="eastAsia" w:ascii="仿宋_GB2312" w:hAnsi="仿宋_GB2312" w:eastAsia="仿宋_GB2312" w:cs="仿宋_GB2312"/>
          <w:color w:val="auto"/>
          <w:sz w:val="32"/>
          <w:szCs w:val="32"/>
          <w:lang w:val="en-US" w:eastAsia="zh-CN"/>
        </w:rPr>
        <w:t>根据《新疆维吾尔自治区中小学和幼儿园教师继续教育规划（2019—2023年)》、《自治州关于进一步加强新时代教师队伍建设的实施意见》和</w:t>
      </w:r>
      <w:r>
        <w:rPr>
          <w:rFonts w:hint="eastAsia" w:ascii="仿宋_GB2312" w:hAnsi="仿宋_GB2312" w:eastAsia="仿宋_GB2312" w:cs="仿宋_GB2312"/>
          <w:sz w:val="32"/>
          <w:szCs w:val="32"/>
          <w:lang w:val="en-US" w:eastAsia="zh-CN"/>
        </w:rPr>
        <w:t>自治区支教办对昌吉州绩效考核指标（南疆学前教育支教工作）要求及工作部署</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针对不同层次、类别、岗位的需求，有计划的开展书记、校长专题培训、国语教师培训和南疆支教工作，提升书记、校长的办学治校能力和教师专业素养,帮助受援地学校提高教育教学质量；按照自治区教师招聘要求，结合教师编制核定情况，2022年拟面向社会公开招聘中小学和幼儿园教师100-500人，需支出面试考官、工作人员劳务费、食宿费和命题费用。</w:t>
      </w:r>
    </w:p>
    <w:p>
      <w:pPr>
        <w:widowControl/>
        <w:wordWrap/>
        <w:adjustRightInd/>
        <w:snapToGrid/>
        <w:spacing w:before="0" w:after="0" w:line="560" w:lineRule="exact"/>
        <w:ind w:left="0" w:leftChars="0" w:right="0" w:firstLine="640"/>
        <w:jc w:val="left"/>
        <w:textAlignment w:val="auto"/>
        <w:outlineLvl w:val="9"/>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w:t>
      </w:r>
      <w:r>
        <w:rPr>
          <w:rFonts w:hint="eastAsia" w:ascii="仿宋" w:hAnsi="仿宋" w:eastAsia="仿宋"/>
          <w:sz w:val="32"/>
          <w:szCs w:val="32"/>
          <w:lang w:val="en-US" w:eastAsia="zh-CN"/>
        </w:rPr>
        <w:t>124</w:t>
      </w:r>
      <w:r>
        <w:rPr>
          <w:rFonts w:hint="eastAsia" w:ascii="仿宋" w:hAnsi="仿宋" w:eastAsia="仿宋"/>
          <w:sz w:val="32"/>
          <w:szCs w:val="32"/>
        </w:rPr>
        <w:t>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hint="default" w:ascii="仿宋" w:hAnsi="仿宋" w:eastAsia="仿宋"/>
          <w:sz w:val="32"/>
          <w:szCs w:val="32"/>
          <w:lang w:val="en-US" w:eastAsia="zh-CN"/>
        </w:rPr>
      </w:pPr>
      <w:r>
        <w:rPr>
          <w:rFonts w:ascii="仿宋" w:hAnsi="仿宋" w:eastAsia="仿宋"/>
          <w:sz w:val="32"/>
          <w:szCs w:val="32"/>
        </w:rPr>
        <w:t>资金分配情况</w:t>
      </w:r>
      <w:r>
        <w:rPr>
          <w:rFonts w:hint="eastAsia" w:ascii="仿宋" w:hAnsi="仿宋" w:eastAsia="仿宋"/>
          <w:sz w:val="32"/>
          <w:szCs w:val="32"/>
        </w:rPr>
        <w:t>：</w:t>
      </w:r>
      <w:r>
        <w:rPr>
          <w:rFonts w:hint="eastAsia" w:ascii="仿宋" w:hAnsi="仿宋" w:eastAsia="仿宋"/>
          <w:sz w:val="32"/>
          <w:szCs w:val="32"/>
          <w:lang w:val="en-US" w:eastAsia="zh-CN"/>
        </w:rPr>
        <w:t>全部为商品和服务支出，其中：全州教师、校长书记培训资金72万元，南疆支教教师管理、慰问、工作经费30万元，全州教师招聘考官、工作人员、食宿费及命题费、劳务费22万元。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年1月-12月</w:t>
      </w:r>
    </w:p>
    <w:p>
      <w:pPr>
        <w:widowControl/>
        <w:spacing w:line="580" w:lineRule="exact"/>
        <w:ind w:firstLine="640"/>
        <w:jc w:val="left"/>
        <w:rPr>
          <w:rFonts w:hint="default" w:ascii="仿宋" w:hAnsi="仿宋" w:eastAsia="仿宋"/>
          <w:b/>
          <w:sz w:val="32"/>
          <w:szCs w:val="32"/>
          <w:lang w:val="en-US" w:eastAsia="zh-CN"/>
        </w:rPr>
      </w:pPr>
      <w:r>
        <w:rPr>
          <w:rFonts w:hint="eastAsia" w:ascii="仿宋" w:hAnsi="仿宋" w:eastAsia="仿宋"/>
          <w:b/>
          <w:sz w:val="32"/>
          <w:szCs w:val="32"/>
        </w:rPr>
        <w:t>2、项目</w:t>
      </w:r>
      <w:r>
        <w:rPr>
          <w:rFonts w:ascii="仿宋" w:hAnsi="仿宋" w:eastAsia="仿宋"/>
          <w:b/>
          <w:sz w:val="32"/>
          <w:szCs w:val="32"/>
        </w:rPr>
        <w:t>名称</w:t>
      </w:r>
      <w:r>
        <w:rPr>
          <w:rFonts w:hint="eastAsia" w:ascii="仿宋" w:hAnsi="仿宋" w:eastAsia="仿宋"/>
          <w:b/>
          <w:sz w:val="32"/>
          <w:szCs w:val="32"/>
        </w:rPr>
        <w:t>：</w:t>
      </w:r>
      <w:r>
        <w:rPr>
          <w:rFonts w:hint="eastAsia" w:ascii="仿宋" w:hAnsi="仿宋" w:eastAsia="仿宋"/>
          <w:b/>
          <w:sz w:val="32"/>
          <w:szCs w:val="32"/>
          <w:lang w:val="en-US" w:eastAsia="zh-CN"/>
        </w:rPr>
        <w:t>2022年教师职称评审经费</w:t>
      </w:r>
    </w:p>
    <w:p>
      <w:pPr>
        <w:widowControl/>
        <w:spacing w:line="580" w:lineRule="exact"/>
        <w:ind w:firstLine="640"/>
        <w:jc w:val="left"/>
        <w:rPr>
          <w:rFonts w:hint="eastAsia" w:ascii="仿宋_GB2312" w:hAnsi="仿宋_GB2312" w:eastAsia="仿宋_GB2312" w:cs="仿宋_GB2312"/>
          <w:sz w:val="32"/>
          <w:szCs w:val="32"/>
          <w:lang w:val="en-US" w:eastAsia="zh-CN"/>
        </w:rPr>
      </w:pPr>
      <w:r>
        <w:rPr>
          <w:rFonts w:ascii="仿宋" w:hAnsi="仿宋" w:eastAsia="仿宋"/>
          <w:sz w:val="32"/>
          <w:szCs w:val="32"/>
        </w:rPr>
        <w:t>设立的政策依据</w:t>
      </w:r>
      <w:r>
        <w:rPr>
          <w:rFonts w:hint="eastAsia" w:ascii="仿宋" w:hAnsi="仿宋" w:eastAsia="仿宋"/>
          <w:sz w:val="32"/>
          <w:szCs w:val="32"/>
        </w:rPr>
        <w:t>：</w:t>
      </w:r>
      <w:r>
        <w:rPr>
          <w:rFonts w:hint="eastAsia" w:ascii="仿宋_GB2312" w:hAnsi="仿宋_GB2312" w:eastAsia="仿宋_GB2312" w:cs="仿宋_GB2312"/>
          <w:sz w:val="32"/>
          <w:szCs w:val="32"/>
          <w:lang w:val="en-US" w:eastAsia="zh-CN"/>
        </w:rPr>
        <w:t>根据《关于开展自治区教师系列职称评审工作的通知》要求，结合工作实际，2022年州教育局计划开展全州教师职称评审工作，收取职称评审费用50万元，全额缴纳国库。</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：30万元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：商品服务支出30万元，主要用于</w:t>
      </w:r>
      <w:r>
        <w:rPr>
          <w:rFonts w:hint="eastAsia" w:ascii="仿宋" w:hAnsi="仿宋" w:eastAsia="仿宋"/>
          <w:sz w:val="32"/>
          <w:szCs w:val="32"/>
          <w:lang w:val="en-US" w:eastAsia="zh-CN"/>
        </w:rPr>
        <w:t>职称评审专家、工作人员食宿费、劳务费、专家评审费及办公费用</w:t>
      </w:r>
      <w:r>
        <w:rPr>
          <w:rFonts w:hint="eastAsia" w:ascii="仿宋" w:hAnsi="仿宋" w:eastAsia="仿宋"/>
          <w:sz w:val="32"/>
          <w:szCs w:val="32"/>
        </w:rPr>
        <w:t>。</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年1月-12月</w:t>
      </w:r>
    </w:p>
    <w:p>
      <w:pPr>
        <w:widowControl/>
        <w:numPr>
          <w:ilvl w:val="0"/>
          <w:numId w:val="1"/>
        </w:numPr>
        <w:spacing w:line="580" w:lineRule="exact"/>
        <w:ind w:firstLine="640"/>
        <w:jc w:val="left"/>
        <w:rPr>
          <w:rFonts w:hint="eastAsia" w:ascii="仿宋" w:hAnsi="仿宋" w:eastAsia="仿宋"/>
          <w:b/>
          <w:sz w:val="32"/>
          <w:szCs w:val="32"/>
          <w:lang w:val="en-US" w:eastAsia="zh-CN"/>
        </w:rPr>
      </w:pPr>
      <w:r>
        <w:rPr>
          <w:rFonts w:hint="eastAsia" w:ascii="仿宋" w:hAnsi="仿宋" w:eastAsia="仿宋"/>
          <w:b/>
          <w:sz w:val="32"/>
          <w:szCs w:val="32"/>
        </w:rPr>
        <w:t>项目</w:t>
      </w:r>
      <w:r>
        <w:rPr>
          <w:rFonts w:ascii="仿宋" w:hAnsi="仿宋" w:eastAsia="仿宋"/>
          <w:b/>
          <w:sz w:val="32"/>
          <w:szCs w:val="32"/>
        </w:rPr>
        <w:t>名称</w:t>
      </w:r>
      <w:r>
        <w:rPr>
          <w:rFonts w:hint="eastAsia" w:ascii="仿宋" w:hAnsi="仿宋" w:eastAsia="仿宋"/>
          <w:b/>
          <w:sz w:val="32"/>
          <w:szCs w:val="32"/>
        </w:rPr>
        <w:t>：</w:t>
      </w:r>
      <w:r>
        <w:rPr>
          <w:rFonts w:hint="eastAsia" w:ascii="仿宋" w:hAnsi="仿宋" w:eastAsia="仿宋"/>
          <w:b/>
          <w:sz w:val="32"/>
          <w:szCs w:val="32"/>
          <w:lang w:val="en-US" w:eastAsia="zh-CN"/>
        </w:rPr>
        <w:t>督导工作经费</w:t>
      </w:r>
    </w:p>
    <w:p>
      <w:pPr>
        <w:widowControl w:val="0"/>
        <w:wordWrap/>
        <w:adjustRightInd/>
        <w:snapToGrid/>
        <w:spacing w:line="560" w:lineRule="exact"/>
        <w:ind w:firstLine="640"/>
        <w:textAlignment w:val="auto"/>
        <w:rPr>
          <w:rFonts w:hint="default"/>
          <w:lang w:val="en-US" w:eastAsia="zh-CN"/>
        </w:rPr>
      </w:pPr>
      <w:r>
        <w:rPr>
          <w:rFonts w:ascii="仿宋" w:hAnsi="仿宋" w:eastAsia="仿宋"/>
          <w:sz w:val="32"/>
          <w:szCs w:val="32"/>
        </w:rPr>
        <w:t>设立的政策依据</w:t>
      </w:r>
      <w:r>
        <w:rPr>
          <w:rFonts w:hint="eastAsia" w:ascii="仿宋" w:hAnsi="仿宋" w:eastAsia="仿宋"/>
          <w:sz w:val="32"/>
          <w:szCs w:val="32"/>
        </w:rPr>
        <w:t>：</w:t>
      </w:r>
      <w:r>
        <w:rPr>
          <w:rFonts w:hint="eastAsia" w:ascii="仿宋_GB2312" w:hAnsi="仿宋_GB2312" w:eastAsia="仿宋_GB2312" w:cs="仿宋_GB2312"/>
          <w:b w:val="0"/>
          <w:bCs w:val="0"/>
          <w:color w:val="auto"/>
          <w:sz w:val="32"/>
          <w:szCs w:val="32"/>
          <w:lang w:val="en-US" w:eastAsia="zh-CN"/>
        </w:rPr>
        <w:t>2020年2月中共中央办公厅、国务院办公厅印发《关于深化新时代教育督导体制机制改革意见》第24条“</w:t>
      </w:r>
      <w:r>
        <w:rPr>
          <w:rFonts w:hint="eastAsia" w:ascii="仿宋_GB2312" w:hAnsi="仿宋_GB2312" w:eastAsia="仿宋_GB2312" w:cs="仿宋_GB2312"/>
          <w:color w:val="auto"/>
          <w:sz w:val="32"/>
          <w:szCs w:val="32"/>
        </w:rPr>
        <w:t>切实落实教育督导条件保障。各级政府应将教育督导工作经费纳入本级财政预算，由教育督导机构统筹使用，按规定妥善解决教育督导工作人员尤其是兼职督学因教育督导工作产生的通信、交通、食宿、劳务等费用。各级政府要在办公用房、设备等方面，为教育督导工作提供必要条件，保证教育督导各项工作有效开展。</w:t>
      </w:r>
      <w:r>
        <w:rPr>
          <w:rFonts w:hint="eastAsia" w:ascii="仿宋_GB2312" w:hAnsi="仿宋_GB2312" w:eastAsia="仿宋_GB2312" w:cs="仿宋_GB2312"/>
          <w:b w:val="0"/>
          <w:bCs w:val="0"/>
          <w:color w:val="auto"/>
          <w:sz w:val="32"/>
          <w:szCs w:val="32"/>
          <w:lang w:val="en-US" w:eastAsia="zh-CN"/>
        </w:rPr>
        <w:t>”自治区近期下发的</w:t>
      </w:r>
      <w:r>
        <w:rPr>
          <w:rFonts w:hint="eastAsia" w:ascii="仿宋_GB2312" w:hAnsi="仿宋_GB2312" w:eastAsia="仿宋_GB2312" w:cs="仿宋_GB2312"/>
          <w:snapToGrid w:val="0"/>
          <w:kern w:val="0"/>
          <w:sz w:val="32"/>
          <w:szCs w:val="32"/>
        </w:rPr>
        <w:t>关于深化新时代教育督导体制机制改革的实施方案</w:t>
      </w:r>
      <w:r>
        <w:rPr>
          <w:rFonts w:hint="eastAsia" w:ascii="仿宋_GB2312" w:hAnsi="仿宋_GB2312" w:eastAsia="仿宋_GB2312" w:cs="仿宋_GB2312"/>
          <w:snapToGrid w:val="0"/>
          <w:kern w:val="0"/>
          <w:sz w:val="32"/>
          <w:szCs w:val="32"/>
          <w:lang w:eastAsia="zh-CN"/>
        </w:rPr>
        <w:t>（征求意见稿）</w:t>
      </w:r>
      <w:r>
        <w:rPr>
          <w:rFonts w:hint="eastAsia" w:ascii="仿宋_GB2312" w:hAnsi="仿宋_GB2312" w:eastAsia="仿宋_GB2312" w:cs="仿宋_GB2312"/>
          <w:snapToGrid w:val="0"/>
          <w:kern w:val="0"/>
          <w:sz w:val="32"/>
          <w:szCs w:val="32"/>
          <w:lang w:val="en-US" w:eastAsia="zh-CN"/>
        </w:rPr>
        <w:t>中第16条“</w:t>
      </w:r>
      <w:r>
        <w:rPr>
          <w:rFonts w:hint="eastAsia" w:ascii="仿宋_GB2312" w:hAnsi="仿宋_GB2312" w:eastAsia="仿宋_GB2312" w:cs="仿宋_GB2312"/>
          <w:snapToGrid w:val="0"/>
          <w:kern w:val="0"/>
          <w:sz w:val="32"/>
          <w:szCs w:val="32"/>
        </w:rPr>
        <w:t>落实教育督导条件保障制度。各级政府应将教育督导工作经费</w:t>
      </w:r>
      <w:r>
        <w:rPr>
          <w:rFonts w:hint="eastAsia" w:ascii="仿宋_GB2312" w:hAnsi="仿宋_GB2312" w:eastAsia="仿宋_GB2312" w:cs="仿宋_GB2312"/>
          <w:snapToGrid w:val="0"/>
          <w:kern w:val="0"/>
          <w:sz w:val="32"/>
          <w:szCs w:val="32"/>
          <w:highlight w:val="none"/>
        </w:rPr>
        <w:t>纳入本级财政预算，</w:t>
      </w:r>
      <w:r>
        <w:rPr>
          <w:rFonts w:hint="eastAsia" w:ascii="仿宋_GB2312" w:hAnsi="仿宋_GB2312" w:eastAsia="仿宋_GB2312" w:cs="仿宋_GB2312"/>
          <w:snapToGrid w:val="0"/>
          <w:kern w:val="0"/>
          <w:sz w:val="32"/>
          <w:szCs w:val="32"/>
          <w:highlight w:val="none"/>
          <w:lang w:eastAsia="zh-CN"/>
        </w:rPr>
        <w:t>可</w:t>
      </w:r>
      <w:r>
        <w:rPr>
          <w:rFonts w:hint="eastAsia" w:ascii="仿宋_GB2312" w:hAnsi="仿宋_GB2312" w:eastAsia="仿宋_GB2312" w:cs="仿宋_GB2312"/>
          <w:snapToGrid w:val="0"/>
          <w:kern w:val="0"/>
          <w:sz w:val="32"/>
          <w:szCs w:val="32"/>
          <w:highlight w:val="none"/>
        </w:rPr>
        <w:t>按本级所辖行政区域学生生均标准核拨，由教育督导机构统筹使用。</w:t>
      </w:r>
    </w:p>
    <w:p>
      <w:pPr>
        <w:widowControl w:val="0"/>
        <w:wordWrap/>
        <w:adjustRightInd/>
        <w:snapToGrid/>
        <w:spacing w:line="560" w:lineRule="exact"/>
        <w:ind w:firstLine="640" w:firstLineChars="200"/>
        <w:textAlignment w:val="auto"/>
        <w:rPr>
          <w:rFonts w:ascii="仿宋" w:hAnsi="仿宋" w:eastAsia="仿宋"/>
          <w:sz w:val="32"/>
          <w:szCs w:val="32"/>
        </w:rPr>
      </w:pPr>
      <w:r>
        <w:rPr>
          <w:rFonts w:hint="eastAsia" w:ascii="仿宋_GB2312" w:hAnsi="仿宋_GB2312" w:eastAsia="仿宋_GB2312" w:cs="仿宋_GB2312"/>
          <w:b w:val="0"/>
          <w:bCs w:val="0"/>
          <w:sz w:val="32"/>
          <w:szCs w:val="32"/>
          <w:lang w:val="en-US" w:eastAsia="zh-CN"/>
        </w:rPr>
        <w:t>督导室须每年一次对县市人民政府履行教育职责督导评价，每两年对义务教育优质均衡发展通过国家验收进行复查验收，每三年对州域内246所幼儿园进行一次办学行为的督导评估，三年内需对所属七县市学前教育普及普惠达标情况进行过程性督导评估，并接受国家、自治区验收，每年春秋两季对各级各类学校开学准备情况的督查。督导评估工作需组织相应的专家参加评价，督导评估过程中产生的办公费用、交通费用、食宿费用及聘</w:t>
      </w:r>
      <w:r>
        <w:rPr>
          <w:rFonts w:hint="eastAsia" w:ascii="仿宋_GB2312" w:hAnsi="仿宋_GB2312" w:eastAsia="仿宋_GB2312" w:cs="仿宋_GB2312"/>
          <w:b w:val="0"/>
          <w:bCs w:val="0"/>
          <w:color w:val="auto"/>
          <w:sz w:val="32"/>
          <w:szCs w:val="32"/>
          <w:lang w:val="en-US" w:eastAsia="zh-CN"/>
        </w:rPr>
        <w:t>请的兼职督学的办公经费由专项资金解决，</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w:t>
      </w:r>
      <w:r>
        <w:rPr>
          <w:rFonts w:hint="eastAsia" w:ascii="仿宋" w:hAnsi="仿宋" w:eastAsia="仿宋"/>
          <w:sz w:val="32"/>
          <w:szCs w:val="32"/>
          <w:lang w:val="en-US" w:eastAsia="zh-CN"/>
        </w:rPr>
        <w:t>2</w:t>
      </w:r>
      <w:r>
        <w:rPr>
          <w:rFonts w:hint="eastAsia" w:ascii="仿宋" w:hAnsi="仿宋" w:eastAsia="仿宋"/>
          <w:sz w:val="32"/>
          <w:szCs w:val="32"/>
        </w:rPr>
        <w:t>0万元，主要用于教育督导</w:t>
      </w:r>
      <w:r>
        <w:rPr>
          <w:rFonts w:hint="eastAsia" w:ascii="仿宋" w:hAnsi="仿宋" w:eastAsia="仿宋"/>
          <w:sz w:val="32"/>
          <w:szCs w:val="32"/>
          <w:lang w:val="en-US" w:eastAsia="zh-CN"/>
        </w:rPr>
        <w:t>租车费、</w:t>
      </w:r>
      <w:r>
        <w:rPr>
          <w:rFonts w:hint="eastAsia" w:ascii="仿宋" w:hAnsi="仿宋" w:eastAsia="仿宋"/>
          <w:sz w:val="32"/>
          <w:szCs w:val="32"/>
        </w:rPr>
        <w:t>差费、</w:t>
      </w:r>
      <w:r>
        <w:rPr>
          <w:rFonts w:hint="eastAsia" w:ascii="仿宋" w:hAnsi="仿宋" w:eastAsia="仿宋"/>
          <w:sz w:val="32"/>
          <w:szCs w:val="32"/>
          <w:lang w:val="en-US" w:eastAsia="zh-CN"/>
        </w:rPr>
        <w:t>督学劳务费、督导</w:t>
      </w:r>
      <w:r>
        <w:rPr>
          <w:rFonts w:hint="eastAsia" w:ascii="仿宋" w:hAnsi="仿宋" w:eastAsia="仿宋"/>
          <w:sz w:val="32"/>
          <w:szCs w:val="32"/>
        </w:rPr>
        <w:t>工作经费。</w:t>
      </w:r>
    </w:p>
    <w:p>
      <w:pPr>
        <w:widowControl/>
        <w:spacing w:line="580" w:lineRule="exact"/>
        <w:ind w:firstLine="642"/>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年1月-12月</w:t>
      </w:r>
    </w:p>
    <w:p>
      <w:pPr>
        <w:spacing w:line="560" w:lineRule="exact"/>
        <w:ind w:firstLine="636"/>
        <w:rPr>
          <w:rFonts w:hint="default" w:ascii="仿宋" w:hAnsi="仿宋" w:eastAsia="仿宋" w:cs="仿宋_GB2312"/>
          <w:b/>
          <w:sz w:val="32"/>
          <w:szCs w:val="32"/>
          <w:lang w:val="en-US" w:eastAsia="zh-CN"/>
        </w:rPr>
      </w:pPr>
      <w:r>
        <w:rPr>
          <w:rFonts w:hint="eastAsia" w:ascii="仿宋" w:hAnsi="仿宋" w:eastAsia="仿宋"/>
          <w:b/>
          <w:sz w:val="32"/>
          <w:szCs w:val="32"/>
          <w:lang w:val="en-US" w:eastAsia="zh-CN"/>
        </w:rPr>
        <w:t>4</w:t>
      </w:r>
      <w:r>
        <w:rPr>
          <w:rFonts w:hint="eastAsia" w:ascii="仿宋" w:hAnsi="仿宋" w:eastAsia="仿宋"/>
          <w:b/>
          <w:sz w:val="32"/>
          <w:szCs w:val="32"/>
        </w:rPr>
        <w:t>.</w:t>
      </w:r>
      <w:r>
        <w:rPr>
          <w:rFonts w:hint="eastAsia" w:ascii="仿宋" w:hAnsi="仿宋" w:eastAsia="仿宋" w:cs="仿宋_GB2312"/>
          <w:b/>
          <w:sz w:val="32"/>
          <w:szCs w:val="32"/>
        </w:rPr>
        <w:t>项目名称：</w:t>
      </w:r>
      <w:r>
        <w:rPr>
          <w:rFonts w:hint="eastAsia" w:ascii="仿宋" w:hAnsi="仿宋" w:eastAsia="仿宋" w:cs="仿宋_GB2312"/>
          <w:b/>
          <w:sz w:val="32"/>
          <w:szCs w:val="32"/>
          <w:lang w:val="en-US" w:eastAsia="zh-CN"/>
        </w:rPr>
        <w:t>机关运行财政补助经费</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设立的政策依据：</w:t>
      </w:r>
      <w:r>
        <w:rPr>
          <w:rFonts w:hint="eastAsia" w:ascii="仿宋_GB2312" w:hAnsi="仿宋_GB2312" w:eastAsia="仿宋_GB2312" w:cs="仿宋_GB2312"/>
          <w:b w:val="0"/>
          <w:bCs w:val="0"/>
          <w:sz w:val="32"/>
          <w:szCs w:val="32"/>
          <w:lang w:val="en-US" w:eastAsia="zh-CN"/>
        </w:rPr>
        <w:t>根据州教育局职责，自治区绩效办对工作任务的考核要求，用于维持局机关基本运行和保障教育局正常业务开展，弥补公用经费不足。</w:t>
      </w:r>
    </w:p>
    <w:p>
      <w:pPr>
        <w:spacing w:line="560" w:lineRule="exact"/>
        <w:ind w:firstLine="636"/>
        <w:rPr>
          <w:rFonts w:ascii="仿宋" w:hAnsi="仿宋" w:eastAsia="仿宋" w:cs="仿宋_GB2312"/>
          <w:sz w:val="32"/>
          <w:szCs w:val="32"/>
        </w:rPr>
      </w:pPr>
      <w:r>
        <w:rPr>
          <w:rFonts w:hint="eastAsia" w:ascii="仿宋" w:hAnsi="仿宋" w:eastAsia="仿宋" w:cs="仿宋_GB2312"/>
          <w:sz w:val="32"/>
          <w:szCs w:val="32"/>
        </w:rPr>
        <w:t>预算安排规模：</w:t>
      </w:r>
      <w:r>
        <w:rPr>
          <w:rFonts w:hint="eastAsia" w:ascii="仿宋" w:hAnsi="仿宋" w:eastAsia="仿宋" w:cs="仿宋_GB2312"/>
          <w:sz w:val="32"/>
          <w:szCs w:val="32"/>
          <w:lang w:val="en-US" w:eastAsia="zh-CN"/>
        </w:rPr>
        <w:t>60</w:t>
      </w:r>
      <w:r>
        <w:rPr>
          <w:rFonts w:hint="eastAsia" w:ascii="仿宋" w:hAnsi="仿宋" w:eastAsia="仿宋" w:cs="仿宋_GB2312"/>
          <w:sz w:val="32"/>
          <w:szCs w:val="32"/>
        </w:rPr>
        <w:t>万元</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项目承担单位：昌吉州教育局</w:t>
      </w:r>
    </w:p>
    <w:p>
      <w:pPr>
        <w:widowControl w:val="0"/>
        <w:wordWrap/>
        <w:adjustRightInd/>
        <w:snapToGrid/>
        <w:spacing w:line="500" w:lineRule="exact"/>
        <w:ind w:firstLine="640"/>
        <w:textAlignment w:val="auto"/>
        <w:rPr>
          <w:rFonts w:hint="default"/>
          <w:lang w:val="en-US" w:eastAsia="zh-CN"/>
        </w:rPr>
      </w:pPr>
      <w:r>
        <w:rPr>
          <w:rFonts w:hint="eastAsia" w:ascii="仿宋" w:hAnsi="仿宋" w:eastAsia="仿宋" w:cs="仿宋_GB2312"/>
          <w:sz w:val="32"/>
          <w:szCs w:val="32"/>
        </w:rPr>
        <w:t>资金分配情况：</w:t>
      </w:r>
      <w:r>
        <w:rPr>
          <w:rFonts w:hint="eastAsia" w:ascii="仿宋" w:hAnsi="仿宋" w:eastAsia="仿宋" w:cs="仿宋_GB2312"/>
          <w:sz w:val="32"/>
          <w:szCs w:val="32"/>
          <w:lang w:val="en-US" w:eastAsia="zh-CN"/>
        </w:rPr>
        <w:t>20万元</w:t>
      </w:r>
      <w:r>
        <w:rPr>
          <w:rFonts w:hint="eastAsia" w:ascii="仿宋_GB2312" w:hAnsi="仿宋_GB2312" w:eastAsia="仿宋_GB2312" w:cs="仿宋_GB2312"/>
          <w:b w:val="0"/>
          <w:bCs w:val="0"/>
          <w:kern w:val="2"/>
          <w:sz w:val="32"/>
          <w:szCs w:val="32"/>
          <w:lang w:val="en-US" w:eastAsia="zh-CN" w:bidi="ar-SA"/>
        </w:rPr>
        <w:t>用于办公楼日常楼内零星维修和院内物业托管费用及院内绿化等支出；10万元用于根据校园疫情防控、安全工作需要，保障教育系统安全，消除安全隐患，开展全州校园防疫、安全排查等相关工作经费；20万元用于弥补我局办公，水电、物业、耗材等支出；10万元用于支付教育系统法律咨询费。</w:t>
      </w:r>
    </w:p>
    <w:p>
      <w:pPr>
        <w:tabs>
          <w:tab w:val="center" w:pos="4422"/>
        </w:tabs>
        <w:spacing w:line="560" w:lineRule="exact"/>
        <w:ind w:firstLine="640"/>
      </w:pPr>
      <w:r>
        <w:rPr>
          <w:rFonts w:hint="eastAsia" w:ascii="仿宋" w:hAnsi="仿宋" w:eastAsia="仿宋" w:cs="仿宋_GB2312"/>
          <w:sz w:val="32"/>
          <w:szCs w:val="32"/>
        </w:rPr>
        <w:t>资金执行时间：202</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年1月—12月</w:t>
      </w:r>
    </w:p>
    <w:p>
      <w:pPr>
        <w:spacing w:line="560" w:lineRule="exact"/>
        <w:ind w:firstLine="636"/>
        <w:rPr>
          <w:rFonts w:hint="default" w:ascii="仿宋" w:hAnsi="仿宋" w:eastAsia="仿宋" w:cs="仿宋_GB2312"/>
          <w:b/>
          <w:sz w:val="32"/>
          <w:szCs w:val="32"/>
          <w:lang w:val="en-US" w:eastAsia="zh-CN"/>
        </w:rPr>
      </w:pPr>
      <w:r>
        <w:rPr>
          <w:rFonts w:hint="eastAsia" w:ascii="仿宋" w:hAnsi="仿宋" w:eastAsia="仿宋"/>
          <w:b/>
          <w:sz w:val="32"/>
          <w:szCs w:val="32"/>
          <w:lang w:val="en-US" w:eastAsia="zh-CN"/>
        </w:rPr>
        <w:t>5</w:t>
      </w:r>
      <w:r>
        <w:rPr>
          <w:rFonts w:hint="eastAsia" w:ascii="仿宋" w:hAnsi="仿宋" w:eastAsia="仿宋"/>
          <w:b/>
          <w:sz w:val="32"/>
          <w:szCs w:val="32"/>
        </w:rPr>
        <w:t>.</w:t>
      </w:r>
      <w:r>
        <w:rPr>
          <w:rFonts w:hint="eastAsia" w:ascii="仿宋" w:hAnsi="仿宋" w:eastAsia="仿宋" w:cs="仿宋_GB2312"/>
          <w:b/>
          <w:sz w:val="32"/>
          <w:szCs w:val="32"/>
        </w:rPr>
        <w:t>项目名称：</w:t>
      </w:r>
      <w:r>
        <w:rPr>
          <w:rFonts w:hint="eastAsia" w:ascii="仿宋" w:hAnsi="仿宋" w:eastAsia="仿宋" w:cs="仿宋_GB2312"/>
          <w:b/>
          <w:sz w:val="32"/>
          <w:szCs w:val="32"/>
          <w:lang w:val="en-US" w:eastAsia="zh-CN"/>
        </w:rPr>
        <w:t>教育系统关心下一代委员会专项经费</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设立的政策依据：</w:t>
      </w:r>
      <w:r>
        <w:rPr>
          <w:rFonts w:hint="eastAsia" w:ascii="仿宋" w:hAnsi="仿宋" w:eastAsia="仿宋" w:cs="仿宋"/>
          <w:sz w:val="32"/>
          <w:szCs w:val="32"/>
        </w:rPr>
        <w:t>为全面贯彻落实中共教育部党组《关于加强全国教育系统关心下一代工作委员会建设的意见》（教党〔2009〕20号）和自治区党委办公厅 自治区人民政府办公厅印发《关于进一步加强关心下一代工作的意见》</w:t>
      </w:r>
      <w:r>
        <w:rPr>
          <w:rFonts w:hint="eastAsia" w:ascii="仿宋" w:hAnsi="仿宋" w:eastAsia="仿宋" w:cs="仿宋"/>
          <w:sz w:val="32"/>
          <w:szCs w:val="32"/>
          <w:lang w:eastAsia="zh-CN"/>
        </w:rPr>
        <w:t>（</w:t>
      </w:r>
      <w:r>
        <w:rPr>
          <w:rFonts w:hint="eastAsia" w:ascii="仿宋" w:hAnsi="仿宋" w:eastAsia="仿宋" w:cs="仿宋"/>
          <w:sz w:val="32"/>
          <w:szCs w:val="32"/>
        </w:rPr>
        <w:t>新党办发〔2014〕18号</w:t>
      </w:r>
      <w:r>
        <w:rPr>
          <w:rFonts w:hint="eastAsia" w:ascii="仿宋" w:hAnsi="仿宋" w:eastAsia="仿宋" w:cs="仿宋"/>
          <w:sz w:val="32"/>
          <w:szCs w:val="32"/>
          <w:lang w:eastAsia="zh-CN"/>
        </w:rPr>
        <w:t>）、</w:t>
      </w:r>
      <w:r>
        <w:rPr>
          <w:rFonts w:hint="eastAsia" w:ascii="仿宋" w:hAnsi="仿宋" w:eastAsia="仿宋" w:cs="仿宋"/>
          <w:sz w:val="32"/>
          <w:szCs w:val="32"/>
        </w:rPr>
        <w:t>《新疆维吾尔自治区关心下一代工作委员会工作规则》（新党厅字〔201</w:t>
      </w: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val="en-US" w:eastAsia="zh-CN"/>
        </w:rPr>
        <w:t>24</w:t>
      </w:r>
      <w:r>
        <w:rPr>
          <w:rFonts w:hint="eastAsia" w:ascii="仿宋" w:hAnsi="仿宋" w:eastAsia="仿宋" w:cs="仿宋"/>
          <w:sz w:val="32"/>
          <w:szCs w:val="32"/>
        </w:rPr>
        <w:t>号）</w:t>
      </w:r>
      <w:r>
        <w:rPr>
          <w:rFonts w:hint="eastAsia" w:ascii="仿宋" w:hAnsi="仿宋" w:eastAsia="仿宋" w:cs="仿宋"/>
          <w:sz w:val="32"/>
          <w:szCs w:val="32"/>
          <w:lang w:eastAsia="zh-CN"/>
        </w:rPr>
        <w:t>、《关于</w:t>
      </w:r>
      <w:r>
        <w:rPr>
          <w:rFonts w:hint="eastAsia" w:ascii="仿宋_GB2312" w:eastAsia="仿宋_GB2312"/>
          <w:sz w:val="32"/>
          <w:szCs w:val="32"/>
        </w:rPr>
        <w:t>认真贯彻自治区</w:t>
      </w:r>
      <w:r>
        <w:rPr>
          <w:rFonts w:hint="eastAsia" w:ascii="仿宋" w:hAnsi="仿宋" w:eastAsia="仿宋" w:cs="仿宋"/>
          <w:sz w:val="32"/>
          <w:szCs w:val="32"/>
          <w:lang w:val="en-US" w:eastAsia="zh-CN"/>
        </w:rPr>
        <w:t>&lt;</w:t>
      </w:r>
      <w:r>
        <w:rPr>
          <w:rFonts w:hint="eastAsia" w:ascii="仿宋_GB2312" w:eastAsia="仿宋_GB2312"/>
          <w:sz w:val="32"/>
          <w:szCs w:val="32"/>
        </w:rPr>
        <w:t>关于进一步加强关心下一代工作的意见</w:t>
      </w:r>
      <w:r>
        <w:rPr>
          <w:rFonts w:hint="eastAsia" w:ascii="仿宋" w:hAnsi="仿宋" w:eastAsia="仿宋" w:cs="仿宋"/>
          <w:sz w:val="32"/>
          <w:szCs w:val="32"/>
          <w:lang w:val="en-US" w:eastAsia="zh-CN"/>
        </w:rPr>
        <w:t>&gt;的实施意见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昌州党办发</w:t>
      </w:r>
      <w:r>
        <w:rPr>
          <w:rFonts w:hint="eastAsia" w:ascii="仿宋" w:hAnsi="仿宋" w:eastAsia="仿宋" w:cs="仿宋"/>
          <w:sz w:val="32"/>
          <w:szCs w:val="32"/>
        </w:rPr>
        <w:t>〔201</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89号文件</w:t>
      </w:r>
      <w:r>
        <w:rPr>
          <w:rFonts w:hint="eastAsia" w:ascii="仿宋" w:hAnsi="仿宋" w:eastAsia="仿宋" w:cs="仿宋"/>
          <w:sz w:val="32"/>
          <w:szCs w:val="32"/>
        </w:rPr>
        <w:t>精神，</w:t>
      </w:r>
      <w:r>
        <w:rPr>
          <w:rFonts w:hint="eastAsia" w:ascii="仿宋" w:hAnsi="仿宋" w:eastAsia="仿宋" w:cs="仿宋"/>
          <w:sz w:val="32"/>
          <w:szCs w:val="32"/>
          <w:lang w:val="en-US" w:eastAsia="zh-CN"/>
        </w:rPr>
        <w:t>确保</w:t>
      </w:r>
      <w:r>
        <w:rPr>
          <w:rFonts w:hint="eastAsia" w:ascii="仿宋" w:hAnsi="仿宋" w:eastAsia="仿宋" w:cs="仿宋"/>
          <w:sz w:val="32"/>
          <w:szCs w:val="32"/>
        </w:rPr>
        <w:t>全州教育系统</w:t>
      </w:r>
      <w:r>
        <w:rPr>
          <w:rFonts w:hint="eastAsia" w:ascii="仿宋" w:hAnsi="仿宋" w:eastAsia="仿宋" w:cs="仿宋"/>
          <w:sz w:val="32"/>
          <w:szCs w:val="32"/>
          <w:lang w:eastAsia="zh-CN"/>
        </w:rPr>
        <w:t>关心下一代工作</w:t>
      </w:r>
      <w:r>
        <w:rPr>
          <w:rFonts w:hint="eastAsia" w:ascii="仿宋" w:hAnsi="仿宋" w:eastAsia="仿宋" w:cs="仿宋"/>
          <w:sz w:val="32"/>
          <w:szCs w:val="32"/>
          <w:lang w:val="en-US" w:eastAsia="zh-CN"/>
        </w:rPr>
        <w:t>和</w:t>
      </w:r>
      <w:r>
        <w:rPr>
          <w:rFonts w:hint="eastAsia" w:ascii="仿宋" w:hAnsi="仿宋" w:eastAsia="仿宋" w:cs="仿宋"/>
          <w:sz w:val="32"/>
          <w:szCs w:val="32"/>
        </w:rPr>
        <w:t>家庭教育工作</w:t>
      </w:r>
      <w:r>
        <w:rPr>
          <w:rFonts w:hint="eastAsia" w:ascii="仿宋" w:hAnsi="仿宋" w:eastAsia="仿宋" w:cs="仿宋"/>
          <w:sz w:val="32"/>
          <w:szCs w:val="32"/>
          <w:lang w:val="en-US" w:eastAsia="zh-CN"/>
        </w:rPr>
        <w:t>可持续</w:t>
      </w:r>
      <w:r>
        <w:rPr>
          <w:rFonts w:hint="eastAsia" w:ascii="仿宋" w:hAnsi="仿宋" w:eastAsia="仿宋" w:cs="仿宋"/>
          <w:sz w:val="32"/>
          <w:szCs w:val="32"/>
        </w:rPr>
        <w:t>发展</w:t>
      </w:r>
      <w:r>
        <w:rPr>
          <w:rFonts w:hint="eastAsia" w:ascii="仿宋" w:hAnsi="仿宋" w:eastAsia="仿宋" w:cs="仿宋"/>
          <w:sz w:val="32"/>
          <w:szCs w:val="32"/>
          <w:lang w:eastAsia="zh-CN"/>
        </w:rPr>
        <w:t>，</w:t>
      </w:r>
      <w:r>
        <w:rPr>
          <w:rFonts w:hint="eastAsia" w:ascii="仿宋" w:hAnsi="仿宋" w:eastAsia="仿宋" w:cs="仿宋"/>
          <w:sz w:val="32"/>
          <w:szCs w:val="32"/>
        </w:rPr>
        <w:t>完成对</w:t>
      </w:r>
      <w:r>
        <w:rPr>
          <w:rFonts w:hint="eastAsia" w:ascii="仿宋" w:hAnsi="仿宋" w:eastAsia="仿宋" w:cs="仿宋"/>
          <w:sz w:val="32"/>
          <w:szCs w:val="32"/>
          <w:lang w:eastAsia="zh-CN"/>
        </w:rPr>
        <w:t>全州</w:t>
      </w:r>
      <w:r>
        <w:rPr>
          <w:rFonts w:hint="eastAsia" w:ascii="仿宋" w:hAnsi="仿宋" w:eastAsia="仿宋" w:cs="仿宋"/>
          <w:sz w:val="32"/>
          <w:szCs w:val="32"/>
        </w:rPr>
        <w:t>各县市、</w:t>
      </w:r>
      <w:r>
        <w:rPr>
          <w:rFonts w:hint="eastAsia" w:ascii="仿宋" w:hAnsi="仿宋" w:eastAsia="仿宋" w:cs="仿宋"/>
          <w:sz w:val="32"/>
          <w:szCs w:val="32"/>
          <w:lang w:eastAsia="zh-CN"/>
        </w:rPr>
        <w:t>州直属学校</w:t>
      </w:r>
      <w:r>
        <w:rPr>
          <w:rFonts w:hint="eastAsia" w:ascii="仿宋" w:hAnsi="仿宋" w:eastAsia="仿宋" w:cs="仿宋"/>
          <w:sz w:val="32"/>
          <w:szCs w:val="32"/>
        </w:rPr>
        <w:t>进行</w:t>
      </w:r>
      <w:r>
        <w:rPr>
          <w:rFonts w:hint="eastAsia" w:ascii="仿宋_GB2312" w:eastAsia="仿宋_GB2312"/>
          <w:sz w:val="32"/>
          <w:szCs w:val="32"/>
        </w:rPr>
        <w:t>关心下一代工作</w:t>
      </w:r>
      <w:r>
        <w:rPr>
          <w:rFonts w:hint="eastAsia" w:ascii="仿宋" w:hAnsi="仿宋" w:eastAsia="仿宋" w:cs="仿宋"/>
          <w:sz w:val="32"/>
          <w:szCs w:val="32"/>
        </w:rPr>
        <w:t>、家庭教育工作调研</w:t>
      </w:r>
      <w:r>
        <w:rPr>
          <w:rFonts w:hint="eastAsia" w:ascii="仿宋" w:hAnsi="仿宋" w:eastAsia="仿宋" w:cs="仿宋"/>
          <w:sz w:val="32"/>
          <w:szCs w:val="32"/>
          <w:lang w:val="en-US" w:eastAsia="zh-CN"/>
        </w:rPr>
        <w:t>,</w:t>
      </w:r>
      <w:r>
        <w:rPr>
          <w:rFonts w:hint="eastAsia" w:ascii="仿宋" w:hAnsi="仿宋" w:eastAsia="仿宋" w:cs="仿宋"/>
          <w:sz w:val="32"/>
          <w:szCs w:val="32"/>
        </w:rPr>
        <w:t>对讲师团成员</w:t>
      </w:r>
      <w:r>
        <w:rPr>
          <w:rFonts w:hint="eastAsia" w:ascii="仿宋" w:hAnsi="仿宋" w:eastAsia="仿宋" w:cs="仿宋"/>
          <w:sz w:val="32"/>
          <w:szCs w:val="32"/>
          <w:lang w:eastAsia="zh-CN"/>
        </w:rPr>
        <w:t>、</w:t>
      </w:r>
      <w:r>
        <w:rPr>
          <w:rFonts w:hint="eastAsia" w:ascii="仿宋" w:hAnsi="仿宋" w:eastAsia="仿宋" w:cs="仿宋"/>
          <w:sz w:val="32"/>
          <w:szCs w:val="32"/>
        </w:rPr>
        <w:t>家长学校讲师</w:t>
      </w:r>
      <w:r>
        <w:rPr>
          <w:rFonts w:hint="eastAsia" w:ascii="仿宋" w:hAnsi="仿宋" w:eastAsia="仿宋" w:cs="仿宋"/>
          <w:sz w:val="32"/>
          <w:szCs w:val="32"/>
          <w:lang w:eastAsia="zh-CN"/>
        </w:rPr>
        <w:t>以及学生家长</w:t>
      </w:r>
      <w:r>
        <w:rPr>
          <w:rFonts w:hint="eastAsia" w:ascii="仿宋" w:hAnsi="仿宋" w:eastAsia="仿宋" w:cs="仿宋"/>
          <w:sz w:val="32"/>
          <w:szCs w:val="32"/>
        </w:rPr>
        <w:t>进行培训</w:t>
      </w:r>
      <w:r>
        <w:rPr>
          <w:rFonts w:hint="eastAsia" w:ascii="仿宋" w:hAnsi="仿宋" w:eastAsia="仿宋" w:cs="仿宋"/>
          <w:sz w:val="32"/>
          <w:szCs w:val="32"/>
          <w:lang w:eastAsia="zh-CN"/>
        </w:rPr>
        <w:t>，</w:t>
      </w:r>
      <w:r>
        <w:rPr>
          <w:rFonts w:hint="eastAsia" w:ascii="仿宋" w:hAnsi="仿宋" w:eastAsia="仿宋" w:cs="仿宋"/>
          <w:sz w:val="32"/>
          <w:szCs w:val="32"/>
        </w:rPr>
        <w:t>邀请区内外家庭教育专家学者来我州进行讲学</w:t>
      </w:r>
      <w:r>
        <w:rPr>
          <w:rFonts w:hint="eastAsia" w:ascii="仿宋" w:hAnsi="仿宋" w:eastAsia="仿宋" w:cs="仿宋"/>
          <w:sz w:val="32"/>
          <w:szCs w:val="32"/>
          <w:lang w:eastAsia="zh-CN"/>
        </w:rPr>
        <w:t>，组织</w:t>
      </w:r>
      <w:r>
        <w:rPr>
          <w:rFonts w:hint="eastAsia" w:ascii="仿宋" w:hAnsi="仿宋" w:eastAsia="仿宋" w:cs="仿宋"/>
          <w:sz w:val="32"/>
          <w:szCs w:val="32"/>
        </w:rPr>
        <w:t>开展好</w:t>
      </w:r>
      <w:r>
        <w:rPr>
          <w:rFonts w:hint="eastAsia" w:ascii="仿宋" w:hAnsi="仿宋" w:eastAsia="仿宋" w:cs="仿宋"/>
          <w:sz w:val="32"/>
          <w:szCs w:val="32"/>
          <w:lang w:eastAsia="zh-CN"/>
        </w:rPr>
        <w:t>“新时代好少年</w:t>
      </w:r>
      <w:r>
        <w:rPr>
          <w:rFonts w:hint="eastAsia" w:ascii="仿宋" w:hAnsi="仿宋" w:eastAsia="仿宋" w:cs="仿宋"/>
          <w:sz w:val="32"/>
          <w:szCs w:val="32"/>
        </w:rPr>
        <w:t>”主题教育读书活动</w:t>
      </w:r>
      <w:r>
        <w:rPr>
          <w:rFonts w:hint="eastAsia" w:ascii="仿宋" w:hAnsi="仿宋" w:eastAsia="仿宋" w:cs="仿宋"/>
          <w:sz w:val="32"/>
          <w:szCs w:val="32"/>
          <w:lang w:eastAsia="zh-CN"/>
        </w:rPr>
        <w:t>的各种比赛</w:t>
      </w:r>
    </w:p>
    <w:p>
      <w:pPr>
        <w:spacing w:line="560" w:lineRule="exact"/>
        <w:ind w:firstLine="636"/>
        <w:rPr>
          <w:rFonts w:ascii="仿宋" w:hAnsi="仿宋" w:eastAsia="仿宋" w:cs="仿宋_GB2312"/>
          <w:sz w:val="32"/>
          <w:szCs w:val="32"/>
        </w:rPr>
      </w:pPr>
      <w:r>
        <w:rPr>
          <w:rFonts w:hint="eastAsia" w:ascii="仿宋" w:hAnsi="仿宋" w:eastAsia="仿宋" w:cs="仿宋_GB2312"/>
          <w:sz w:val="32"/>
          <w:szCs w:val="32"/>
        </w:rPr>
        <w:t>预算安排规模：</w:t>
      </w:r>
      <w:r>
        <w:rPr>
          <w:rFonts w:hint="eastAsia" w:ascii="仿宋" w:hAnsi="仿宋" w:eastAsia="仿宋" w:cs="仿宋_GB2312"/>
          <w:sz w:val="32"/>
          <w:szCs w:val="32"/>
          <w:lang w:val="en-US" w:eastAsia="zh-CN"/>
        </w:rPr>
        <w:t>10</w:t>
      </w:r>
      <w:r>
        <w:rPr>
          <w:rFonts w:hint="eastAsia" w:ascii="仿宋" w:hAnsi="仿宋" w:eastAsia="仿宋" w:cs="仿宋_GB2312"/>
          <w:sz w:val="32"/>
          <w:szCs w:val="32"/>
        </w:rPr>
        <w:t>万元</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项目承担单位：昌吉州教育局</w:t>
      </w:r>
    </w:p>
    <w:p>
      <w:pPr>
        <w:widowControl w:val="0"/>
        <w:wordWrap/>
        <w:adjustRightInd/>
        <w:snapToGrid/>
        <w:spacing w:line="500" w:lineRule="exact"/>
        <w:ind w:firstLine="640"/>
        <w:textAlignment w:val="auto"/>
        <w:rPr>
          <w:rFonts w:hint="default" w:eastAsia="仿宋"/>
          <w:lang w:val="en-US" w:eastAsia="zh-CN"/>
        </w:rPr>
      </w:pPr>
      <w:r>
        <w:rPr>
          <w:rFonts w:hint="eastAsia" w:ascii="仿宋" w:hAnsi="仿宋" w:eastAsia="仿宋" w:cs="仿宋_GB2312"/>
          <w:sz w:val="32"/>
          <w:szCs w:val="32"/>
        </w:rPr>
        <w:t>资金分配情况：</w:t>
      </w:r>
      <w:r>
        <w:rPr>
          <w:rFonts w:hint="eastAsia" w:ascii="仿宋" w:hAnsi="仿宋" w:eastAsia="仿宋" w:cs="仿宋_GB2312"/>
          <w:sz w:val="32"/>
          <w:szCs w:val="32"/>
          <w:lang w:val="en-US" w:eastAsia="zh-CN"/>
        </w:rPr>
        <w:t>其中5万元用于组织主题活动及评审、奖励等，0.9万元用于县市调研、培训，1.1万元用于关心下一代委员会办公费用，3万元用于外聘委员会主任劳务费。</w:t>
      </w:r>
    </w:p>
    <w:p>
      <w:pPr>
        <w:tabs>
          <w:tab w:val="center" w:pos="4422"/>
        </w:tabs>
        <w:spacing w:line="560" w:lineRule="exact"/>
        <w:ind w:firstLine="640"/>
        <w:rPr>
          <w:rFonts w:hint="eastAsia" w:ascii="仿宋" w:hAnsi="仿宋" w:eastAsia="仿宋" w:cs="仿宋_GB2312"/>
          <w:sz w:val="32"/>
          <w:szCs w:val="32"/>
        </w:rPr>
      </w:pPr>
      <w:r>
        <w:rPr>
          <w:rFonts w:hint="eastAsia" w:ascii="仿宋" w:hAnsi="仿宋" w:eastAsia="仿宋" w:cs="仿宋_GB2312"/>
          <w:sz w:val="32"/>
          <w:szCs w:val="32"/>
        </w:rPr>
        <w:t>资金执行时间：202</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年1月—12月</w:t>
      </w:r>
    </w:p>
    <w:p>
      <w:pPr>
        <w:spacing w:line="560" w:lineRule="exact"/>
        <w:ind w:firstLine="636"/>
        <w:rPr>
          <w:rFonts w:hint="default" w:ascii="仿宋" w:hAnsi="仿宋" w:eastAsia="仿宋" w:cs="仿宋_GB2312"/>
          <w:b/>
          <w:sz w:val="32"/>
          <w:szCs w:val="32"/>
          <w:lang w:val="en-US" w:eastAsia="zh-CN"/>
        </w:rPr>
      </w:pPr>
      <w:r>
        <w:rPr>
          <w:rFonts w:hint="eastAsia" w:ascii="仿宋" w:hAnsi="仿宋" w:eastAsia="仿宋"/>
          <w:b/>
          <w:sz w:val="32"/>
          <w:szCs w:val="32"/>
          <w:lang w:val="en-US" w:eastAsia="zh-CN"/>
        </w:rPr>
        <w:t>6.</w:t>
      </w:r>
      <w:r>
        <w:rPr>
          <w:rFonts w:hint="eastAsia" w:ascii="仿宋" w:hAnsi="仿宋" w:eastAsia="仿宋" w:cs="仿宋_GB2312"/>
          <w:b/>
          <w:sz w:val="32"/>
          <w:szCs w:val="32"/>
        </w:rPr>
        <w:t>项目名称：</w:t>
      </w:r>
      <w:r>
        <w:rPr>
          <w:rFonts w:hint="eastAsia" w:ascii="仿宋" w:hAnsi="仿宋" w:eastAsia="仿宋" w:cs="仿宋_GB2312"/>
          <w:b/>
          <w:sz w:val="32"/>
          <w:szCs w:val="32"/>
          <w:lang w:val="en-US" w:eastAsia="zh-CN"/>
        </w:rPr>
        <w:t>学生体卫艺科劳研学工作经费</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设立的政策依据：</w:t>
      </w:r>
      <w:r>
        <w:rPr>
          <w:rFonts w:hint="eastAsia" w:ascii="仿宋_GB2312" w:hAnsi="仿宋_GB2312" w:eastAsia="仿宋_GB2312" w:cs="仿宋_GB2312"/>
          <w:color w:val="000000"/>
          <w:sz w:val="32"/>
          <w:szCs w:val="32"/>
          <w:lang w:val="en-US" w:eastAsia="zh-CN"/>
        </w:rPr>
        <w:t>为贯彻落实《中共中央办公厅、国务院办公厅印发&lt;关于全面加强和改进新时代学校体育工作的意见&gt;&lt;关于全面加强和改进新时代学校美育工作的意见&gt;》《国务院加强学校体育工作若干意见的通知》《国务院办公厅关于强化学校体育促进学生身心健康全面发展的意见》《体育总局 教育部关于印发深化体教融合 促进青少年健康发展意见的通知》《关于全面加强和改进新时代学校卫生与健康教育工作的意见》《中共中央国务院关于全面加强新时代大中小学劳动教育的意见》《教育部办公厅关于在义务教育阶段中小学实施“体育、艺术2+1项目”的通知》《国务院关于印发全民科学素质行动规划纲要（2021—2035年）的通知》《新疆维吾尔自治区教育厅与昌吉回族自治州人民政府（行政公署）签署学校美育改革与发展备忘录》《新疆维吾尔自治区党委、人民政府关于印发&lt;新疆维吾尔自治区关于全面加强和改进新时代学校体育工作的实施意见&gt;&lt;新疆维吾尔自治区关于全面加强和改进新时代学校美育工作的实施意见&gt;的通知》《关于印发自治州中小学生研学旅行工作实施方案的通知》等文件精神，促进昌吉州学校体育、卫生健康教育、美育、科学、劳育、研学旅行工作全面发展，改善和提高学生体育、卫生健康教育、美育工作、青少年科学素质、劳动教育、研学实践教育水平。</w:t>
      </w:r>
    </w:p>
    <w:p>
      <w:pPr>
        <w:spacing w:line="560" w:lineRule="exact"/>
        <w:ind w:firstLine="636"/>
        <w:rPr>
          <w:rFonts w:ascii="仿宋" w:hAnsi="仿宋" w:eastAsia="仿宋" w:cs="仿宋_GB2312"/>
          <w:sz w:val="32"/>
          <w:szCs w:val="32"/>
        </w:rPr>
      </w:pPr>
      <w:r>
        <w:rPr>
          <w:rFonts w:hint="eastAsia" w:ascii="仿宋" w:hAnsi="仿宋" w:eastAsia="仿宋" w:cs="仿宋_GB2312"/>
          <w:sz w:val="32"/>
          <w:szCs w:val="32"/>
        </w:rPr>
        <w:t>预算安排规模：</w:t>
      </w:r>
      <w:r>
        <w:rPr>
          <w:rFonts w:hint="eastAsia" w:ascii="仿宋" w:hAnsi="仿宋" w:eastAsia="仿宋" w:cs="仿宋_GB2312"/>
          <w:sz w:val="32"/>
          <w:szCs w:val="32"/>
          <w:lang w:val="en-US" w:eastAsia="zh-CN"/>
        </w:rPr>
        <w:t>50</w:t>
      </w:r>
      <w:r>
        <w:rPr>
          <w:rFonts w:hint="eastAsia" w:ascii="仿宋" w:hAnsi="仿宋" w:eastAsia="仿宋" w:cs="仿宋_GB2312"/>
          <w:sz w:val="32"/>
          <w:szCs w:val="32"/>
        </w:rPr>
        <w:t>万元</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项目承担单位：昌吉州教育局</w:t>
      </w:r>
    </w:p>
    <w:p>
      <w:pPr>
        <w:widowControl w:val="0"/>
        <w:wordWrap/>
        <w:adjustRightInd/>
        <w:snapToGrid/>
        <w:spacing w:line="500" w:lineRule="exact"/>
        <w:ind w:firstLine="640"/>
        <w:textAlignment w:val="auto"/>
        <w:rPr>
          <w:rFonts w:hint="default" w:eastAsia="仿宋"/>
          <w:lang w:val="en-US" w:eastAsia="zh-CN"/>
        </w:rPr>
      </w:pPr>
      <w:r>
        <w:rPr>
          <w:rFonts w:hint="eastAsia" w:ascii="仿宋" w:hAnsi="仿宋" w:eastAsia="仿宋" w:cs="仿宋_GB2312"/>
          <w:sz w:val="32"/>
          <w:szCs w:val="32"/>
        </w:rPr>
        <w:t>资金分配情况：</w:t>
      </w:r>
      <w:r>
        <w:rPr>
          <w:rFonts w:hint="eastAsia" w:ascii="仿宋" w:hAnsi="仿宋" w:eastAsia="仿宋" w:cs="仿宋_GB2312"/>
          <w:sz w:val="32"/>
          <w:szCs w:val="32"/>
          <w:lang w:val="en-US" w:eastAsia="zh-CN"/>
        </w:rPr>
        <w:t>参加和举办中小学体育比赛费用45万元，开展中小学生卫生健康、美育、科技、研学实践等费用5万元。</w:t>
      </w:r>
    </w:p>
    <w:p>
      <w:pPr>
        <w:tabs>
          <w:tab w:val="center" w:pos="4422"/>
        </w:tabs>
        <w:spacing w:line="560" w:lineRule="exact"/>
        <w:ind w:firstLine="640"/>
      </w:pPr>
      <w:r>
        <w:rPr>
          <w:rFonts w:hint="eastAsia" w:ascii="仿宋" w:hAnsi="仿宋" w:eastAsia="仿宋" w:cs="仿宋_GB2312"/>
          <w:sz w:val="32"/>
          <w:szCs w:val="32"/>
        </w:rPr>
        <w:t>资金执行时间：202</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年1月—12月</w:t>
      </w:r>
    </w:p>
    <w:p>
      <w:pPr>
        <w:tabs>
          <w:tab w:val="center" w:pos="4422"/>
        </w:tabs>
        <w:spacing w:line="560" w:lineRule="exact"/>
        <w:ind w:left="160" w:firstLine="482" w:firstLineChars="150"/>
        <w:rPr>
          <w:rFonts w:ascii="仿宋" w:hAnsi="仿宋" w:eastAsia="仿宋" w:cs="仿宋_GB2312"/>
          <w:b/>
          <w:sz w:val="32"/>
          <w:szCs w:val="32"/>
        </w:rPr>
      </w:pPr>
      <w:r>
        <w:rPr>
          <w:rFonts w:hint="eastAsia" w:ascii="仿宋" w:hAnsi="仿宋" w:eastAsia="仿宋" w:cs="仿宋_GB2312"/>
          <w:b/>
          <w:sz w:val="32"/>
          <w:szCs w:val="32"/>
          <w:lang w:val="en-US" w:eastAsia="zh-CN"/>
        </w:rPr>
        <w:t>7</w:t>
      </w:r>
      <w:r>
        <w:rPr>
          <w:rFonts w:hint="eastAsia" w:ascii="仿宋" w:hAnsi="仿宋" w:eastAsia="仿宋" w:cs="仿宋_GB2312"/>
          <w:b/>
          <w:sz w:val="32"/>
          <w:szCs w:val="32"/>
        </w:rPr>
        <w:t>.语言文字工作经费</w:t>
      </w:r>
    </w:p>
    <w:p>
      <w:pPr>
        <w:ind w:firstLine="640" w:firstLineChars="200"/>
        <w:rPr>
          <w:rFonts w:ascii="仿宋" w:hAnsi="仿宋" w:eastAsia="仿宋" w:cs="仿宋"/>
          <w:sz w:val="32"/>
          <w:szCs w:val="32"/>
        </w:rPr>
      </w:pPr>
      <w:r>
        <w:rPr>
          <w:rFonts w:hint="eastAsia" w:ascii="仿宋" w:hAnsi="仿宋" w:eastAsia="仿宋" w:cs="仿宋_GB2312"/>
          <w:sz w:val="32"/>
          <w:szCs w:val="32"/>
        </w:rPr>
        <w:t>设立的政策依据：</w:t>
      </w:r>
      <w:r>
        <w:rPr>
          <w:rFonts w:hint="eastAsia" w:ascii="仿宋_GB2312" w:hAnsi="仿宋_GB2312" w:eastAsia="仿宋_GB2312" w:cs="仿宋_GB2312"/>
          <w:kern w:val="2"/>
          <w:sz w:val="32"/>
          <w:szCs w:val="32"/>
          <w:lang w:val="en-US" w:eastAsia="zh-CN"/>
        </w:rPr>
        <w:t>根据新教厅[2019]114号文件及昌州教办发[2020]3号文件要求及昌州党办字[2019]34号、昌州党机编发[2019]82号、教语用[2017]1号及昌州教办发[2019]21号等文件要求，</w:t>
      </w:r>
      <w:r>
        <w:rPr>
          <w:rFonts w:hint="eastAsia" w:ascii="仿宋_GB2312" w:hAnsi="仿宋_GB2312" w:eastAsia="仿宋_GB2312" w:cs="仿宋_GB2312"/>
          <w:sz w:val="32"/>
          <w:szCs w:val="32"/>
          <w:lang w:eastAsia="zh-CN"/>
        </w:rPr>
        <w:t>州语委将通过</w:t>
      </w:r>
      <w:r>
        <w:rPr>
          <w:rFonts w:hint="eastAsia" w:ascii="仿宋_GB2312" w:hAnsi="仿宋_GB2312" w:eastAsia="仿宋_GB2312" w:cs="仿宋_GB2312"/>
          <w:kern w:val="2"/>
          <w:sz w:val="32"/>
          <w:szCs w:val="32"/>
          <w:lang w:val="en-US" w:eastAsia="zh-CN"/>
        </w:rPr>
        <w:t>农牧民国家通用语言文字培训、经典诵读、推普周、学校语言文字工作评估等各级各类活动，</w:t>
      </w:r>
      <w:r>
        <w:rPr>
          <w:rFonts w:hint="eastAsia" w:ascii="仿宋_GB2312" w:hAnsi="仿宋_GB2312" w:eastAsia="仿宋_GB2312" w:cs="仿宋_GB2312"/>
          <w:sz w:val="32"/>
          <w:szCs w:val="32"/>
          <w:lang w:eastAsia="zh-CN"/>
        </w:rPr>
        <w:t>大力推广国家通用语言文字,传承弘扬中华优秀传统文化,全面提高市民语言文字应用能力和文化素养,进一步完善语言文字管理体制，不断提升我州语言文字规范化水平,为我州经济建设、文化建设提供基础服务。</w:t>
      </w:r>
    </w:p>
    <w:p>
      <w:pPr>
        <w:spacing w:line="560" w:lineRule="exact"/>
        <w:ind w:firstLine="636"/>
        <w:rPr>
          <w:rFonts w:ascii="仿宋" w:hAnsi="仿宋" w:eastAsia="仿宋" w:cs="仿宋_GB2312"/>
          <w:sz w:val="32"/>
          <w:szCs w:val="32"/>
        </w:rPr>
      </w:pPr>
      <w:r>
        <w:rPr>
          <w:rFonts w:hint="eastAsia" w:ascii="仿宋" w:hAnsi="仿宋" w:eastAsia="仿宋" w:cs="仿宋_GB2312"/>
          <w:sz w:val="32"/>
          <w:szCs w:val="32"/>
        </w:rPr>
        <w:t>预算安排规模：</w:t>
      </w:r>
      <w:r>
        <w:rPr>
          <w:rFonts w:hint="eastAsia" w:ascii="仿宋" w:hAnsi="仿宋" w:eastAsia="仿宋" w:cs="仿宋_GB2312"/>
          <w:sz w:val="32"/>
          <w:szCs w:val="32"/>
          <w:lang w:val="en-US" w:eastAsia="zh-CN"/>
        </w:rPr>
        <w:t>10</w:t>
      </w:r>
      <w:r>
        <w:rPr>
          <w:rFonts w:hint="eastAsia" w:ascii="仿宋" w:hAnsi="仿宋" w:eastAsia="仿宋" w:cs="仿宋_GB2312"/>
          <w:sz w:val="32"/>
          <w:szCs w:val="32"/>
        </w:rPr>
        <w:t>万元</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项目承担单位：昌吉州教育局</w:t>
      </w:r>
    </w:p>
    <w:p>
      <w:pPr>
        <w:tabs>
          <w:tab w:val="center" w:pos="4422"/>
        </w:tabs>
        <w:spacing w:line="560" w:lineRule="exact"/>
        <w:ind w:firstLine="640"/>
        <w:rPr>
          <w:rFonts w:hint="default" w:ascii="仿宋" w:hAnsi="仿宋" w:eastAsia="仿宋" w:cs="仿宋_GB2312"/>
          <w:sz w:val="32"/>
          <w:szCs w:val="32"/>
          <w:lang w:val="en-US"/>
        </w:rPr>
      </w:pPr>
      <w:r>
        <w:rPr>
          <w:rFonts w:hint="eastAsia" w:ascii="仿宋" w:hAnsi="仿宋" w:eastAsia="仿宋" w:cs="仿宋_GB2312"/>
          <w:sz w:val="32"/>
          <w:szCs w:val="32"/>
        </w:rPr>
        <w:t>资金分配情况：</w:t>
      </w:r>
      <w:r>
        <w:rPr>
          <w:rFonts w:hint="eastAsia" w:ascii="仿宋_GB2312" w:hAnsi="仿宋_GB2312" w:eastAsia="仿宋_GB2312" w:cs="仿宋_GB2312"/>
          <w:kern w:val="2"/>
          <w:sz w:val="32"/>
          <w:szCs w:val="32"/>
          <w:lang w:val="en-US" w:eastAsia="zh-CN"/>
        </w:rPr>
        <w:t>开展语言文字推广宣传费用4万元，第24届全国推普周系列活动1万元，学校和农牧区语言文字教育教学工作调研3万元，语言文字中心办公经费2万元。</w:t>
      </w:r>
    </w:p>
    <w:p>
      <w:pPr>
        <w:widowControl/>
        <w:spacing w:line="560" w:lineRule="exact"/>
        <w:ind w:firstLine="642"/>
        <w:jc w:val="left"/>
        <w:rPr>
          <w:rFonts w:hint="eastAsia" w:ascii="仿宋_GB2312" w:hAnsi="黑体" w:eastAsia="仿宋_GB2312"/>
          <w:b/>
          <w:sz w:val="32"/>
          <w:szCs w:val="32"/>
        </w:rPr>
      </w:pPr>
      <w:r>
        <w:rPr>
          <w:rFonts w:ascii="仿宋" w:hAnsi="仿宋" w:eastAsia="仿宋"/>
          <w:sz w:val="32"/>
          <w:szCs w:val="32"/>
        </w:rPr>
        <w:t>资金执行时间</w:t>
      </w: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年1月-12月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昌吉州教育局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15.5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3.2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26.02</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w:t>
      </w:r>
      <w:r>
        <w:rPr>
          <w:rFonts w:hint="eastAsia" w:ascii="仿宋_GB2312" w:hAnsi="宋体" w:eastAsia="仿宋_GB2312" w:cs="宋体"/>
          <w:kern w:val="0"/>
          <w:sz w:val="32"/>
          <w:szCs w:val="32"/>
        </w:rPr>
        <w:t>安排因公出国（境）费预算；公务用车购置费增加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%，主要原因是未安排公务用车购置费预算；公务用车运行费增加</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13.82</w:t>
      </w:r>
      <w:r>
        <w:rPr>
          <w:rFonts w:hint="eastAsia" w:ascii="仿宋_GB2312" w:hAnsi="宋体" w:eastAsia="仿宋_GB2312" w:cs="宋体"/>
          <w:kern w:val="0"/>
          <w:sz w:val="32"/>
          <w:szCs w:val="32"/>
        </w:rPr>
        <w:t>%，主要原因是主要原因是</w:t>
      </w:r>
      <w:r>
        <w:rPr>
          <w:rFonts w:hint="eastAsia" w:ascii="仿宋_GB2312" w:hAnsi="宋体" w:eastAsia="仿宋_GB2312" w:cs="宋体"/>
          <w:kern w:val="0"/>
          <w:sz w:val="32"/>
          <w:szCs w:val="32"/>
          <w:lang w:eastAsia="zh-CN"/>
        </w:rPr>
        <w:t>调研指导业务工作增加，公务用车运行费用相应增加</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%，主要原因是调整预算，调研</w:t>
      </w:r>
      <w:r>
        <w:rPr>
          <w:rFonts w:hint="eastAsia" w:ascii="仿宋_GB2312" w:hAnsi="宋体" w:eastAsia="仿宋_GB2312" w:cs="宋体"/>
          <w:kern w:val="0"/>
          <w:sz w:val="32"/>
          <w:szCs w:val="32"/>
          <w:lang w:eastAsia="zh-CN"/>
        </w:rPr>
        <w:t>指导</w:t>
      </w:r>
      <w:r>
        <w:rPr>
          <w:rFonts w:hint="eastAsia" w:ascii="仿宋_GB2312" w:hAnsi="宋体" w:eastAsia="仿宋_GB2312" w:cs="宋体"/>
          <w:kern w:val="0"/>
          <w:sz w:val="32"/>
          <w:szCs w:val="32"/>
        </w:rPr>
        <w:t>等业务接待增加。</w:t>
      </w:r>
    </w:p>
    <w:p>
      <w:pPr>
        <w:spacing w:line="560" w:lineRule="exact"/>
        <w:ind w:firstLine="640"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昌吉州教育局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143.89</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28.05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24.2</w:t>
      </w:r>
      <w:r>
        <w:rPr>
          <w:rFonts w:hint="eastAsia" w:ascii="仿宋_GB2312" w:hAnsi="仿宋_GB2312" w:eastAsia="仿宋_GB2312" w:cs="仿宋_GB2312"/>
          <w:kern w:val="0"/>
          <w:sz w:val="32"/>
          <w:szCs w:val="32"/>
        </w:rPr>
        <w:t>%。主要原因</w:t>
      </w:r>
      <w:r>
        <w:rPr>
          <w:rFonts w:hint="eastAsia" w:ascii="仿宋_GB2312" w:hAnsi="仿宋_GB2312" w:eastAsia="仿宋_GB2312" w:cs="仿宋_GB2312"/>
          <w:kern w:val="0"/>
          <w:sz w:val="32"/>
          <w:szCs w:val="32"/>
          <w:lang w:val="en-US" w:eastAsia="zh-CN"/>
        </w:rPr>
        <w:t>是州教育工委、州教育局、州教育考试中心、州纪委监委驻州教育工委纪检组等都在州教育局办公，增加了水费、电费、维修等运行支出</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122.69</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58.59</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64.1</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2022年度本部门面向中小企业预留政府采购项目预算金额</w:t>
      </w:r>
      <w:r>
        <w:rPr>
          <w:rFonts w:hint="eastAsia" w:ascii="仿宋_GB2312" w:hAnsi="仿宋_GB2312" w:eastAsia="仿宋_GB2312" w:cs="仿宋_GB2312"/>
          <w:sz w:val="32"/>
          <w:lang w:val="en-US" w:eastAsia="zh-CN"/>
        </w:rPr>
        <w:t>122.69</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122.69</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昌吉州教育局</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 w:hAnsi="仿宋" w:eastAsia="仿宋" w:cs="宋体"/>
          <w:kern w:val="0"/>
          <w:sz w:val="32"/>
          <w:szCs w:val="32"/>
        </w:rPr>
        <w:t>9322.47</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1500.88</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77.07</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77.07</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70.27</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578.6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2022年部门预算未安排购置车辆经费，安排购置50万元以上大型设备0台（套），单位价值100万元以上大型设备0台（套）。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310</w:t>
      </w:r>
      <w:r>
        <w:rPr>
          <w:rFonts w:hint="eastAsia" w:ascii="仿宋_GB2312" w:hAnsi="仿宋_GB2312" w:eastAsia="仿宋_GB2312" w:cs="仿宋_GB2312"/>
          <w:kern w:val="0"/>
          <w:sz w:val="32"/>
          <w:szCs w:val="32"/>
        </w:rPr>
        <w:t>万元。具体情况见下表：</w:t>
      </w: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p>
    <w:p>
      <w:pPr>
        <w:pStyle w:val="2"/>
        <w:rPr>
          <w:rFonts w:hint="eastAsia"/>
        </w:rPr>
      </w:pPr>
    </w:p>
    <w:tbl>
      <w:tblPr>
        <w:tblpPr w:leftFromText="180" w:rightFromText="180" w:vertAnchor="text" w:horzAnchor="page" w:tblpX="1384" w:tblpY="44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08"/>
        <w:gridCol w:w="1008"/>
        <w:gridCol w:w="1009"/>
        <w:gridCol w:w="1008"/>
        <w:gridCol w:w="953"/>
        <w:gridCol w:w="756"/>
        <w:gridCol w:w="1219"/>
        <w:gridCol w:w="2019"/>
      </w:tblGrid>
      <w:tr>
        <w:trPr>
          <w:trHeight w:val="327" w:hRule="atLeast"/>
        </w:trPr>
        <w:tc>
          <w:tcPr>
            <w:tcW w:w="8980" w:type="dxa"/>
            <w:gridSpan w:val="8"/>
            <w:tcBorders>
              <w:top w:val="nil"/>
              <w:left w:val="nil"/>
              <w:bottom w:val="nil"/>
              <w:right w:val="nil"/>
            </w:tcBorders>
            <w:tcMar>
              <w:top w:w="12" w:type="dxa"/>
              <w:left w:w="12" w:type="dxa"/>
              <w:right w:w="12" w:type="dxa"/>
            </w:tcMar>
            <w:vAlign w:val="center"/>
          </w:tcPr>
          <w:p>
            <w:pPr>
              <w:widowControl/>
              <w:jc w:val="center"/>
              <w:textAlignment w:val="center"/>
              <w:rPr>
                <w:rFonts w:ascii="仿宋_GB2312" w:hAnsi="宋体" w:eastAsia="仿宋_GB2312" w:cs="仿宋_GB2312"/>
                <w:b/>
                <w:color w:val="000000"/>
                <w:sz w:val="32"/>
                <w:szCs w:val="32"/>
              </w:rPr>
            </w:pPr>
            <w:r>
              <w:rPr>
                <w:rFonts w:hint="eastAsia" w:ascii="宋体" w:hAnsi="宋体" w:eastAsia="宋体" w:cs="宋体"/>
                <w:b/>
                <w:i w:val="0"/>
                <w:color w:val="000000"/>
                <w:kern w:val="0"/>
                <w:sz w:val="32"/>
                <w:szCs w:val="32"/>
                <w:u w:val="none"/>
                <w:lang w:val="en-US" w:eastAsia="zh-CN"/>
              </w:rPr>
              <w:t>项  目  支  出  绩  效  目  标  表</w:t>
            </w:r>
          </w:p>
        </w:tc>
      </w:tr>
      <w:tr>
        <w:trPr>
          <w:trHeight w:val="327" w:hRule="atLeast"/>
        </w:trPr>
        <w:tc>
          <w:tcPr>
            <w:tcW w:w="8980" w:type="dxa"/>
            <w:gridSpan w:val="8"/>
            <w:tcBorders>
              <w:top w:val="nil"/>
              <w:left w:val="nil"/>
              <w:bottom w:val="nil"/>
              <w:right w:val="nil"/>
            </w:tcBorders>
            <w:tcMar>
              <w:top w:w="12" w:type="dxa"/>
              <w:left w:w="12" w:type="dxa"/>
              <w:right w:w="12" w:type="dxa"/>
            </w:tcMar>
            <w:vAlign w:val="center"/>
          </w:tcPr>
          <w:p>
            <w:pPr>
              <w:widowControl/>
              <w:jc w:val="center"/>
              <w:textAlignment w:val="center"/>
              <w:rPr>
                <w:rFonts w:ascii="宋体" w:hAnsi="宋体" w:cs="宋体"/>
                <w:color w:val="000000"/>
                <w:sz w:val="22"/>
                <w:szCs w:val="22"/>
              </w:rPr>
            </w:pPr>
            <w:r>
              <w:rPr>
                <w:rFonts w:hint="eastAsia" w:ascii="宋体" w:hAnsi="宋体" w:eastAsia="宋体" w:cs="宋体"/>
                <w:b/>
                <w:i w:val="0"/>
                <w:color w:val="000000"/>
                <w:kern w:val="0"/>
                <w:sz w:val="32"/>
                <w:szCs w:val="32"/>
                <w:u w:val="none"/>
                <w:lang w:val="en-US" w:eastAsia="zh-CN"/>
              </w:rPr>
              <w:t>(2022年)</w:t>
            </w:r>
          </w:p>
        </w:tc>
      </w:tr>
      <w:tr>
        <w:trPr>
          <w:trHeight w:val="500" w:hRule="atLeast"/>
        </w:trPr>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预算单位</w:t>
            </w:r>
          </w:p>
        </w:tc>
        <w:tc>
          <w:tcPr>
            <w:tcW w:w="397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昌吉回族自治州教育局</w:t>
            </w:r>
          </w:p>
        </w:tc>
        <w:tc>
          <w:tcPr>
            <w:tcW w:w="7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项目名称</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教师队伍建设经费</w:t>
            </w:r>
          </w:p>
        </w:tc>
      </w:tr>
      <w:tr>
        <w:trPr>
          <w:trHeight w:val="540" w:hRule="atLeast"/>
        </w:trPr>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项目资金（万元）</w:t>
            </w:r>
          </w:p>
        </w:tc>
        <w:tc>
          <w:tcPr>
            <w:tcW w:w="201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年度资金总额：</w:t>
            </w: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124</w:t>
            </w:r>
          </w:p>
        </w:tc>
        <w:tc>
          <w:tcPr>
            <w:tcW w:w="9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其中：财政拨款</w:t>
            </w:r>
          </w:p>
        </w:tc>
        <w:tc>
          <w:tcPr>
            <w:tcW w:w="7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124</w:t>
            </w:r>
          </w:p>
        </w:tc>
        <w:tc>
          <w:tcPr>
            <w:tcW w:w="121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其他资金</w:t>
            </w:r>
          </w:p>
        </w:tc>
        <w:tc>
          <w:tcPr>
            <w:tcW w:w="201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rPr>
          <w:trHeight w:val="652" w:hRule="atLeast"/>
        </w:trPr>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项目总体目标</w:t>
            </w:r>
          </w:p>
        </w:tc>
        <w:tc>
          <w:tcPr>
            <w:tcW w:w="797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idowControl/>
              <w:jc w:val="left"/>
              <w:textAlignment w:val="top"/>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用于完成全州国语教师、校长书记等培训，南疆支教教师管理慰问，年度教师招聘工作任务，加强教师队伍建设，教师素质提升，教育管理水平不断提高。该项目培训送教慰问次数为5次，招聘教师合格率大于95%，该工作于12月31日之前完成，全面提升教师专业素质，努力办好人民满意的教育,促进自治州教育事业高质量发展</w:t>
            </w:r>
          </w:p>
        </w:tc>
      </w:tr>
      <w:tr>
        <w:trPr>
          <w:trHeight w:val="480" w:hRule="atLeast"/>
        </w:trPr>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一级指标</w:t>
            </w: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二级指标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三级指标</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b/>
                <w:color w:val="000000"/>
                <w:sz w:val="18"/>
                <w:szCs w:val="18"/>
              </w:rPr>
            </w:pPr>
            <w:r>
              <w:rPr>
                <w:rFonts w:hint="eastAsia" w:ascii="宋体" w:hAnsi="宋体" w:eastAsia="宋体" w:cs="宋体"/>
                <w:b/>
                <w:i w:val="0"/>
                <w:color w:val="000000"/>
                <w:kern w:val="0"/>
                <w:sz w:val="18"/>
                <w:szCs w:val="18"/>
                <w:u w:val="none"/>
                <w:lang w:val="en-US" w:eastAsia="zh-CN"/>
              </w:rPr>
              <w:t>指标值（包含数字及文字描述）</w:t>
            </w:r>
          </w:p>
        </w:tc>
      </w:tr>
      <w:tr>
        <w:trPr>
          <w:trHeight w:val="440" w:hRule="atLeast"/>
        </w:trPr>
        <w:tc>
          <w:tcPr>
            <w:tcW w:w="100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产出指标</w:t>
            </w: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数量指标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招聘、培训、送教、慰问等次数</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&gt;=5次</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质量指标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招聘教师合格率</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&gt;=95%</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时效指标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工作任务完成时间</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12月31日</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时效指标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培训活动按时完成率</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&gt;=95%</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成本指标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看望南疆支教教师及教师工作</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&lt;=10万元</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成本指标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教师、校长书记等培训资金</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&lt;=72万元</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成本指标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南疆支教教师管理工作资金</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&lt;=19.20万元</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成本指标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教师招聘考官及工作人员食宿费</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&lt;=5.60万元</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成本指标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教师招聘面试劳务费</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&lt;=15万元</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成本指标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教师招聘命题费材料费等</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&lt;=0.40万元</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成本指标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教师管理工作经费</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&lt;=1.80万元</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社会效益指标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提升教师综合素质</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提升</w:t>
            </w:r>
          </w:p>
        </w:tc>
      </w:tr>
      <w:tr>
        <w:trPr>
          <w:trHeight w:val="440" w:hRule="atLeast"/>
        </w:trPr>
        <w:tc>
          <w:tcPr>
            <w:tcW w:w="100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可持续影响指标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全面提升教师专业素质，努力办好人民满意的教育,促进自治州教育事业高质量发展</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持续</w:t>
            </w:r>
          </w:p>
        </w:tc>
      </w:tr>
      <w:tr>
        <w:trPr>
          <w:trHeight w:val="440" w:hRule="atLeast"/>
        </w:trPr>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满意度指标</w:t>
            </w:r>
          </w:p>
        </w:tc>
        <w:tc>
          <w:tcPr>
            <w:tcW w:w="10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满意度指标</w:t>
            </w:r>
          </w:p>
        </w:tc>
        <w:tc>
          <w:tcPr>
            <w:tcW w:w="3726"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教师满意度</w:t>
            </w:r>
          </w:p>
        </w:tc>
        <w:tc>
          <w:tcPr>
            <w:tcW w:w="32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rPr>
              <w:t>&gt;=95%</w:t>
            </w:r>
          </w:p>
        </w:tc>
      </w:tr>
    </w:tbl>
    <w:p>
      <w:pPr>
        <w:spacing w:line="600" w:lineRule="exact"/>
        <w:ind w:firstLine="643" w:firstLineChars="200"/>
        <w:jc w:val="center"/>
        <w:rPr>
          <w:rFonts w:hint="eastAsia" w:ascii="楷体_GB2312" w:hAnsi="宋体" w:eastAsia="楷体_GB2312" w:cs="宋体"/>
          <w:b/>
          <w:kern w:val="0"/>
          <w:sz w:val="32"/>
          <w:szCs w:val="32"/>
        </w:rPr>
      </w:pPr>
    </w:p>
    <w:p>
      <w:pPr>
        <w:pStyle w:val="2"/>
        <w:rPr>
          <w:rFonts w:hint="eastAsia" w:ascii="楷体_GB2312" w:hAnsi="宋体" w:eastAsia="楷体_GB2312" w:cs="宋体"/>
          <w:b/>
          <w:kern w:val="0"/>
          <w:sz w:val="32"/>
          <w:szCs w:val="32"/>
        </w:rPr>
      </w:pPr>
    </w:p>
    <w:p>
      <w:pPr>
        <w:rPr>
          <w:rFonts w:hint="eastAsia" w:ascii="楷体_GB2312" w:hAnsi="宋体" w:eastAsia="楷体_GB2312" w:cs="宋体"/>
          <w:b/>
          <w:kern w:val="0"/>
          <w:sz w:val="32"/>
          <w:szCs w:val="32"/>
        </w:rPr>
      </w:pPr>
    </w:p>
    <w:p>
      <w:pPr>
        <w:pStyle w:val="2"/>
        <w:rPr>
          <w:rFonts w:hint="eastAsia"/>
        </w:rPr>
      </w:pPr>
    </w:p>
    <w:tbl>
      <w:tblPr>
        <w:tblW w:w="86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1080"/>
        <w:gridCol w:w="1080"/>
        <w:gridCol w:w="795"/>
        <w:gridCol w:w="1230"/>
        <w:gridCol w:w="660"/>
        <w:gridCol w:w="480"/>
        <w:gridCol w:w="1080"/>
        <w:gridCol w:w="1170"/>
      </w:tblGrid>
      <w:tr>
        <w:trPr>
          <w:trHeight w:val="390" w:hRule="atLeast"/>
        </w:trPr>
        <w:tc>
          <w:tcPr>
            <w:tcW w:w="8655"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rPr>
          <w:trHeight w:val="405" w:hRule="atLeast"/>
        </w:trPr>
        <w:tc>
          <w:tcPr>
            <w:tcW w:w="8655" w:type="dxa"/>
            <w:gridSpan w:val="9"/>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(2022年)</w:t>
            </w:r>
          </w:p>
        </w:tc>
      </w:tr>
      <w:tr>
        <w:trPr>
          <w:trHeight w:val="6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418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昌吉回族自治州教育局</w:t>
            </w:r>
          </w:p>
        </w:tc>
        <w:tc>
          <w:tcPr>
            <w:tcW w:w="6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7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2022年教师职称评审经费</w:t>
            </w:r>
          </w:p>
        </w:tc>
      </w:tr>
      <w:tr>
        <w:trPr>
          <w:trHeight w:val="45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年度资金总额：</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30</w:t>
            </w:r>
          </w:p>
        </w:tc>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6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30.00</w:t>
            </w:r>
          </w:p>
        </w:tc>
        <w:tc>
          <w:tcPr>
            <w:tcW w:w="1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1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trHeight w:val="1406"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575"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通过开展教师职称评审工作，提高教师待遇水平，进一步激发广大教师工作的积极性，全面提升自治州教育教学质量，费用支出主要用于专家和工作人员的食宿、劳务费、场地使用费和购买办公用品等。</w:t>
            </w:r>
          </w:p>
        </w:tc>
      </w:tr>
      <w:tr>
        <w:trPr>
          <w:trHeight w:val="27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424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指标值（包含数字及文字描述）</w:t>
            </w:r>
          </w:p>
        </w:tc>
      </w:tr>
      <w:tr>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评审次数</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&gt;=1次</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质量指标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评审工作合格率</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评审工作开展时间</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12月31日之前</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评审活动按时完成率</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工作人员劳务费</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&lt;=8万元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专家及工作人员食宿费</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&lt;=6.30万元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专家评审费</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&lt;=15万元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评审工作办公用品费</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&lt;=0.70万元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开展评审工作，服务广大教师</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促进</w:t>
            </w:r>
          </w:p>
        </w:tc>
      </w:tr>
      <w:tr>
        <w:trPr>
          <w:trHeight w:val="9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提升教师待遇水平，努力办好人民满意的教育,持续促进自治州教育事业高质量发展</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提升</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424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教师满意度</w:t>
            </w:r>
          </w:p>
        </w:tc>
        <w:tc>
          <w:tcPr>
            <w:tcW w:w="22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bl>
    <w:p>
      <w:pPr>
        <w:spacing w:line="600" w:lineRule="exact"/>
        <w:ind w:firstLine="643" w:firstLineChars="200"/>
        <w:rPr>
          <w:rFonts w:hint="eastAsia" w:ascii="楷体_GB2312" w:hAnsi="宋体" w:eastAsia="楷体_GB2312" w:cs="宋体"/>
          <w:b/>
          <w:kern w:val="0"/>
          <w:sz w:val="32"/>
          <w:szCs w:val="32"/>
        </w:rPr>
      </w:pPr>
    </w:p>
    <w:p>
      <w:pPr>
        <w:pStyle w:val="2"/>
        <w:ind w:left="0" w:leftChars="0" w:firstLine="0" w:firstLineChars="0"/>
        <w:rPr>
          <w:rFonts w:hint="eastAsia" w:ascii="楷体_GB2312" w:hAnsi="宋体" w:eastAsia="楷体_GB2312" w:cs="宋体"/>
          <w:b/>
          <w:kern w:val="0"/>
          <w:sz w:val="32"/>
          <w:szCs w:val="32"/>
        </w:rPr>
      </w:pPr>
    </w:p>
    <w:p>
      <w:pPr>
        <w:pStyle w:val="2"/>
        <w:ind w:left="0" w:leftChars="0" w:firstLine="0" w:firstLineChars="0"/>
        <w:rPr>
          <w:rFonts w:hint="eastAsia"/>
        </w:rPr>
      </w:pPr>
    </w:p>
    <w:tbl>
      <w:tblPr>
        <w:tblW w:w="93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1080"/>
        <w:gridCol w:w="148"/>
        <w:gridCol w:w="932"/>
        <w:gridCol w:w="1080"/>
        <w:gridCol w:w="1275"/>
        <w:gridCol w:w="360"/>
        <w:gridCol w:w="345"/>
        <w:gridCol w:w="510"/>
        <w:gridCol w:w="45"/>
        <w:gridCol w:w="255"/>
        <w:gridCol w:w="793"/>
        <w:gridCol w:w="32"/>
        <w:gridCol w:w="793"/>
        <w:gridCol w:w="615"/>
      </w:tblGrid>
      <w:tr>
        <w:trPr>
          <w:trHeight w:val="390" w:hRule="atLeast"/>
        </w:trPr>
        <w:tc>
          <w:tcPr>
            <w:tcW w:w="9343" w:type="dxa"/>
            <w:gridSpan w:val="15"/>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rPr>
          <w:trHeight w:val="449" w:hRule="atLeast"/>
        </w:trPr>
        <w:tc>
          <w:tcPr>
            <w:tcW w:w="9343" w:type="dxa"/>
            <w:gridSpan w:val="15"/>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(2022年)</w:t>
            </w:r>
          </w:p>
        </w:tc>
      </w:tr>
      <w:tr>
        <w:trPr>
          <w:trHeight w:val="27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451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昌吉回族自治州教育局</w:t>
            </w:r>
          </w:p>
        </w:tc>
        <w:tc>
          <w:tcPr>
            <w:tcW w:w="7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043"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督导工作经费</w:t>
            </w:r>
          </w:p>
        </w:tc>
      </w:tr>
      <w:tr>
        <w:trPr>
          <w:trHeight w:val="45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21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年度资金总额：</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20</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70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20</w:t>
            </w:r>
          </w:p>
        </w:tc>
        <w:tc>
          <w:tcPr>
            <w:tcW w:w="163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140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trHeight w:val="45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8263" w:type="dxa"/>
            <w:gridSpan w:val="1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目标一；通过对7县市政府履行教育职责督导评估，夯实县（市）人民政府和教育成员单位教育职责。目标二；按照县市义务教育优质均衡年度工作计划开展调研，指导县市补短板、提质量、增资源、促均衡。督促各县（市）以提升质量为中心，实现更高水平的优质均衡。目标三；强化幼儿园办园行为监管，加强对薄弱幼儿园的指导，规范办园行为，提高保育与教育质量。坚持公益普惠基本方向，推进学前教育普及普惠安全优质发展。目标四；聚焦评价改革，开展立足于自治州义务教育督导评价质量监测工作，助力义务教育质量提升、优质均衡创建和“双减”工作落实落细。目标五；分别于春秋两季开学初，对学校开学复课、卫生防疫、校园安全、控辍保学、“双减”工作开展情况和思政、体育、劳动等课程开设情况等上级文件中规定需纳入督导事项的工作进行督导，提高教育质量和办学水平。目标六；坚定不移推广普及国家通用语言文字，加快语言文字规范化标准化信息化建设，推进语言文字工作治理体系和治理能力现代化。  该年度检查频次至少7次，达到100%覆盖率，对于问题整改落实达到100%，确保教育优先发展、落实立德树人根本任务、促进教育公平、提高教育质量</w:t>
            </w:r>
          </w:p>
        </w:tc>
      </w:tr>
      <w:tr>
        <w:trPr>
          <w:trHeight w:val="27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122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4547"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指标值（包含数字及文字描述）</w:t>
            </w:r>
          </w:p>
        </w:tc>
      </w:tr>
      <w:tr>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产出指标</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检查频次</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&gt;=7次</w:t>
            </w:r>
          </w:p>
        </w:tc>
      </w:tr>
      <w:tr>
        <w:trPr>
          <w:trHeight w:val="36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质量指标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抽查覆盖率</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trHeight w:val="39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年度检查任务按时完成率</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trHeight w:val="3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工作任务完成时间</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12月31日之前</w:t>
            </w:r>
          </w:p>
        </w:tc>
      </w:tr>
      <w:tr>
        <w:trPr>
          <w:trHeight w:val="3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赴县市督导差旅费</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&lt;=12万元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责任督学挂牌督导劳务费</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&lt;=0.60万元</w:t>
            </w:r>
          </w:p>
        </w:tc>
      </w:tr>
      <w:tr>
        <w:trPr>
          <w:trHeight w:val="41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县市督导租车费</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&lt;=3万元</w:t>
            </w:r>
          </w:p>
        </w:tc>
      </w:tr>
      <w:tr>
        <w:trPr>
          <w:trHeight w:val="3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督导办公设备采购</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&lt;=1.20万元</w:t>
            </w:r>
          </w:p>
        </w:tc>
      </w:tr>
      <w:tr>
        <w:trPr>
          <w:trHeight w:val="36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日常工作经费</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&lt;=3.20万元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确保教育优先发展、落实立德树人根本任务、促进教育公平、提高教育质量</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提高</w:t>
            </w:r>
          </w:p>
        </w:tc>
      </w:tr>
      <w:tr>
        <w:trPr>
          <w:trHeight w:val="4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检查结果公开率</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&gt;=100%</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确保各县市持续不断加强教育均衡发展工作，满足人民群众对优质教育的期盼。</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长期</w:t>
            </w:r>
          </w:p>
        </w:tc>
      </w:tr>
      <w:tr>
        <w:trPr>
          <w:trHeight w:val="49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问题整改落实率</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454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学生家长满意度</w:t>
            </w:r>
          </w:p>
        </w:tc>
        <w:tc>
          <w:tcPr>
            <w:tcW w:w="248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gridAfter w:val="1"/>
          <w:wAfter w:w="615" w:type="dxa"/>
          <w:trHeight w:val="390" w:hRule="atLeast"/>
        </w:trPr>
        <w:tc>
          <w:tcPr>
            <w:tcW w:w="8728" w:type="dxa"/>
            <w:gridSpan w:val="14"/>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kern w:val="0"/>
                <w:sz w:val="32"/>
                <w:szCs w:val="32"/>
                <w:u w:val="none"/>
                <w:lang w:val="en-US" w:eastAsia="zh-CN"/>
              </w:rPr>
            </w:pPr>
          </w:p>
          <w:p>
            <w:pPr>
              <w:widowControl/>
              <w:jc w:val="center"/>
              <w:textAlignment w:val="center"/>
              <w:rPr>
                <w:rFonts w:hint="eastAsia" w:ascii="宋体" w:hAnsi="宋体" w:eastAsia="宋体" w:cs="宋体"/>
                <w:b/>
                <w:i w:val="0"/>
                <w:color w:val="000000"/>
                <w:sz w:val="32"/>
                <w:szCs w:val="32"/>
                <w:u w:val="none"/>
              </w:rPr>
            </w:pPr>
            <w:bookmarkStart w:id="0" w:name="_GoBack"/>
            <w:bookmarkEnd w:id="0"/>
            <w:r>
              <w:rPr>
                <w:rFonts w:hint="eastAsia" w:ascii="宋体" w:hAnsi="宋体" w:eastAsia="宋体" w:cs="宋体"/>
                <w:b/>
                <w:i w:val="0"/>
                <w:color w:val="000000"/>
                <w:kern w:val="0"/>
                <w:sz w:val="32"/>
                <w:szCs w:val="32"/>
                <w:u w:val="none"/>
                <w:lang w:val="en-US" w:eastAsia="zh-CN"/>
              </w:rPr>
              <w:t>项  目  支  出  绩  效  目  标  表</w:t>
            </w:r>
          </w:p>
        </w:tc>
      </w:tr>
      <w:tr>
        <w:trPr>
          <w:gridAfter w:val="1"/>
          <w:wAfter w:w="615" w:type="dxa"/>
          <w:trHeight w:val="405" w:hRule="atLeast"/>
        </w:trPr>
        <w:tc>
          <w:tcPr>
            <w:tcW w:w="8728" w:type="dxa"/>
            <w:gridSpan w:val="14"/>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(2022年)</w:t>
            </w:r>
          </w:p>
        </w:tc>
      </w:tr>
      <w:tr>
        <w:trPr>
          <w:gridAfter w:val="1"/>
          <w:wAfter w:w="615" w:type="dxa"/>
          <w:trHeight w:val="587"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4875"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昌吉回族自治州教育局</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191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机关运行财政补助经费</w:t>
            </w:r>
          </w:p>
        </w:tc>
      </w:tr>
      <w:tr>
        <w:trPr>
          <w:gridAfter w:val="1"/>
          <w:wAfter w:w="615" w:type="dxa"/>
          <w:trHeight w:val="45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21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年度资金总额：</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60</w:t>
            </w:r>
          </w:p>
        </w:tc>
        <w:tc>
          <w:tcPr>
            <w:tcW w:w="16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8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60</w:t>
            </w:r>
          </w:p>
        </w:tc>
        <w:tc>
          <w:tcPr>
            <w:tcW w:w="10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gridAfter w:val="1"/>
          <w:wAfter w:w="615" w:type="dxa"/>
          <w:trHeight w:val="1094"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648" w:type="dxa"/>
            <w:gridSpan w:val="1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依据州教育局工作职责，年度工作要点，保障机关基本运行等用于弥补公用经费不足，该项资金主要用于，校园安全和督导，聘请律师顾问，加强单位运行效率，从而提高昌吉州教育高质量发展。</w:t>
            </w:r>
          </w:p>
        </w:tc>
      </w:tr>
      <w:tr>
        <w:trPr>
          <w:gridAfter w:val="1"/>
          <w:wAfter w:w="615" w:type="dxa"/>
          <w:trHeight w:val="27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4950" w:type="dxa"/>
            <w:gridSpan w:val="9"/>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指标值（包含数字及文字描述）</w:t>
            </w:r>
          </w:p>
        </w:tc>
      </w:tr>
      <w:tr>
        <w:trPr>
          <w:gridAfter w:val="1"/>
          <w:wAfter w:w="615" w:type="dxa"/>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校园安全和防疫督导</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&gt;=3次</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聘请律师顾问</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&gt;=1次</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质量指标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维修维护合格率</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公用资金支付及时率</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工作任务完成时间</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12月31日之前</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教育局机关办公楼日常维修维护费用</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&lt;=10万元</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物业安保综合费用</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&lt;=12万元</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教育系统法律顾问费用</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&lt;=10万元</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局机关食堂费用</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&lt;=15万元</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校园安全及疫情防控工作经费</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&lt;=13万元</w:t>
            </w:r>
          </w:p>
        </w:tc>
      </w:tr>
      <w:tr>
        <w:trPr>
          <w:gridAfter w:val="1"/>
          <w:wAfter w:w="615" w:type="dxa"/>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办人民满意教育率</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gridAfter w:val="1"/>
          <w:wAfter w:w="615" w:type="dxa"/>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昌吉州教育高质量发展</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持续</w:t>
            </w:r>
          </w:p>
        </w:tc>
      </w:tr>
      <w:tr>
        <w:trPr>
          <w:gridAfter w:val="1"/>
          <w:wAfter w:w="615" w:type="dxa"/>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4950"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工作人员满意度</w:t>
            </w:r>
          </w:p>
        </w:tc>
        <w:tc>
          <w:tcPr>
            <w:tcW w:w="16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bl>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bl>
      <w:tblPr>
        <w:tblW w:w="859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1080"/>
        <w:gridCol w:w="1080"/>
        <w:gridCol w:w="525"/>
        <w:gridCol w:w="1425"/>
        <w:gridCol w:w="1080"/>
        <w:gridCol w:w="405"/>
        <w:gridCol w:w="1080"/>
        <w:gridCol w:w="838"/>
      </w:tblGrid>
      <w:tr>
        <w:trPr>
          <w:trHeight w:val="390" w:hRule="atLeast"/>
        </w:trPr>
        <w:tc>
          <w:tcPr>
            <w:tcW w:w="8593"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rPr>
          <w:trHeight w:val="405" w:hRule="atLeast"/>
        </w:trPr>
        <w:tc>
          <w:tcPr>
            <w:tcW w:w="8593" w:type="dxa"/>
            <w:gridSpan w:val="9"/>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(2022年)</w:t>
            </w:r>
          </w:p>
        </w:tc>
      </w:tr>
      <w:tr>
        <w:trPr>
          <w:trHeight w:val="74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411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昌吉回族自治州教育局</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教育系统关心下一代委员会专项经费</w:t>
            </w:r>
          </w:p>
        </w:tc>
      </w:tr>
      <w:tr>
        <w:trPr>
          <w:trHeight w:val="45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年度资金总额：</w:t>
            </w:r>
          </w:p>
        </w:tc>
        <w:tc>
          <w:tcPr>
            <w:tcW w:w="5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14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trHeight w:val="144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513"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全州各县市、州直属学校进行关心下一代工作、家庭教育工作调研差旅费,培训讲师团成员、家长学校讲师以及学生家长的培训费，邀请区内外家庭教育专家学者来我州进行讲学的讲课费，组织开展“新时代好少年”主题教育读书活动的各种比赛经费，对先进集体、先进个人的表彰奖励经费，到疆内外参观、学习培训、开会差旅费，关心下一代工作委员会办公室日常工作经费等。本年度至少开展主题活动4次，活动开展完成率达到100%，该任务于12月31日前完成，此项目更新家长家庭教育观念，掌握科学的家庭教育方法，提高教育子女的能力</w:t>
            </w:r>
          </w:p>
        </w:tc>
      </w:tr>
      <w:tr>
        <w:trPr>
          <w:trHeight w:val="84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451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指标值（包含数字及文字描述）</w:t>
            </w:r>
          </w:p>
        </w:tc>
      </w:tr>
      <w:tr>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开展家庭教育主题活动</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&gt;=4次</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质量指标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开展教育活动完成率</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家庭教育开展时间</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12月31日</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活动开展及时率</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关工委外聘主任副主任劳务费</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&lt;=3万元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组织主题活动及评审、奖励，关工委日常经费</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&lt;=5万元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关工委组织调研费</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&lt;=0.90万元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关心下一代委员会办公经费</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&lt;=1.10万元</w:t>
            </w:r>
          </w:p>
        </w:tc>
      </w:tr>
      <w:tr>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更新家长家庭教育观念，掌握科学的家庭教育方法，提高教育子女的能力</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提高</w:t>
            </w:r>
          </w:p>
        </w:tc>
      </w:tr>
      <w:tr>
        <w:trPr>
          <w:trHeight w:val="9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培养德智体美劳全面发展的中国特色社会主义事业建设者和接班人</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持续</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家长满意度</w:t>
            </w:r>
          </w:p>
        </w:tc>
        <w:tc>
          <w:tcPr>
            <w:tcW w:w="19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bl>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bl>
      <w:tblPr>
        <w:tblW w:w="84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1080"/>
        <w:gridCol w:w="510"/>
        <w:gridCol w:w="495"/>
        <w:gridCol w:w="1560"/>
        <w:gridCol w:w="1080"/>
        <w:gridCol w:w="1080"/>
        <w:gridCol w:w="495"/>
        <w:gridCol w:w="1108"/>
      </w:tblGrid>
      <w:tr>
        <w:trPr>
          <w:trHeight w:val="390" w:hRule="atLeast"/>
        </w:trPr>
        <w:tc>
          <w:tcPr>
            <w:tcW w:w="8488"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rPr>
          <w:trHeight w:val="405" w:hRule="atLeast"/>
        </w:trPr>
        <w:tc>
          <w:tcPr>
            <w:tcW w:w="8488" w:type="dxa"/>
            <w:gridSpan w:val="9"/>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(2022年)</w:t>
            </w:r>
          </w:p>
        </w:tc>
      </w:tr>
      <w:tr>
        <w:trPr>
          <w:trHeight w:val="8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364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昌吉回族自治州教育局</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68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学生体卫艺科劳研学工作经费</w:t>
            </w:r>
          </w:p>
        </w:tc>
      </w:tr>
      <w:tr>
        <w:trPr>
          <w:trHeight w:val="45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5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年度资金总额：</w:t>
            </w:r>
          </w:p>
        </w:tc>
        <w:tc>
          <w:tcPr>
            <w:tcW w:w="4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50</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50</w:t>
            </w:r>
          </w:p>
        </w:tc>
        <w:tc>
          <w:tcPr>
            <w:tcW w:w="15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trHeight w:val="15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408"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贯彻落实国家、自治区关于全面加强和改进新时代学校体育、卫生与健康教育、美育、美育工作及全民科学素养发展的意见精神，本年组织体育比赛2次，组织中小学体育竞赛7次，中小学学生体育技能达标率为95%，该项目促进昌吉州学校体育、卫生健康教育、美育、科学、劳育、研学旅行工作全面发展，为改善和提高学生体育、卫生健康教育、美育工作、青少年科学素质、劳动教育、研学实践教育水平起到支撑作用。使得全州学生体质健康、卫生健康教育、美育素质、科学素养、劳动教育、研学实践教育全面提升，实现德智体美劳全面发展的宏伟目标，成为合格的社会主义建设者和接班人。</w:t>
            </w:r>
          </w:p>
        </w:tc>
      </w:tr>
      <w:tr>
        <w:trPr>
          <w:trHeight w:val="27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472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指标值（包含数字及文字描述）</w:t>
            </w:r>
          </w:p>
        </w:tc>
      </w:tr>
      <w:tr>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参加自治区教育厅组织的体育比赛项目</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&gt;=2次</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组织昌吉州中小学生体育竞赛</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&gt;=7次</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质量指标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提高中小学生运动技能水平合格率</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工作任务完成时间</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12月31日之前</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工作任务按时完成率</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参加和举办体育比赛</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&lt;=45万元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开展昌吉州域内中小学生卫生健康教育、美育、科技、劳育、研学实践教育调研工作</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&lt;=5万元</w:t>
            </w:r>
          </w:p>
        </w:tc>
      </w:tr>
      <w:tr>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增进学生体质，增强学生健康</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增强</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持续提升昌吉州中小学生综合素质</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持续</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472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学生和家长的满意度</w:t>
            </w:r>
          </w:p>
        </w:tc>
        <w:tc>
          <w:tcPr>
            <w:tcW w:w="16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bl>
    <w:p>
      <w:pPr>
        <w:pStyle w:val="2"/>
        <w:ind w:left="0" w:leftChars="0" w:firstLine="0" w:firstLineChars="0"/>
        <w:rPr>
          <w:rFonts w:hint="eastAsia" w:ascii="楷体_GB2312" w:hAnsi="宋体" w:eastAsia="楷体_GB2312" w:cs="宋体"/>
          <w:b/>
          <w:kern w:val="0"/>
          <w:sz w:val="32"/>
          <w:szCs w:val="32"/>
        </w:rPr>
      </w:pPr>
    </w:p>
    <w:p>
      <w:pPr>
        <w:rPr>
          <w:rFonts w:hint="eastAsia" w:ascii="楷体_GB2312" w:hAnsi="宋体" w:eastAsia="楷体_GB2312" w:cs="宋体"/>
          <w:b/>
          <w:kern w:val="0"/>
          <w:sz w:val="32"/>
          <w:szCs w:val="32"/>
        </w:rPr>
      </w:pPr>
    </w:p>
    <w:p>
      <w:pPr>
        <w:pStyle w:val="2"/>
        <w:rPr>
          <w:rFonts w:hint="eastAsia" w:ascii="楷体_GB2312" w:hAnsi="宋体" w:eastAsia="楷体_GB2312" w:cs="宋体"/>
          <w:b/>
          <w:kern w:val="0"/>
          <w:sz w:val="32"/>
          <w:szCs w:val="32"/>
        </w:rPr>
      </w:pPr>
    </w:p>
    <w:p>
      <w:pPr>
        <w:rPr>
          <w:rFonts w:hint="eastAsia" w:ascii="楷体_GB2312" w:hAnsi="宋体" w:eastAsia="楷体_GB2312" w:cs="宋体"/>
          <w:b/>
          <w:kern w:val="0"/>
          <w:sz w:val="32"/>
          <w:szCs w:val="32"/>
        </w:rPr>
      </w:pPr>
    </w:p>
    <w:p>
      <w:pPr>
        <w:pStyle w:val="2"/>
        <w:ind w:left="0" w:leftChars="0" w:firstLine="0" w:firstLineChars="0"/>
        <w:rPr>
          <w:rFonts w:hint="eastAsia"/>
        </w:rPr>
      </w:pPr>
    </w:p>
    <w:tbl>
      <w:tblPr>
        <w:tblW w:w="88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1080"/>
        <w:gridCol w:w="1080"/>
        <w:gridCol w:w="750"/>
        <w:gridCol w:w="1605"/>
        <w:gridCol w:w="945"/>
        <w:gridCol w:w="600"/>
        <w:gridCol w:w="1080"/>
        <w:gridCol w:w="613"/>
      </w:tblGrid>
      <w:tr>
        <w:trPr>
          <w:trHeight w:val="390" w:hRule="atLeast"/>
        </w:trPr>
        <w:tc>
          <w:tcPr>
            <w:tcW w:w="8833" w:type="dxa"/>
            <w:gridSpan w:val="9"/>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rPr>
          <w:trHeight w:val="405" w:hRule="atLeast"/>
        </w:trPr>
        <w:tc>
          <w:tcPr>
            <w:tcW w:w="8833" w:type="dxa"/>
            <w:gridSpan w:val="9"/>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(2022年)</w:t>
            </w:r>
          </w:p>
        </w:tc>
      </w:tr>
      <w:tr>
        <w:trPr>
          <w:trHeight w:val="70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451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昌吉回族自治州教育局</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29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语言文字工作经费</w:t>
            </w:r>
          </w:p>
        </w:tc>
      </w:tr>
      <w:tr>
        <w:trPr>
          <w:trHeight w:val="45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年度资金总额：</w:t>
            </w:r>
          </w:p>
        </w:tc>
        <w:tc>
          <w:tcPr>
            <w:tcW w:w="7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6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trHeight w:val="110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753"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州语委、语言文字普及推广中心负责国家通用语言文字宣传规划、规范推广和普及应用等工作；负责民族语言文字监测研究、规范化使用及翻译专业人才规划和培养培训工作。本年度举办相关活动3次，参加人员合格率达到100%，及时完成活动，通过举办各类语言文字调研及相关活动，进一步提高我州市民国家通用语言文字应用能力，增强中华民族共同体意识。</w:t>
            </w:r>
          </w:p>
        </w:tc>
      </w:tr>
      <w:tr>
        <w:trPr>
          <w:trHeight w:val="78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498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指标值（包含数字及文字描述）</w:t>
            </w:r>
          </w:p>
        </w:tc>
      </w:tr>
      <w:tr>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举办各类国家通用语言文字相关活动及调研</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&gt;=3次</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质量指标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参加人员达标率</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工作完成时间</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12月31日</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活动按时完成率</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举办语言文字相关活动及调研费用</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&lt;=3万元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语言文字推广宣传费用</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&lt;=4万元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活动专家评审费</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&lt;=1万元</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语言文字办公资金</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&lt;=2万元</w:t>
            </w:r>
          </w:p>
        </w:tc>
      </w:tr>
      <w:tr>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通过各类活动指导各部门各单位开展国家通用语言文字的社会学习、普及学习和培养培训；促进我州少数民族语言文字规范化使用</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提升</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宣贯政策知晓率</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r>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传承弘扬中华优秀传统文化，全面提升我州市民语言文字应用能力和文化素养，不断提升语言文字规范化水平</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持续提升</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498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参加活动人员满意度</w:t>
            </w:r>
          </w:p>
        </w:tc>
        <w:tc>
          <w:tcPr>
            <w:tcW w:w="16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&gt;=95%</w:t>
            </w: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rPr>
          <w:rFonts w:hint="eastAsia" w:ascii="楷体_GB2312" w:hAnsi="宋体" w:eastAsia="楷体_GB2312" w:cs="宋体"/>
          <w:b/>
          <w:kern w:val="0"/>
          <w:sz w:val="32"/>
          <w:szCs w:val="32"/>
        </w:rPr>
      </w:pPr>
    </w:p>
    <w:p>
      <w:pPr>
        <w:rPr>
          <w:rFonts w:hint="eastAsia" w:eastAsia="宋体"/>
          <w:lang w:eastAsia="zh-CN"/>
        </w:rPr>
      </w:pPr>
    </w:p>
    <w:tbl>
      <w:tblPr>
        <w:tblW w:w="88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1080"/>
        <w:gridCol w:w="1080"/>
        <w:gridCol w:w="750"/>
        <w:gridCol w:w="1605"/>
        <w:gridCol w:w="945"/>
        <w:gridCol w:w="1680"/>
        <w:gridCol w:w="613"/>
      </w:tblGrid>
      <w:tr>
        <w:trPr>
          <w:trHeight w:val="390" w:hRule="atLeast"/>
        </w:trPr>
        <w:tc>
          <w:tcPr>
            <w:tcW w:w="8833"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rPr>
          <w:trHeight w:val="405" w:hRule="atLeast"/>
        </w:trPr>
        <w:tc>
          <w:tcPr>
            <w:tcW w:w="8833" w:type="dxa"/>
            <w:gridSpan w:val="8"/>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(2022年)</w:t>
            </w:r>
          </w:p>
        </w:tc>
      </w:tr>
      <w:tr>
        <w:trPr>
          <w:trHeight w:val="70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451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昌吉回族自治州教育局</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rPr>
              <w:t>教师资格认定</w:t>
            </w:r>
            <w:r>
              <w:rPr>
                <w:rFonts w:hint="eastAsia" w:ascii="宋体" w:hAnsi="宋体" w:eastAsia="宋体" w:cs="宋体"/>
                <w:i w:val="0"/>
                <w:color w:val="000000"/>
                <w:kern w:val="0"/>
                <w:sz w:val="18"/>
                <w:szCs w:val="18"/>
                <w:u w:val="none"/>
                <w:lang w:val="en-US" w:eastAsia="zh-CN"/>
              </w:rPr>
              <w:t>经费</w:t>
            </w:r>
          </w:p>
        </w:tc>
      </w:tr>
      <w:tr>
        <w:trPr>
          <w:trHeight w:val="45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年度资金总额：</w:t>
            </w:r>
          </w:p>
        </w:tc>
        <w:tc>
          <w:tcPr>
            <w:tcW w:w="7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rPr>
              <w:t>6</w:t>
            </w:r>
          </w:p>
        </w:tc>
        <w:tc>
          <w:tcPr>
            <w:tcW w:w="16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6</w:t>
            </w:r>
          </w:p>
        </w:tc>
        <w:tc>
          <w:tcPr>
            <w:tcW w:w="16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6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rPr>
          <w:trHeight w:val="110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753"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left"/>
              <w:textAlignment w:val="top"/>
              <w:rPr>
                <w:rFonts w:hint="eastAsia" w:ascii="宋体" w:hAnsi="宋体" w:eastAsia="宋体" w:cs="宋体"/>
                <w:i w:val="0"/>
                <w:color w:val="000000"/>
                <w:sz w:val="18"/>
                <w:szCs w:val="18"/>
                <w:u w:val="none"/>
              </w:rPr>
            </w:pPr>
            <w:r>
              <w:rPr>
                <w:rFonts w:hint="eastAsia"/>
              </w:rPr>
              <w:t xml:space="preserve"> </w:t>
            </w:r>
            <w:r>
              <w:rPr>
                <w:rFonts w:hint="eastAsia"/>
                <w:sz w:val="20"/>
                <w:szCs w:val="20"/>
              </w:rPr>
              <w:t>为落实自治区教育厅教师资格认定有关政策，开展高级中学教师资格认定、中等职业学校教师资格认定工作。为培养适应新要求、知识面广、能力强的高素质教师队伍，做好人才储备，全面提升自治州教学水平。</w:t>
            </w:r>
          </w:p>
        </w:tc>
      </w:tr>
      <w:tr>
        <w:trPr>
          <w:trHeight w:val="78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438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指标值（包含数字及文字描述）</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数量指标</w:t>
            </w:r>
          </w:p>
        </w:tc>
        <w:tc>
          <w:tcPr>
            <w:tcW w:w="438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lrTb"/>
            <w:vAlign w:val="top"/>
          </w:tcPr>
          <w:p>
            <w:pPr>
              <w:autoSpaceDN w:val="0"/>
              <w:jc w:val="center"/>
              <w:textAlignment w:val="top"/>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开展认定次数</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autoSpaceDN w:val="0"/>
              <w:jc w:val="center"/>
              <w:textAlignment w:val="center"/>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1次</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质量指标</w:t>
            </w:r>
          </w:p>
        </w:tc>
        <w:tc>
          <w:tcPr>
            <w:tcW w:w="438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lrTb"/>
            <w:vAlign w:val="top"/>
          </w:tcPr>
          <w:p>
            <w:pPr>
              <w:autoSpaceDN w:val="0"/>
              <w:jc w:val="center"/>
              <w:textAlignment w:val="top"/>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认定完成质量合格率(%)</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autoSpaceDN w:val="0"/>
              <w:jc w:val="center"/>
              <w:textAlignment w:val="center"/>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100%</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38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lrTb"/>
            <w:vAlign w:val="top"/>
          </w:tcPr>
          <w:p>
            <w:pPr>
              <w:autoSpaceDN w:val="0"/>
              <w:jc w:val="center"/>
              <w:textAlignment w:val="top"/>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完成时间2022年12月31日</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autoSpaceDN w:val="0"/>
              <w:jc w:val="center"/>
              <w:textAlignment w:val="center"/>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2022年12月31日之前完成</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时效指标</w:t>
            </w:r>
          </w:p>
        </w:tc>
        <w:tc>
          <w:tcPr>
            <w:tcW w:w="438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lrTb"/>
            <w:vAlign w:val="top"/>
          </w:tcPr>
          <w:p>
            <w:pPr>
              <w:autoSpaceDN w:val="0"/>
              <w:jc w:val="center"/>
              <w:textAlignment w:val="top"/>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开展认定及时率(%)</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autoSpaceDN w:val="0"/>
              <w:jc w:val="center"/>
              <w:textAlignment w:val="center"/>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》95%</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38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lrTb"/>
            <w:vAlign w:val="top"/>
          </w:tcPr>
          <w:p>
            <w:pPr>
              <w:autoSpaceDN w:val="0"/>
              <w:jc w:val="center"/>
              <w:textAlignment w:val="top"/>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资格认定办公费支出（万元）</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autoSpaceDN w:val="0"/>
              <w:jc w:val="center"/>
              <w:textAlignment w:val="center"/>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《2万元</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成本指标</w:t>
            </w:r>
          </w:p>
        </w:tc>
        <w:tc>
          <w:tcPr>
            <w:tcW w:w="438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lrTb"/>
            <w:vAlign w:val="top"/>
          </w:tcPr>
          <w:p>
            <w:pPr>
              <w:autoSpaceDN w:val="0"/>
              <w:jc w:val="center"/>
              <w:textAlignment w:val="top"/>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教师资格认定专家评审费（万元）</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autoSpaceDN w:val="0"/>
              <w:jc w:val="center"/>
              <w:textAlignment w:val="center"/>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《4万元</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社会效益指标</w:t>
            </w:r>
          </w:p>
        </w:tc>
        <w:tc>
          <w:tcPr>
            <w:tcW w:w="438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lrTb"/>
            <w:vAlign w:val="top"/>
          </w:tcPr>
          <w:p>
            <w:pPr>
              <w:autoSpaceDN w:val="0"/>
              <w:jc w:val="center"/>
              <w:textAlignment w:val="top"/>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服务广大资格认定申请人员</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autoSpaceDN w:val="0"/>
              <w:jc w:val="center"/>
              <w:textAlignment w:val="center"/>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提升</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可持续影响指标</w:t>
            </w:r>
          </w:p>
        </w:tc>
        <w:tc>
          <w:tcPr>
            <w:tcW w:w="438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lrTb"/>
            <w:vAlign w:val="top"/>
          </w:tcPr>
          <w:p>
            <w:pPr>
              <w:autoSpaceDN w:val="0"/>
              <w:jc w:val="center"/>
              <w:textAlignment w:val="top"/>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做好人才储备，持续促进教育高质量发展</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autoSpaceDN w:val="0"/>
              <w:jc w:val="center"/>
              <w:textAlignment w:val="center"/>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提升</w:t>
            </w:r>
          </w:p>
        </w:tc>
      </w:tr>
      <w:tr>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满意度指标</w:t>
            </w:r>
          </w:p>
        </w:tc>
        <w:tc>
          <w:tcPr>
            <w:tcW w:w="438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lrTb"/>
            <w:vAlign w:val="top"/>
          </w:tcPr>
          <w:p>
            <w:pPr>
              <w:autoSpaceDN w:val="0"/>
              <w:jc w:val="center"/>
              <w:textAlignment w:val="top"/>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申请人员满意度</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autoSpaceDN w:val="0"/>
              <w:jc w:val="center"/>
              <w:textAlignment w:val="center"/>
              <w:rPr>
                <w:rFonts w:hint="eastAsia" w:ascii="宋体" w:hAnsi="宋体" w:eastAsia="宋体" w:cs="宋体"/>
                <w:i w:val="0"/>
                <w:color w:val="000000"/>
                <w:sz w:val="18"/>
                <w:szCs w:val="18"/>
                <w:u w:val="none"/>
              </w:rPr>
            </w:pPr>
            <w:r>
              <w:rPr>
                <w:rFonts w:hint="default" w:ascii="宋体" w:hAnsi="宋体" w:eastAsia="宋体"/>
                <w:b w:val="0"/>
                <w:i w:val="0"/>
                <w:color w:val="000000"/>
                <w:sz w:val="18"/>
                <w:u w:val="none"/>
                <w:lang w:eastAsia="zh-CN"/>
              </w:rPr>
              <w:t>》95%</w:t>
            </w:r>
          </w:p>
        </w:tc>
      </w:tr>
    </w:tbl>
    <w:p>
      <w:pPr>
        <w:spacing w:line="600" w:lineRule="exact"/>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jc w:val="righ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p>
    <w:p>
      <w:pPr>
        <w:spacing w:line="560" w:lineRule="exact"/>
        <w:ind w:firstLine="640" w:firstLineChars="200"/>
        <w:jc w:val="right"/>
        <w:rPr>
          <w:rFonts w:hint="eastAsia" w:ascii="仿宋_GB2312" w:hAnsi="宋体" w:eastAsia="仿宋_GB2312" w:cs="宋体"/>
          <w:kern w:val="0"/>
          <w:sz w:val="32"/>
          <w:szCs w:val="32"/>
          <w:lang w:val="en-US" w:eastAsia="zh-CN"/>
        </w:rPr>
      </w:pPr>
    </w:p>
    <w:p>
      <w:pPr>
        <w:spacing w:line="560" w:lineRule="exact"/>
        <w:ind w:firstLine="640" w:firstLineChars="200"/>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教育局</w:t>
      </w:r>
      <w:r>
        <w:rPr>
          <w:rFonts w:hint="eastAsia" w:ascii="仿宋_GB2312" w:hAnsi="宋体" w:eastAsia="仿宋_GB2312" w:cs="宋体"/>
          <w:kern w:val="0"/>
          <w:sz w:val="32"/>
          <w:szCs w:val="32"/>
        </w:rPr>
        <w:t xml:space="preserve">                   </w:t>
      </w:r>
    </w:p>
    <w:p>
      <w:pPr>
        <w:spacing w:line="560" w:lineRule="exact"/>
        <w:ind w:firstLine="640" w:firstLineChars="200"/>
        <w:jc w:val="both"/>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10" w:usb3="00000000" w:csb0="00040000" w:csb1="00000000"/>
  </w:font>
  <w:font w:name="Helvetica">
    <w:altName w:val="Arial"/>
    <w:panose1 w:val="020B0604020202020204"/>
    <w:charset w:val="00"/>
    <w:family w:val="auto"/>
    <w:pitch w:val="default"/>
    <w:sig w:usb0="00000000" w:usb1="00000000" w:usb2="00000009" w:usb3="00000000" w:csb0="000001FF" w:csb1="00000000"/>
  </w:font>
  <w:font w:name="方正小标宋_GBK">
    <w:altName w:val="微软雅黑"/>
    <w:panose1 w:val="03000509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4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jc w:val="right"/>
      <w:rPr>
        <w:rFonts w:ascii="宋体" w:hAnsi="宋体"/>
        <w:sz w:val="28"/>
        <w:szCs w:val="28"/>
      </w:rP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jc w:val="right"/>
      <w:rPr>
        <w:rFonts w:ascii="宋体" w:hAnsi="宋体"/>
        <w:sz w:val="28"/>
        <w:szCs w:val="28"/>
      </w:rPr>
    </w:pP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
    <w:nsid w:val="00000009"/>
    <w:multiLevelType w:val="singleLevel"/>
    <w:tmpl w:val="00000009"/>
    <w:lvl w:ilvl="0" w:tentative="1">
      <w:start w:val="3"/>
      <w:numFmt w:val="decimal"/>
      <w:suff w:val="nothing"/>
      <w:lvlText w:val="%1、"/>
      <w:lvlJc w:val="left"/>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next w:val="2"/>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4"/>
    <w:pPr>
      <w:ind w:left="1277"/>
      <w:outlineLvl w:val="1"/>
    </w:pPr>
    <w:rPr>
      <w:rFonts w:ascii="仿宋_GB2312" w:hAnsi="仿宋_GB2312" w:eastAsia="仿宋_GB2312" w:cs="仿宋_GB2312"/>
      <w:b/>
      <w:bCs/>
      <w:sz w:val="32"/>
      <w:szCs w:val="32"/>
      <w:lang w:val="zh-CN" w:bidi="zh-CN"/>
    </w:rPr>
  </w:style>
  <w:style w:type="character" w:default="1" w:styleId="5">
    <w:name w:val="Default Paragraph Font"/>
  </w:style>
  <w:style w:type="paragraph" w:customStyle="1" w:styleId="2">
    <w:name w:val="table of authorities"/>
    <w:basedOn w:val="1"/>
    <w:next w:val="1"/>
    <w:pPr>
      <w:ind w:left="420" w:leftChars="200"/>
    </w:pPr>
  </w:style>
  <w:style w:type="character" w:customStyle="1" w:styleId="4">
    <w:name w:val="标题 2 Char"/>
    <w:basedOn w:val="5"/>
    <w:link w:val="3"/>
    <w:semiHidden/>
    <w:rPr>
      <w:rFonts w:ascii="仿宋_GB2312" w:hAnsi="仿宋_GB2312" w:eastAsia="仿宋_GB2312" w:cs="仿宋_GB2312"/>
      <w:b/>
      <w:bCs/>
      <w:sz w:val="32"/>
      <w:szCs w:val="32"/>
      <w:lang w:val="zh-CN" w:bidi="zh-CN"/>
    </w:rPr>
  </w:style>
  <w:style w:type="paragraph" w:styleId="6">
    <w:name w:val="Body Text"/>
    <w:basedOn w:val="1"/>
    <w:link w:val="7"/>
    <w:rPr>
      <w:rFonts w:ascii="方正仿宋_GBK" w:hAnsi="方正仿宋_GBK" w:eastAsia="方正仿宋_GBK" w:cs="方正仿宋_GBK"/>
      <w:sz w:val="32"/>
      <w:szCs w:val="32"/>
      <w:lang w:val="zh-CN" w:bidi="zh-CN"/>
    </w:rPr>
  </w:style>
  <w:style w:type="character" w:customStyle="1" w:styleId="7">
    <w:name w:val="正文文本 Char"/>
    <w:basedOn w:val="5"/>
    <w:link w:val="6"/>
    <w:semiHidden/>
    <w:rPr>
      <w:rFonts w:ascii="方正仿宋_GBK" w:hAnsi="方正仿宋_GBK" w:eastAsia="方正仿宋_GBK" w:cs="方正仿宋_GBK"/>
      <w:sz w:val="32"/>
      <w:szCs w:val="32"/>
      <w:lang w:val="zh-CN" w:bidi="zh-CN"/>
    </w:rPr>
  </w:style>
  <w:style w:type="paragraph" w:styleId="8">
    <w:name w:val="footer"/>
    <w:basedOn w:val="1"/>
    <w:link w:val="9"/>
    <w:pPr>
      <w:tabs>
        <w:tab w:val="center" w:pos="4153"/>
        <w:tab w:val="right" w:pos="8306"/>
      </w:tabs>
      <w:snapToGrid w:val="0"/>
      <w:jc w:val="left"/>
    </w:pPr>
    <w:rPr>
      <w:sz w:val="18"/>
      <w:szCs w:val="18"/>
    </w:rPr>
  </w:style>
  <w:style w:type="character" w:customStyle="1" w:styleId="9">
    <w:name w:val="页脚 Char"/>
    <w:basedOn w:val="5"/>
    <w:link w:val="8"/>
    <w:semiHidden/>
    <w:rPr>
      <w:sz w:val="18"/>
      <w:szCs w:val="18"/>
    </w:rPr>
  </w:style>
  <w:style w:type="paragraph" w:styleId="10">
    <w:name w:val="header"/>
    <w:basedOn w:val="1"/>
    <w:link w:val="11"/>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5"/>
    <w:link w:val="10"/>
    <w:semiHidden/>
    <w:rPr>
      <w:sz w:val="18"/>
      <w:szCs w:val="18"/>
    </w:rPr>
  </w:style>
  <w:style w:type="paragraph" w:customStyle="1" w:styleId="12">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3">
    <w:name w:val="page number"/>
    <w:basedOn w:val="5"/>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1471</Words>
  <Characters>8387</Characters>
  <Lines>69</Lines>
  <Paragraphs>19</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2022-02-14T03:16:00Z</dcterms:created>
  <dc:creator>闫超</dc:creator>
  <cp:lastPrinted>2022-04-14T01:23:00Z</cp:lastPrinted>
  <dcterms:modified xsi:type="dcterms:W3CDTF">2022-04-19T13:24:05Z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