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昌吉州社会科学界联合会202</w:t>
      </w:r>
      <w:r>
        <w:rPr>
          <w:rFonts w:hint="eastAsia" w:ascii="方正小标宋_GBK" w:hAnsi="宋体" w:eastAsia="方正小标宋_GBK"/>
          <w:kern w:val="0"/>
          <w:sz w:val="44"/>
          <w:szCs w:val="44"/>
          <w:lang w:val="en-US" w:eastAsia="zh-CN"/>
        </w:rPr>
        <w:t>2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both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8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昌吉州社会科学界联合会（以下简称社科联）概况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年单位预算公开表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32"/>
          <w:szCs w:val="32"/>
        </w:rPr>
        <w:t>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32"/>
          <w:szCs w:val="32"/>
        </w:rPr>
        <w:t>收入总体情况表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32"/>
          <w:szCs w:val="32"/>
        </w:rPr>
        <w:t>支出总体情况表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hint="eastAsia" w:ascii="仿宋_GB2312" w:hAnsi="宋体" w:eastAsia="仿宋_GB2312"/>
          <w:b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年单位预算情况说明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九、关于昌吉州</w:t>
      </w:r>
      <w:r>
        <w:rPr>
          <w:rFonts w:hint="eastAsia" w:ascii="仿宋_GB2312" w:hAnsi="宋体" w:eastAsia="仿宋_GB2312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8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8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6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第一部分    </w:t>
      </w:r>
      <w:r>
        <w:rPr>
          <w:rFonts w:hint="eastAsia" w:ascii="方正黑体_GBK" w:hAnsi="方正黑体_GBK" w:eastAsia="方正黑体_GBK" w:cs="方正黑体_GBK"/>
          <w:kern w:val="0"/>
          <w:sz w:val="32"/>
          <w:szCs w:val="32"/>
        </w:rPr>
        <w:t>昌吉州社科联单位概况</w:t>
      </w:r>
    </w:p>
    <w:p>
      <w:pPr>
        <w:widowControl/>
        <w:spacing w:line="480" w:lineRule="exact"/>
        <w:jc w:val="both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1.</w:t>
      </w:r>
      <w:r>
        <w:rPr>
          <w:rFonts w:hint="eastAsia" w:ascii="仿宋" w:hAnsi="仿宋" w:eastAsia="仿宋" w:cs="仿宋"/>
          <w:sz w:val="32"/>
          <w:szCs w:val="32"/>
        </w:rPr>
        <w:t>围绕中心服务大局，发挥社科理论优势，围绕习近平新时代中国特色社会主义思想、“总目标”及党委、政府中心工作，组织专家学者</w:t>
      </w:r>
      <w:r>
        <w:rPr>
          <w:rFonts w:hint="eastAsia" w:ascii="仿宋" w:hAnsi="仿宋" w:eastAsia="仿宋" w:cs="仿宋"/>
          <w:kern w:val="0"/>
          <w:sz w:val="32"/>
          <w:szCs w:val="32"/>
        </w:rPr>
        <w:t>开展哲学、社会科学研究</w:t>
      </w:r>
      <w:r>
        <w:rPr>
          <w:rFonts w:hint="eastAsia" w:ascii="仿宋" w:hAnsi="仿宋" w:eastAsia="仿宋" w:cs="仿宋"/>
          <w:sz w:val="32"/>
          <w:szCs w:val="32"/>
        </w:rPr>
        <w:t>，撰写出有实用价值的课题报告，发挥好“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智囊</w:t>
      </w:r>
      <w:r>
        <w:rPr>
          <w:rFonts w:hint="eastAsia" w:ascii="仿宋" w:hAnsi="仿宋" w:eastAsia="仿宋" w:cs="仿宋"/>
          <w:sz w:val="32"/>
          <w:szCs w:val="32"/>
        </w:rPr>
        <w:t>团”、“思想库”的作用。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2.指导、推动县市社科联工作，</w:t>
      </w:r>
      <w:r>
        <w:rPr>
          <w:rFonts w:hint="eastAsia" w:ascii="仿宋" w:hAnsi="仿宋" w:eastAsia="仿宋" w:cs="仿宋"/>
          <w:sz w:val="32"/>
          <w:szCs w:val="32"/>
        </w:rPr>
        <w:t>推动基层社会科学界组织开展社会科学普及活动，提高社科普及实效，传播正能量，提升干部群众的社科人文素养，听党话，感党恩。</w:t>
      </w:r>
    </w:p>
    <w:p>
      <w:pPr>
        <w:widowControl/>
        <w:spacing w:line="560" w:lineRule="exact"/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3.依法对社科类的社会团体进行指导、监督，增强社科群团组织的自我发展能力、自我管理能力、学术服务能力，推动社会科学界的社团健康有序发展。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ascii="仿宋" w:hAnsi="仿宋" w:eastAsia="仿宋_GB2312" w:cs="仿宋"/>
          <w:sz w:val="32"/>
          <w:szCs w:val="32"/>
        </w:rPr>
        <w:t>4</w:t>
      </w:r>
      <w:r>
        <w:rPr>
          <w:rFonts w:hint="eastAsia" w:ascii="仿宋" w:hAnsi="仿宋" w:eastAsia="仿宋_GB2312" w:cs="仿宋"/>
          <w:sz w:val="32"/>
          <w:szCs w:val="32"/>
        </w:rPr>
        <w:t>.引导社科领域的专家、学者与党同向同行，同心同德，始终坚持学术研究有纪律。</w:t>
      </w:r>
      <w:r>
        <w:rPr>
          <w:rFonts w:hint="eastAsia" w:ascii="仿宋_GB2312" w:eastAsia="仿宋_GB2312"/>
          <w:sz w:val="32"/>
          <w:szCs w:val="32"/>
        </w:rPr>
        <w:t xml:space="preserve">  </w:t>
      </w:r>
    </w:p>
    <w:p>
      <w:pPr>
        <w:widowControl/>
        <w:spacing w:line="48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无下属预算单位，下设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个处室，是办公室。</w:t>
      </w:r>
    </w:p>
    <w:p>
      <w:pPr>
        <w:widowControl/>
        <w:spacing w:line="4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编制数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4个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，实有人数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人，其中：在职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人；退休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人；离休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人，增加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人。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48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280" w:lineRule="exact"/>
        <w:jc w:val="both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第二部分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年单位预算公开表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spacing w:line="44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单位收支总体情况表</w:t>
      </w:r>
    </w:p>
    <w:p>
      <w:pPr>
        <w:widowControl/>
        <w:spacing w:line="44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      单位：万元</w:t>
      </w:r>
    </w:p>
    <w:tbl>
      <w:tblPr>
        <w:tblW w:w="866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25"/>
        <w:gridCol w:w="1418"/>
        <w:gridCol w:w="3260"/>
        <w:gridCol w:w="1559"/>
      </w:tblGrid>
      <w:tr>
        <w:trPr>
          <w:trHeight w:val="360" w:hRule="atLeast"/>
        </w:trPr>
        <w:tc>
          <w:tcPr>
            <w:tcW w:w="3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18"/>
                <w:szCs w:val="18"/>
              </w:rPr>
              <w:t>预算数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120.14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7.1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5.5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6.11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trHeight w:val="312" w:hRule="exac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65" w:hRule="atLeast"/>
        </w:trPr>
        <w:tc>
          <w:tcPr>
            <w:tcW w:w="242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3260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741" w:type="dxa"/>
        <w:tblInd w:w="-45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>
        <w:trPr>
          <w:trHeight w:val="510" w:hRule="atLeast"/>
        </w:trPr>
        <w:tc>
          <w:tcPr>
            <w:tcW w:w="15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>
        <w:trPr>
          <w:trHeight w:val="1870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FFFFFF"/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宣传事务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60.14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60.14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行政单位离退休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hint="default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7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</w:pPr>
          </w:p>
        </w:tc>
      </w:tr>
    </w:tbl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单位支出总体情况表</w:t>
      </w:r>
    </w:p>
    <w:p>
      <w:pPr>
        <w:widowControl/>
        <w:spacing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</w:t>
      </w:r>
      <w:r>
        <w:rPr>
          <w:rFonts w:hint="eastAsia" w:ascii="仿宋_GB2312" w:hAnsi="宋体" w:eastAsia="仿宋_GB2312"/>
          <w:kern w:val="0"/>
          <w:sz w:val="24"/>
        </w:rPr>
        <w:t xml:space="preserve"> 单位：万元</w:t>
      </w:r>
    </w:p>
    <w:tbl>
      <w:tblPr>
        <w:tblW w:w="8940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480"/>
        <w:gridCol w:w="225"/>
        <w:gridCol w:w="178"/>
        <w:gridCol w:w="2426"/>
        <w:gridCol w:w="11"/>
        <w:gridCol w:w="1844"/>
        <w:gridCol w:w="11"/>
        <w:gridCol w:w="1845"/>
        <w:gridCol w:w="11"/>
        <w:gridCol w:w="1402"/>
        <w:gridCol w:w="11"/>
      </w:tblGrid>
      <w:tr>
        <w:trPr>
          <w:gridAfter w:val="1"/>
          <w:wAfter w:w="11" w:type="dxa"/>
          <w:trHeight w:val="345" w:hRule="atLeast"/>
        </w:trPr>
        <w:tc>
          <w:tcPr>
            <w:tcW w:w="38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124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>
        <w:trPr>
          <w:gridAfter w:val="1"/>
          <w:wAfter w:w="11" w:type="dxa"/>
          <w:trHeight w:val="480" w:hRule="atLeast"/>
        </w:trPr>
        <w:tc>
          <w:tcPr>
            <w:tcW w:w="120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604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4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>
        <w:trPr>
          <w:trHeight w:val="270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437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宣传事务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60.14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60.14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行政单位离退休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5" w:hRule="atLeast"/>
        </w:trPr>
        <w:tc>
          <w:tcPr>
            <w:tcW w:w="4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43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78.85</w:t>
            </w:r>
          </w:p>
        </w:tc>
        <w:tc>
          <w:tcPr>
            <w:tcW w:w="14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</w:tr>
    </w:tbl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spacing w:beforeLines="50" w:line="28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编制单位：昌吉州</w:t>
      </w:r>
      <w:r>
        <w:rPr>
          <w:rFonts w:hint="eastAsia" w:ascii="仿宋_GB2312" w:hAnsi="宋体" w:eastAsia="仿宋_GB2312"/>
          <w:kern w:val="0"/>
          <w:szCs w:val="21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</w:t>
      </w:r>
      <w:r>
        <w:rPr>
          <w:rFonts w:hint="eastAsia" w:ascii="仿宋_GB2312" w:hAnsi="宋体" w:eastAsia="仿宋_GB2312"/>
          <w:kern w:val="0"/>
          <w:szCs w:val="21"/>
          <w:lang w:val="en-US" w:eastAsia="zh-CN"/>
        </w:rPr>
        <w:t xml:space="preserve">           </w:t>
      </w:r>
      <w:r>
        <w:rPr>
          <w:rFonts w:hint="eastAsia" w:ascii="仿宋_GB2312" w:hAnsi="宋体" w:eastAsia="仿宋_GB2312"/>
          <w:kern w:val="0"/>
          <w:szCs w:val="21"/>
        </w:rPr>
        <w:t xml:space="preserve">    单位：万元</w:t>
      </w:r>
    </w:p>
    <w:tbl>
      <w:tblPr>
        <w:tblW w:w="10583" w:type="dxa"/>
        <w:tblInd w:w="-24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>
        <w:trPr>
          <w:gridAfter w:val="1"/>
          <w:wAfter w:w="1134" w:type="dxa"/>
          <w:trHeight w:val="285" w:hRule="atLeast"/>
        </w:trPr>
        <w:tc>
          <w:tcPr>
            <w:tcW w:w="30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</w:tr>
      <w:tr>
        <w:trPr>
          <w:gridAfter w:val="1"/>
          <w:wAfter w:w="1134" w:type="dxa"/>
          <w:trHeight w:val="766" w:hRule="atLeas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138.85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  <w:lang w:val="en-US" w:eastAsia="zh-CN"/>
              </w:rPr>
              <w:t>138.85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90" w:firstLineChars="5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gridAfter w:val="1"/>
          <w:wAfter w:w="1134" w:type="dxa"/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  <w:tr>
        <w:trPr>
          <w:trHeight w:val="312" w:hRule="exact"/>
        </w:trPr>
        <w:tc>
          <w:tcPr>
            <w:tcW w:w="190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23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9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102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492"/>
        <w:gridCol w:w="417"/>
        <w:gridCol w:w="2510"/>
        <w:gridCol w:w="660"/>
        <w:gridCol w:w="1024"/>
        <w:gridCol w:w="216"/>
        <w:gridCol w:w="1626"/>
        <w:gridCol w:w="1701"/>
      </w:tblGrid>
      <w:tr>
        <w:trPr>
          <w:trHeight w:val="450" w:hRule="atLeast"/>
        </w:trPr>
        <w:tc>
          <w:tcPr>
            <w:tcW w:w="9214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rPr>
          <w:trHeight w:val="285" w:hRule="atLeast"/>
        </w:trPr>
        <w:tc>
          <w:tcPr>
            <w:tcW w:w="39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社科联</w:t>
            </w:r>
          </w:p>
        </w:tc>
        <w:tc>
          <w:tcPr>
            <w:tcW w:w="6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2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rPr>
          <w:trHeight w:val="405" w:hRule="atLeast"/>
        </w:trPr>
        <w:tc>
          <w:tcPr>
            <w:tcW w:w="39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rPr>
          <w:trHeight w:val="465" w:hRule="atLeast"/>
        </w:trPr>
        <w:tc>
          <w:tcPr>
            <w:tcW w:w="147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33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宣传事务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120.14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行政运行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60.14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33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hAnsi="宋体" w:eastAsia="仿宋_GB2312" w:cs="宋体"/>
                <w:color w:val="000000"/>
                <w:sz w:val="18"/>
                <w:szCs w:val="18"/>
              </w:rPr>
              <w:t>一般行政管理事务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社会保障和就业支出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行政事业单位养老支出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行政单位离退休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卫生健康支出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行政事业单位医疗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5.50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行政单位医疗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公务员医疗补助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住房保障支出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住房改革支出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221</w:t>
            </w: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02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01</w:t>
            </w: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eastAsia="zh-CN"/>
              </w:rPr>
              <w:t>住房公积金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50" w:hRule="atLeast"/>
        </w:trPr>
        <w:tc>
          <w:tcPr>
            <w:tcW w:w="56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138.85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78.85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W w:w="9328" w:type="dxa"/>
        <w:tblInd w:w="-1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社科联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单位：万元</w:t>
            </w:r>
          </w:p>
        </w:tc>
      </w:tr>
      <w:tr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69.86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71.32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7.53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22.03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wordWrap w:val="0"/>
              <w:ind w:right="147" w:rightChars="70"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城镇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职工基本医疗保险缴费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公务员医疗补助缴费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1.31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其他工资福利支出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7.53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7.53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2.31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2.31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维修（护）费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0.50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0.82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0.74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0.74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0.62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0.62</w:t>
            </w: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val="en-US" w:eastAsia="zh-CN"/>
              </w:rPr>
              <w:t>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1.46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1.46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01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离休费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lang w:val="en-US" w:eastAsia="zh-CN"/>
              </w:rPr>
              <w:t>07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lang w:eastAsia="zh-CN"/>
              </w:rPr>
              <w:t>医疗费补助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1.18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  <w:highlight w:val="none"/>
              </w:rPr>
              <w:t>303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78.85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71.32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7.53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"/>
        <w:gridCol w:w="389"/>
        <w:gridCol w:w="397"/>
        <w:gridCol w:w="397"/>
        <w:gridCol w:w="851"/>
        <w:gridCol w:w="1456"/>
        <w:gridCol w:w="750"/>
        <w:gridCol w:w="110"/>
        <w:gridCol w:w="459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>
        <w:trPr>
          <w:gridBefore w:val="1"/>
          <w:gridAfter w:val="1"/>
          <w:wBefore w:w="8" w:type="dxa"/>
          <w:wAfter w:w="79" w:type="dxa"/>
          <w:trHeight w:val="375" w:hRule="atLeast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rPr>
          <w:gridBefore w:val="1"/>
          <w:gridAfter w:val="1"/>
          <w:wBefore w:w="8" w:type="dxa"/>
          <w:wAfter w:w="79" w:type="dxa"/>
          <w:trHeight w:val="405" w:hRule="atLeast"/>
        </w:trPr>
        <w:tc>
          <w:tcPr>
            <w:tcW w:w="435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编制单位：昌吉州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lang w:eastAsia="zh-CN"/>
              </w:rPr>
              <w:t>社科联</w:t>
            </w: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30" w:hRule="atLeast"/>
        </w:trPr>
        <w:tc>
          <w:tcPr>
            <w:tcW w:w="1191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367" w:hRule="atLeast"/>
        </w:trPr>
        <w:tc>
          <w:tcPr>
            <w:tcW w:w="397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 w:val="continue"/>
            <w:tcBorders>
              <w:bottom w:val="single" w:color="auto" w:sz="4" w:space="0"/>
            </w:tcBorders>
            <w:vAlign w:val="top"/>
          </w:tcPr>
          <w:p>
            <w:pPr>
              <w:widowControl/>
              <w:jc w:val="left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201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一般公共服务支出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201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  <w:lang w:val="en-US" w:eastAsia="zh-CN"/>
              </w:rPr>
              <w:t>33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jc w:val="center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18"/>
                <w:szCs w:val="18"/>
                <w:highlight w:val="none"/>
                <w:lang w:val="en-US" w:eastAsia="zh-CN"/>
              </w:rPr>
              <w:t>宣传事务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33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02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both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社会科学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科普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活动</w:t>
            </w: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20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33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02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哲学社会科学理论研讨课题经费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201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33</w:t>
            </w:r>
          </w:p>
        </w:tc>
        <w:tc>
          <w:tcPr>
            <w:tcW w:w="397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5"/>
                <w:szCs w:val="15"/>
              </w:rPr>
              <w:t>02</w:t>
            </w:r>
          </w:p>
        </w:tc>
        <w:tc>
          <w:tcPr>
            <w:tcW w:w="851" w:type="dxa"/>
            <w:vAlign w:val="top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</w:rPr>
              <w:t>一般行政管理事务</w:t>
            </w: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eastAsia="zh-CN"/>
              </w:rPr>
              <w:t>社科理论研究人员服务保障经费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85" w:hRule="atLeast"/>
        </w:trPr>
        <w:tc>
          <w:tcPr>
            <w:tcW w:w="397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569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>
            <w:pPr>
              <w:widowControl/>
              <w:jc w:val="center"/>
              <w:outlineLvl w:val="1"/>
              <w:rPr>
                <w:rFonts w:hint="default" w:ascii="仿宋_GB2312" w:hAnsi="宋体" w:eastAsia="仿宋_GB2312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kern w:val="0"/>
                <w:sz w:val="18"/>
                <w:szCs w:val="18"/>
                <w:lang w:val="en-US" w:eastAsia="zh-CN"/>
              </w:rPr>
              <w:t>60</w:t>
            </w: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 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</w:t>
      </w:r>
      <w:r>
        <w:rPr>
          <w:rFonts w:hint="eastAsia" w:ascii="仿宋_GB2312" w:hAnsi="宋体" w:eastAsia="仿宋_GB2312"/>
          <w:kern w:val="0"/>
          <w:sz w:val="24"/>
        </w:rPr>
        <w:t xml:space="preserve">   单位：万元</w:t>
      </w:r>
    </w:p>
    <w:tbl>
      <w:tblPr>
        <w:tblW w:w="9240" w:type="dxa"/>
        <w:tblInd w:w="-17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rPr>
          <w:trHeight w:val="592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2.04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  <w:lang w:val="en-US" w:eastAsia="zh-CN"/>
              </w:rPr>
              <w:t>0.04</w:t>
            </w:r>
          </w:p>
        </w:tc>
      </w:tr>
      <w:tr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spacing w:line="360" w:lineRule="exact"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spacing w:line="360" w:lineRule="exact"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编制单位：昌吉州</w:t>
      </w:r>
      <w:r>
        <w:rPr>
          <w:rFonts w:hint="eastAsia" w:ascii="仿宋_GB2312" w:hAnsi="宋体" w:eastAsia="仿宋_GB2312"/>
          <w:kern w:val="0"/>
          <w:sz w:val="24"/>
          <w:lang w:eastAsia="zh-CN"/>
        </w:rPr>
        <w:t>社科联</w:t>
      </w:r>
      <w:r>
        <w:rPr>
          <w:rFonts w:hint="eastAsia" w:ascii="仿宋_GB2312" w:hAnsi="宋体" w:eastAsia="仿宋_GB2312"/>
          <w:kern w:val="0"/>
          <w:sz w:val="24"/>
        </w:rPr>
        <w:t xml:space="preserve">                          </w:t>
      </w:r>
      <w:r>
        <w:rPr>
          <w:rFonts w:hint="eastAsia" w:ascii="仿宋_GB2312" w:hAnsi="宋体" w:eastAsia="仿宋_GB2312"/>
          <w:kern w:val="0"/>
          <w:sz w:val="24"/>
          <w:lang w:val="en-US" w:eastAsia="zh-CN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单位：万元</w:t>
      </w:r>
    </w:p>
    <w:tbl>
      <w:tblPr>
        <w:tblW w:w="9214" w:type="dxa"/>
        <w:tblInd w:w="-34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>
        <w:trPr>
          <w:trHeight w:val="465" w:hRule="atLeast"/>
        </w:trPr>
        <w:tc>
          <w:tcPr>
            <w:tcW w:w="428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rPr>
          <w:trHeight w:val="360" w:hRule="atLeast"/>
        </w:trPr>
        <w:tc>
          <w:tcPr>
            <w:tcW w:w="17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rPr>
          <w:trHeight w:val="315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  <w:tr>
        <w:trPr>
          <w:trHeight w:val="510" w:hRule="atLeast"/>
        </w:trPr>
        <w:tc>
          <w:tcPr>
            <w:tcW w:w="58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备注：我单位无政府性基金预算，此表为空表。</w:t>
      </w:r>
    </w:p>
    <w:p>
      <w:pPr>
        <w:widowControl/>
        <w:spacing w:line="280" w:lineRule="exact"/>
        <w:jc w:val="left"/>
        <w:outlineLvl w:val="1"/>
        <w:sectPr>
          <w:footerReference r:id="rId4" w:type="even"/>
          <w:pgSz w:w="11906" w:h="16838"/>
          <w:pgMar w:top="2098" w:right="1418" w:bottom="1928" w:left="1588" w:header="851" w:footer="992" w:gutter="0"/>
          <w:pgNumType w:start="1"/>
          <w:cols w:space="720" w:num="1"/>
          <w:docGrid w:linePitch="312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2022</w:t>
      </w:r>
      <w:r>
        <w:rPr>
          <w:rFonts w:hint="eastAsia" w:ascii="黑体" w:hAnsi="黑体" w:eastAsia="黑体"/>
          <w:kern w:val="0"/>
          <w:sz w:val="32"/>
          <w:szCs w:val="32"/>
        </w:rPr>
        <w:t>年昌吉州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</w:t>
      </w:r>
      <w:r>
        <w:rPr>
          <w:rFonts w:hint="eastAsia" w:ascii="黑体" w:hAnsi="黑体" w:eastAsia="黑体"/>
          <w:kern w:val="0"/>
          <w:sz w:val="32"/>
          <w:szCs w:val="32"/>
        </w:rPr>
        <w:t>预算情况说明</w:t>
      </w: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年所有收入和支出均纳入单位预算管理。收支总预算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支出预算包括：一般公共服务支出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120.14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万元、社会保障和就业支出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万元、卫生健康支出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、住房保障支出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6.11万元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万元，占100%，比上年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7.66%，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社科联增加员额控制人员，预算收入增加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政府性基金预算未安排。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国有资本经营预算未安排。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年支出预算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56.79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14.33%，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社科联增加员额控制人员，预算支出增加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43.21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0万元，增长0%，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收入预算包括：一般公共预算拨款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b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一般公共预算支出包括：一般公共服务支出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万元，主要用于社科联人员经费、公用支出以及开展业务工作项目支出等</w:t>
      </w:r>
      <w:r>
        <w:rPr>
          <w:rFonts w:hint="eastAsia" w:ascii="仿宋" w:hAnsi="仿宋" w:eastAsia="仿宋" w:cs="仿宋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138.85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9.88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14.33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增加员额控制人员，预算收入有所增加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比上年预算增加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0万元，增长0%，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主要原因是项目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保持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（二）一般公共预算当年拨款结构情况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1.一般公共服务支出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120.14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kern w:val="0"/>
          <w:sz w:val="32"/>
          <w:szCs w:val="32"/>
        </w:rPr>
        <w:t>.社会保障和就业支出</w:t>
      </w:r>
      <w:r>
        <w:rPr>
          <w:rFonts w:hint="eastAsia" w:ascii="仿宋" w:hAnsi="仿宋" w:eastAsia="仿宋" w:cs="仿宋"/>
          <w:bCs/>
          <w:sz w:val="32"/>
          <w:szCs w:val="32"/>
          <w:lang w:val="en-US" w:eastAsia="zh-CN"/>
        </w:rPr>
        <w:t>7.1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32"/>
          <w:szCs w:val="32"/>
        </w:rPr>
        <w:t>.卫生健康支出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5.50</w:t>
      </w:r>
      <w:r>
        <w:rPr>
          <w:rFonts w:hint="eastAsia" w:ascii="仿宋" w:hAnsi="仿宋" w:eastAsia="仿宋" w:cs="仿宋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3.96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</w:t>
      </w:r>
    </w:p>
    <w:p>
      <w:pPr>
        <w:spacing w:line="580" w:lineRule="exact"/>
        <w:ind w:firstLine="640"/>
        <w:rPr>
          <w:rFonts w:hint="default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4.住房保障支出6.11万元，占4.4%。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  <w:highlight w:val="none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  <w:highlight w:val="none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宣传事务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（款）行政运行（项）: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60.14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%。主要原因是：社科联人员工资、津贴补贴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有调整，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公务用车维护支出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预算重新核算有所增加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kern w:val="0"/>
          <w:sz w:val="32"/>
          <w:szCs w:val="32"/>
        </w:rPr>
        <w:t>2.</w:t>
      </w:r>
      <w:r>
        <w:rPr>
          <w:rFonts w:ascii="仿宋_GB2312" w:hAnsi="宋体" w:eastAsia="仿宋_GB2312" w:cs="宋体"/>
          <w:kern w:val="0"/>
          <w:sz w:val="32"/>
          <w:szCs w:val="32"/>
        </w:rPr>
        <w:t>一般公共服务（类）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宣传事务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一般行政管理事务</w:t>
      </w:r>
      <w:r>
        <w:rPr>
          <w:rFonts w:ascii="仿宋_GB2312" w:hAnsi="宋体" w:eastAsia="仿宋_GB2312" w:cs="宋体"/>
          <w:kern w:val="0"/>
          <w:sz w:val="32"/>
          <w:szCs w:val="32"/>
        </w:rPr>
        <w:t>（项）: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60</w:t>
      </w:r>
      <w:r>
        <w:rPr>
          <w:rFonts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相比无变化。</w:t>
      </w:r>
    </w:p>
    <w:p>
      <w:pPr>
        <w:spacing w:line="580" w:lineRule="exact"/>
        <w:ind w:firstLine="64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3.社会保障和就业支出（类）行政事业单位养老支出（款）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行政单位离退休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功能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科目调整。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社会保障和就业支出（类）行政事业单位养老支出（款）机关事业单位基本养老保险缴费支出（项）：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12.90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%。主要原因是：社科联人员工资、津贴补贴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有调整，社保缴费有所增加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80" w:lineRule="exact"/>
        <w:ind w:firstLine="64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.卫生健康支出（类）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行政事业单位医疗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（款）行政单位医疗（项）：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4.16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功能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科目调整。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公务员医疗补助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功能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科目调整。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卫生健康支出（类）行政事业单位医疗（款）其他行政事业单位医疗支出（项）：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5.92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功能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科目调整。</w:t>
      </w:r>
    </w:p>
    <w:p>
      <w:pPr>
        <w:spacing w:line="58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住房保障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支出（类）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住房改革支出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（款）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（项）：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预算数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万元，增长100%。主要原因是：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功能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科目调整。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</w:t>
      </w:r>
      <w:r>
        <w:rPr>
          <w:rFonts w:hint="eastAsia" w:ascii="黑体" w:hAnsi="黑体" w:eastAsia="黑体"/>
          <w:kern w:val="0"/>
          <w:sz w:val="32"/>
          <w:szCs w:val="32"/>
        </w:rPr>
        <w:t>昌吉州</w:t>
      </w:r>
      <w:r>
        <w:rPr>
          <w:rFonts w:hint="eastAsia" w:ascii="黑体" w:hAnsi="黑体" w:eastAsia="黑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78.85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 其中：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71.32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22.03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1.80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城镇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职工基本医疗保险缴费4.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万元、公务员医疗补助缴费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其他社会保障缴费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0.03万元、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住房公积金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6.11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工资福利支出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7.10万元、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对个人和家庭的补助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1.46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万元，主要包括：办公费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2.31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万元、差旅费0.50万元、维修（护）费0.50万元、公务接待费0.04万元、工会经费0.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万元、公务用车运行维护费支出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万元、其他商品和服务支出0.6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七、关于昌吉州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（一）项目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黑体" w:eastAsia="仿宋_GB2312"/>
          <w:sz w:val="32"/>
          <w:szCs w:val="32"/>
          <w:lang w:eastAsia="zh-CN"/>
        </w:rPr>
        <w:t>社会科学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科普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活动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每年州财政安排我单位的专项经费。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商品和服务支出用于开展科普专项业务经费。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：哲学社会科学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理论研讨课题经费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每年州财政安排我单位的专项经费。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商品和服务支出用于开展</w:t>
      </w:r>
      <w:r>
        <w:rPr>
          <w:rFonts w:hint="eastAsia" w:ascii="仿宋_GB2312" w:hAnsi="黑体" w:eastAsia="仿宋_GB2312"/>
          <w:sz w:val="32"/>
          <w:szCs w:val="32"/>
        </w:rPr>
        <w:t>哲学社会科学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理论研讨课题研究经费。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：社科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理论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研究人员服务保障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每年州财政安排我单位的专项经费。</w:t>
      </w:r>
    </w:p>
    <w:p>
      <w:pPr>
        <w:widowControl/>
        <w:spacing w:line="580" w:lineRule="exact"/>
        <w:ind w:left="636" w:leftChars="303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widowControl/>
        <w:spacing w:line="58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昌吉州社科联</w:t>
      </w:r>
    </w:p>
    <w:p>
      <w:pPr>
        <w:widowControl/>
        <w:spacing w:line="580" w:lineRule="exact"/>
        <w:ind w:firstLine="64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商品和服务支出用于开展</w:t>
      </w:r>
      <w:r>
        <w:rPr>
          <w:rFonts w:hint="eastAsia" w:ascii="仿宋_GB2312" w:hAnsi="黑体" w:eastAsia="仿宋_GB2312"/>
          <w:sz w:val="32"/>
          <w:szCs w:val="32"/>
        </w:rPr>
        <w:t>社会科学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理论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研究人员服务保障等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经费。</w:t>
      </w:r>
    </w:p>
    <w:p>
      <w:pPr>
        <w:widowControl/>
        <w:spacing w:line="580" w:lineRule="exact"/>
        <w:ind w:firstLine="640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八、关于昌吉州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0.04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未安排预算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；公务用车购置费为0万元，未安排预算。公务用车运行费增加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车辆使用年限较长，修理费增加，调整预算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；公务接待费增加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，主要原因是厉行节约，严控接待费支出，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公务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接待费与上年保持一致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九、关于昌吉州</w:t>
      </w:r>
      <w:r>
        <w:rPr>
          <w:rFonts w:hint="eastAsia" w:ascii="黑体" w:hAnsi="宋体" w:eastAsia="黑体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的机关运行经费财政拨款预算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7.53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社科联牢固树立勤俭节约意识，全面落实中央过紧日子要求，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压缩行政支出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FF0000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年，昌吉州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政府采购预算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36.24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万元，其中：政府采购货物预算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6.82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万元，政府采购工程预算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万元，政府采购服务预算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  <w:lang w:val="en-US" w:eastAsia="zh-CN"/>
        </w:rPr>
        <w:t>29.42</w:t>
      </w:r>
      <w:r>
        <w:rPr>
          <w:rFonts w:hint="eastAsia" w:ascii="仿宋_GB2312" w:hAnsi="宋体" w:eastAsia="仿宋_GB2312" w:cs="宋体"/>
          <w:color w:val="auto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color w:val="auto"/>
          <w:kern w:val="0"/>
          <w:sz w:val="32"/>
          <w:szCs w:val="32"/>
        </w:rPr>
      </w:pPr>
      <w:r>
        <w:rPr>
          <w:rFonts w:hint="eastAsia" w:ascii="仿宋_GB2312" w:hAnsi="仿宋_GB2312" w:eastAsia="仿宋_GB2312"/>
          <w:color w:val="auto"/>
          <w:sz w:val="32"/>
          <w:lang w:eastAsia="zh-CN"/>
        </w:rPr>
        <w:t>2022</w:t>
      </w:r>
      <w:r>
        <w:rPr>
          <w:rFonts w:hint="eastAsia" w:ascii="仿宋_GB2312" w:hAnsi="仿宋_GB2312" w:eastAsia="仿宋_GB2312"/>
          <w:color w:val="auto"/>
          <w:sz w:val="32"/>
        </w:rPr>
        <w:t>年度本单位面向中小企业预留政府采购项目预算金额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22.12</w:t>
      </w:r>
      <w:r>
        <w:rPr>
          <w:rFonts w:hint="eastAsia" w:ascii="仿宋_GB2312" w:hAnsi="仿宋_GB2312" w:eastAsia="仿宋_GB2312"/>
          <w:color w:val="auto"/>
          <w:sz w:val="32"/>
        </w:rPr>
        <w:t>万元，其中：面向小微企业预留政府采购项目预算金额</w:t>
      </w:r>
      <w:r>
        <w:rPr>
          <w:rFonts w:hint="eastAsia" w:ascii="仿宋_GB2312" w:hAnsi="仿宋_GB2312" w:eastAsia="仿宋_GB2312"/>
          <w:color w:val="auto"/>
          <w:sz w:val="32"/>
          <w:lang w:val="en-US" w:eastAsia="zh-CN"/>
        </w:rPr>
        <w:t>22.12</w:t>
      </w:r>
      <w:r>
        <w:rPr>
          <w:rFonts w:hint="eastAsia" w:ascii="仿宋_GB2312" w:hAnsi="仿宋_GB2312" w:eastAsia="仿宋_GB2312"/>
          <w:color w:val="auto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截至202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平方米，价值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2.车辆0辆，价值0万元；其中：一般公务用车0辆，价值0万元；执法执勤用车0辆，价值0万元；其他车辆0辆，价值0万元。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29.05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部门预算未安排购置车辆经费，安排购置50万元以上大型设备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60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rPr>
          <w:rFonts w:hint="eastAsia" w:ascii="仿宋_GB2312" w:hAnsi="宋体" w:eastAsia="仿宋_GB2312" w:cs="宋体"/>
          <w:kern w:val="0"/>
          <w:sz w:val="32"/>
          <w:szCs w:val="32"/>
        </w:rPr>
      </w:pPr>
    </w:p>
    <w:tbl>
      <w:tblPr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社科联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社科理论研究人员服务保障经费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聘用社科工作者，保障社科联日常工作正常运转，为进一步扩大社会科学知识知晓率贡献力量。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聘用发放人数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=2人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聘用发放次数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=12次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聘用人员出勤率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发放资金及时率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工作完成时间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12月31日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聘用人员资金数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&lt;=13.70万元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办公正常运转资金数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&lt;=9.30万元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保障人员、办公、车辆等，使社会科学研究工作得到大力支持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得到加强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社会科学知识知晓率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</w:rPr>
              <w:t>单位职工对社科联的满意度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&gt;=95%</w:t>
            </w:r>
          </w:p>
        </w:tc>
      </w:tr>
    </w:tbl>
    <w:p>
      <w:pPr>
        <w:widowControl/>
        <w:spacing w:line="480" w:lineRule="exact"/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/>
        </w:sectPr>
      </w:pPr>
    </w:p>
    <w:tbl>
      <w:tblPr>
        <w:tblW w:w="881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60"/>
        <w:gridCol w:w="1452"/>
        <w:gridCol w:w="1224"/>
        <w:gridCol w:w="1476"/>
        <w:gridCol w:w="1039"/>
        <w:gridCol w:w="1481"/>
        <w:gridCol w:w="1183"/>
      </w:tblGrid>
      <w:tr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社科联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社会科学科普活动经费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0"/>
                <w:szCs w:val="10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根据《新疆维吾尔自治区社会科学普及条例》精神，大力开展社科普及活动，通过开展社会科学普及系列活动，发放各类社科宣传品、社科类图书、进一步提升广大干部群众对中华民族共同体意识的认同感。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发放社科普及宣传品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&gt;=200册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组织开展基层社科普及宣传活动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&gt;=2场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印刷各类社科类宣传品种类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&gt;=3种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购买图书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&gt;=400本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印刷各类社科类宣传品合格率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发放社科普及宣传品及时率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按时间节点完成社科普及宣传活动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12月31日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开展社会科学普及活动资金数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&lt;=4万元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社会科学普及宣传资金数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&lt;=14万元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购买图书资金数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&lt;=2万元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组织实施社会科学普及系列活动，进一步提升群众对社会科学的认识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有效提升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深入宣传阐释习近平新时代中国特色社会主义思想，不断提升社会科学的影响力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不断提升</w:t>
            </w:r>
          </w:p>
        </w:tc>
      </w:tr>
      <w:tr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服务对象满意度指标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&gt;=90%</w:t>
            </w:r>
          </w:p>
        </w:tc>
      </w:tr>
      <w:tr>
        <w:trPr>
          <w:trHeight w:val="4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</w:rPr>
              <w:t>项  目  支  出  绩  效  目  标  表</w:t>
            </w:r>
          </w:p>
        </w:tc>
      </w:tr>
      <w:tr>
        <w:trPr>
          <w:trHeight w:val="380" w:hRule="atLeast"/>
        </w:trPr>
        <w:tc>
          <w:tcPr>
            <w:tcW w:w="881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eastAsia="zh-CN"/>
              </w:rPr>
              <w:t>2022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年）</w:t>
            </w:r>
          </w:p>
        </w:tc>
      </w:tr>
      <w:tr>
        <w:trPr>
          <w:trHeight w:val="5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预算单位</w:t>
            </w:r>
          </w:p>
        </w:tc>
        <w:tc>
          <w:tcPr>
            <w:tcW w:w="41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昌吉州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社科联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项目名称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哲学社会科学理论研讨课题经费</w:t>
            </w:r>
          </w:p>
        </w:tc>
      </w:tr>
      <w:tr>
        <w:trPr>
          <w:trHeight w:val="5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项目资金（万元）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年度资金总额：</w:t>
            </w:r>
          </w:p>
        </w:tc>
        <w:tc>
          <w:tcPr>
            <w:tcW w:w="12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4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其中：财政拨款</w:t>
            </w:r>
          </w:p>
        </w:tc>
        <w:tc>
          <w:tcPr>
            <w:tcW w:w="10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hint="default" w:ascii="宋体" w:hAnsi="宋体" w:eastAsia="宋体" w:cs="宋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val="en-US" w:eastAsia="zh-CN"/>
              </w:rPr>
              <w:t>17</w:t>
            </w:r>
          </w:p>
        </w:tc>
        <w:tc>
          <w:tcPr>
            <w:tcW w:w="1481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其他资金</w:t>
            </w:r>
          </w:p>
        </w:tc>
        <w:tc>
          <w:tcPr>
            <w:tcW w:w="11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</w:tr>
      <w:tr>
        <w:trPr>
          <w:trHeight w:val="110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项目总体目标</w:t>
            </w:r>
          </w:p>
        </w:tc>
        <w:tc>
          <w:tcPr>
            <w:tcW w:w="785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top"/>
          </w:tcPr>
          <w:p>
            <w:pPr>
              <w:spacing w:line="480" w:lineRule="exact"/>
              <w:jc w:val="left"/>
              <w:rPr>
                <w:rFonts w:hint="eastAsia" w:ascii="宋体" w:hAnsi="宋体" w:eastAsia="宋体" w:cs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18"/>
                <w:szCs w:val="18"/>
                <w:lang w:eastAsia="zh-CN"/>
              </w:rPr>
              <w:t>围绕社会稳定和长治久安总目标，组织引导自治州社会科学工作者开展青年学者论坛、理论宣讲和研讨，通过开展青年学者论坛、理论宣讲和研讨等活动，提升昌吉州社科理论研究水平。</w:t>
            </w:r>
          </w:p>
        </w:tc>
      </w:tr>
      <w:tr>
        <w:trPr>
          <w:trHeight w:val="48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一级指标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二级指标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三级指标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18"/>
                <w:szCs w:val="18"/>
              </w:rPr>
              <w:t>指标值（包含数字及文字描述）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产出指标</w:t>
            </w: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数量指标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完成基层宣讲调研次数（次）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&gt;=2次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征集优秀论文数量（篇）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&gt;=12篇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举办青年学者论坛次数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&gt;=1次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质量指标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征集优秀论文数量合格率（%）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时效指标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基层调研宣讲完成率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=100%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按时完成论坛活动、理论宣讲、研讨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12月31日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成本指标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青年学者论坛活动资金数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&lt;=8.50万元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理论宣讲活动资金数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&lt;=2.70万元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理论研讨支出资金数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&lt;=5.80万元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社会效益指标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社会科学学科影响力得到提升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有效提高</w:t>
            </w:r>
          </w:p>
        </w:tc>
      </w:tr>
      <w:tr>
        <w:trPr>
          <w:trHeight w:val="440" w:hRule="atLeast"/>
        </w:trPr>
        <w:tc>
          <w:tcPr>
            <w:tcW w:w="96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spacing w:line="480" w:lineRule="exact"/>
              <w:jc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可持续影响指标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发挥好社科联优势，不断为州党委、政府的决策部署提供理论依据。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长期</w:t>
            </w:r>
          </w:p>
        </w:tc>
      </w:tr>
      <w:tr>
        <w:trPr>
          <w:trHeight w:val="440" w:hRule="atLeast"/>
        </w:trPr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14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spacing w:line="480" w:lineRule="exact"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满意度指标</w:t>
            </w:r>
          </w:p>
        </w:tc>
        <w:tc>
          <w:tcPr>
            <w:tcW w:w="373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群众满意度</w:t>
            </w:r>
          </w:p>
        </w:tc>
        <w:tc>
          <w:tcPr>
            <w:tcW w:w="26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/>
              </w:rPr>
              <w:t>&gt;=90%</w:t>
            </w:r>
          </w:p>
        </w:tc>
      </w:tr>
    </w:tbl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30" w:firstLineChars="196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无其他需要说明的事项。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三、财政专户管理资金：</w:t>
      </w:r>
      <w:r>
        <w:rPr>
          <w:rFonts w:hint="eastAsia" w:ascii="仿宋_GB2312" w:eastAsia="仿宋_GB2312"/>
          <w:sz w:val="32"/>
          <w:szCs w:val="32"/>
        </w:rPr>
        <w:t>包括专户管理行政事业性收费（主要是教育收费）、其他非税收入。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四、其他资金：</w:t>
      </w:r>
      <w:r>
        <w:rPr>
          <w:rFonts w:hint="eastAsia" w:ascii="仿宋_GB2312" w:eastAsia="仿宋_GB2312"/>
          <w:sz w:val="32"/>
          <w:szCs w:val="32"/>
        </w:rPr>
        <w:t>包括事业收入、事业经营收入、其他收入等。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部门（单位）支出预算的组成部分，是州本级部门（单位）为完成其特定的行政任务或事业发展目标，在基本支出预算之外编制的年度项目支出计划。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七、“三公”经费：</w:t>
      </w:r>
      <w:r>
        <w:rPr>
          <w:rFonts w:hint="eastAsia" w:ascii="仿宋_GB2312" w:eastAsia="仿宋_GB2312"/>
          <w:sz w:val="32"/>
          <w:szCs w:val="32"/>
        </w:rPr>
        <w:t>指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昌吉州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社科联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2022</w:t>
      </w:r>
      <w:r>
        <w:rPr>
          <w:rFonts w:ascii="仿宋_GB2312" w:hAnsi="宋体" w:eastAsia="仿宋_GB2312" w:cs="宋体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pgNumType w:start="1"/>
      <w:cols w:space="720" w:num="1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黑体"/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Helvetica">
    <w:altName w:val="Arial"/>
    <w:panose1 w:val="020B0604020202020204"/>
    <w:charset w:val="00"/>
    <w:family w:val="auto"/>
    <w:pitch w:val="default"/>
    <w:sig w:usb0="00000000" w:usb1="00000000" w:usb2="00000009" w:usb3="00000000" w:csb0="000001FF" w:csb1="00000000"/>
  </w:font>
  <w:font w:name="Dialog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9 -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style w:type="paragraph" w:default="1" w:styleId="1">
    <w:name w:val="Normal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</w:style>
  <w:style w:type="paragraph" w:styleId="2">
    <w:name w:val="footer"/>
    <w:basedOn w:val="1"/>
    <w:link w:val="3"/>
    <w:pPr>
      <w:tabs>
        <w:tab w:val="center" w:pos="4153"/>
        <w:tab w:val="right" w:pos="8306"/>
      </w:tabs>
      <w:snapToGrid w:val="0"/>
      <w:jc w:val="left"/>
    </w:pPr>
    <w:rPr>
      <w:rFonts w:eastAsia="黑体"/>
      <w:sz w:val="18"/>
      <w:szCs w:val="18"/>
    </w:rPr>
  </w:style>
  <w:style w:type="character" w:customStyle="1" w:styleId="3">
    <w:name w:val="页脚 Char"/>
    <w:link w:val="2"/>
    <w:semiHidden/>
    <w:rPr>
      <w:rFonts w:eastAsia="黑体"/>
      <w:sz w:val="18"/>
      <w:szCs w:val="18"/>
    </w:rPr>
  </w:style>
  <w:style w:type="paragraph" w:styleId="4">
    <w:name w:val="header"/>
    <w:basedOn w:val="1"/>
    <w:link w:val="5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5">
    <w:name w:val="页眉 Char"/>
    <w:link w:val="4"/>
    <w:semiHidden/>
    <w:rPr>
      <w:sz w:val="18"/>
      <w:szCs w:val="18"/>
    </w:rPr>
  </w:style>
  <w:style w:type="character" w:customStyle="1" w:styleId="6">
    <w:name w:val="正文文本缩进 3 Char"/>
    <w:link w:val="7"/>
    <w:semiHidden/>
    <w:rPr>
      <w:rFonts w:eastAsia="仿宋_GB2312"/>
      <w:sz w:val="32"/>
      <w:szCs w:val="24"/>
    </w:rPr>
  </w:style>
  <w:style w:type="paragraph" w:customStyle="1" w:styleId="7">
    <w:name w:val="Body Text Indent 3"/>
    <w:basedOn w:val="1"/>
    <w:link w:val="6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/>
      <w:sz w:val="32"/>
      <w:szCs w:val="24"/>
    </w:rPr>
  </w:style>
  <w:style w:type="paragraph" w:customStyle="1" w:styleId="9">
    <w:name w:val="批注框文本 Char Char"/>
    <w:basedOn w:val="1"/>
    <w:link w:val="10"/>
    <w:rPr>
      <w:sz w:val="18"/>
      <w:szCs w:val="18"/>
    </w:rPr>
  </w:style>
  <w:style w:type="character" w:customStyle="1" w:styleId="10">
    <w:name w:val="批注框文本 Char Char Char"/>
    <w:link w:val="9"/>
    <w:semiHidden/>
    <w:rPr>
      <w:sz w:val="18"/>
      <w:szCs w:val="18"/>
    </w:rPr>
  </w:style>
  <w:style w:type="character" w:customStyle="1" w:styleId="11">
    <w:name w:val="页眉 Char1"/>
    <w:basedOn w:val="8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正文文本缩进 3 Char1"/>
    <w:basedOn w:val="8"/>
    <w:rPr>
      <w:rFonts w:ascii="Times New Roman" w:hAnsi="Times New Roman" w:eastAsia="宋体" w:cs="Times New Roman"/>
      <w:sz w:val="16"/>
      <w:szCs w:val="16"/>
    </w:rPr>
  </w:style>
  <w:style w:type="character" w:customStyle="1" w:styleId="13">
    <w:name w:val="页脚 Char1"/>
    <w:basedOn w:val="8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批注框文本 Char1"/>
    <w:basedOn w:val="8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fontTable" Target="fontTable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22</Pages>
  <Words>1297</Words>
  <Characters>7395</Characters>
  <Lines>61</Lines>
  <Paragraphs>17</Paragraphs>
  <ScaleCrop>false</ScaleCrop>
  <LinksUpToDate>false</LinksUpToDate>
  <CharactersWithSpaces>0</CharactersWithSpaces>
  <Application>WPS Office 专业版_9.1.0.4167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2021-02-07T18:26:00Z</dcterms:created>
  <dc:creator>闫超</dc:creator>
  <cp:lastPrinted>2021-02-08T05:18:00Z</cp:lastPrinted>
  <dcterms:modified xsi:type="dcterms:W3CDTF">2022-04-19T13:24:06Z</dcterms:modified>
  <dc:title>Administrator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2052-9.1.0.4167</vt:lpwstr>
  </property>
</Properties>
</file>