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昌吉州地质环境监测站</w:t>
      </w:r>
      <w:r>
        <w:rPr>
          <w:rFonts w:hint="eastAsia" w:ascii="方正小标宋_GBK" w:hAnsi="宋体" w:eastAsia="方正小标宋_GBK"/>
          <w:kern w:val="0"/>
          <w:sz w:val="44"/>
          <w:szCs w:val="44"/>
          <w:lang w:val="en-US" w:eastAsia="zh-CN"/>
        </w:rPr>
        <w:t>2022年</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昌吉州地质环境监测站概况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一、关于昌吉州地质环境监测站2022年收支预算情况的总体说明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二、关于昌吉州地质环境监测站2022年收入预算情况说明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三、关于昌吉州地质环境监测站2022年支出预算情况说明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rPr>
        <w:t>昌吉州地质环境监测站2022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昌吉州地质环境监测站2022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昌吉州地质环境监测站2022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昌吉州地质环境监测站2022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八、关于昌吉州地质环境监测站2022年一般公共预算“三公”经费预算情况说明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九、关于昌吉州地质环境监测站2022年政府性基金预算拨款情况说明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昌吉州地质环境监测站概况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480" w:lineRule="exact"/>
        <w:ind w:firstLine="640" w:firstLineChars="200"/>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eastAsia="仿宋_GB2312"/>
          <w:sz w:val="32"/>
          <w:szCs w:val="32"/>
        </w:rPr>
        <w:t>承担区域地质环境调查，评价重要地质灾害、地下水动态及地下水环境监测以及监测数据资料汇总分析，为政府工作决策提供参考数据等职能，开展地下水动态监测，及时采集观测数据，按要求编制年度通报，组织编制年度地质环境监测工作计划及五年期地下水动态监测报告，编写地下水均衡试验及蒸发综合研究报告，开展凝结水高矿氏地下水植被生长状态研究编制中子仪，负压计观测日报表，组织负压计除气（维护）及试验区作物管理工作，按时做好各项资料汇总工作，积极开展资料综合研究工作等。</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昌吉州地质环境监测站</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3</w:t>
      </w:r>
      <w:r>
        <w:rPr>
          <w:rFonts w:hint="eastAsia" w:ascii="仿宋_GB2312" w:hAnsi="黑体" w:eastAsia="仿宋_GB2312" w:cs="宋体"/>
          <w:bCs/>
          <w:kern w:val="0"/>
          <w:sz w:val="32"/>
          <w:szCs w:val="32"/>
        </w:rPr>
        <w:t>个科室，分别是：</w:t>
      </w:r>
      <w:r>
        <w:rPr>
          <w:rFonts w:hint="eastAsia" w:ascii="仿宋_GB2312" w:eastAsia="仿宋_GB2312"/>
          <w:sz w:val="32"/>
          <w:szCs w:val="32"/>
        </w:rPr>
        <w:t>综合研究室、地下水监测科、地下水试验科</w:t>
      </w:r>
      <w:r>
        <w:rPr>
          <w:rFonts w:hint="eastAsia" w:ascii="仿宋_GB2312" w:hAnsi="宋体" w:eastAsia="仿宋_GB2312" w:cs="宋体"/>
          <w:kern w:val="0"/>
          <w:sz w:val="32"/>
          <w:szCs w:val="32"/>
        </w:rPr>
        <w:t>。</w:t>
      </w:r>
    </w:p>
    <w:p>
      <w:pPr>
        <w:widowControl/>
        <w:spacing w:line="54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昌吉州地质环境监测站编制数</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个，实有人数</w:t>
      </w:r>
      <w:r>
        <w:rPr>
          <w:rFonts w:hint="eastAsia" w:ascii="仿宋_GB2312" w:hAnsi="宋体" w:eastAsia="仿宋_GB2312" w:cs="宋体"/>
          <w:kern w:val="0"/>
          <w:sz w:val="32"/>
          <w:szCs w:val="32"/>
          <w:lang w:val="en-US" w:eastAsia="zh-CN"/>
        </w:rPr>
        <w:t>13</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40" w:lineRule="exact"/>
        <w:ind w:firstLine="640"/>
        <w:jc w:val="left"/>
        <w:rPr>
          <w:rFonts w:hint="eastAsia" w:ascii="仿宋_GB2312" w:hAnsi="宋体" w:eastAsia="仿宋_GB2312" w:cs="宋体"/>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both"/>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hint="eastAsia" w:ascii="仿宋_GB2312" w:hAnsi="宋体" w:eastAsia="仿宋_GB2312" w:cs="宋体"/>
          <w:kern w:val="0"/>
          <w:sz w:val="32"/>
          <w:szCs w:val="32"/>
        </w:rPr>
      </w:pPr>
      <w:r>
        <w:rPr>
          <w:rFonts w:hint="eastAsia" w:ascii="仿宋_GB2312" w:hAnsi="宋体" w:eastAsia="仿宋_GB2312"/>
          <w:b/>
          <w:kern w:val="0"/>
          <w:sz w:val="32"/>
          <w:szCs w:val="32"/>
        </w:rPr>
        <w:t>部门（单位）收支总体情况表</w:t>
      </w:r>
    </w:p>
    <w:p>
      <w:pPr>
        <w:widowControl/>
        <w:spacing w:line="540" w:lineRule="exact"/>
        <w:jc w:val="left"/>
        <w:rPr>
          <w:rFonts w:ascii="仿宋_GB2312" w:hAnsi="宋体" w:eastAsia="仿宋_GB2312"/>
          <w:kern w:val="0"/>
          <w:sz w:val="24"/>
        </w:rPr>
      </w:pPr>
      <w:r>
        <w:rPr>
          <w:rFonts w:hint="eastAsia" w:ascii="仿宋_GB2312" w:hAnsi="宋体" w:eastAsia="仿宋_GB2312"/>
          <w:kern w:val="0"/>
          <w:sz w:val="24"/>
        </w:rPr>
        <w:t xml:space="preserve">编制部门（单位）： 昌吉州地质环境监测站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eastAsia="zh-CN"/>
        </w:rPr>
        <w:t>单位：万元</w:t>
      </w:r>
      <w:r>
        <w:rPr>
          <w:rFonts w:hint="eastAsia" w:ascii="仿宋_GB2312" w:hAnsi="宋体" w:eastAsia="仿宋_GB2312"/>
          <w:kern w:val="0"/>
          <w:sz w:val="24"/>
        </w:rPr>
        <w:t xml:space="preserve">                 </w:t>
      </w:r>
    </w:p>
    <w:tbl>
      <w:tblPr>
        <w:tblStyle w:val="6"/>
        <w:tblW w:w="8662" w:type="dxa"/>
        <w:tblInd w:w="93" w:type="dxa"/>
        <w:tblLayout w:type="autofit"/>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210.65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18.14</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14.17</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162.22</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16.12</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210.65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210.65</w:t>
            </w:r>
            <w:r>
              <w:rPr>
                <w:rFonts w:hint="eastAsia" w:ascii="仿宋_GB2312" w:hAnsi="宋体" w:eastAsia="仿宋_GB2312" w:cs="宋体"/>
                <w:kern w:val="0"/>
                <w:sz w:val="18"/>
                <w:szCs w:val="18"/>
              </w:rPr>
              <w:t>　</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left"/>
        <w:outlineLvl w:val="1"/>
        <w:rPr>
          <w:rFonts w:hint="eastAsia" w:ascii="仿宋_GB2312" w:hAnsi="宋体" w:eastAsia="仿宋_GB2312"/>
          <w:kern w:val="0"/>
          <w:sz w:val="24"/>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编制部门（单位）：昌吉州地质环境监测站                      单位：万元</w:t>
      </w:r>
    </w:p>
    <w:tbl>
      <w:tblPr>
        <w:tblStyle w:val="6"/>
        <w:tblW w:w="9741" w:type="dxa"/>
        <w:tblInd w:w="-450" w:type="dxa"/>
        <w:tblLayout w:type="fixed"/>
        <w:tblCellMar>
          <w:top w:w="0" w:type="dxa"/>
          <w:left w:w="108" w:type="dxa"/>
          <w:bottom w:w="0" w:type="dxa"/>
          <w:right w:w="108" w:type="dxa"/>
        </w:tblCellMar>
      </w:tblPr>
      <w:tblGrid>
        <w:gridCol w:w="417"/>
        <w:gridCol w:w="417"/>
        <w:gridCol w:w="417"/>
        <w:gridCol w:w="2145"/>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2"/>
                <w:sz w:val="20"/>
                <w:szCs w:val="20"/>
                <w:lang w:val="en-US" w:eastAsia="zh-CN" w:bidi="ar-SA"/>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社会保障和就业支出</w:t>
            </w:r>
          </w:p>
        </w:tc>
        <w:tc>
          <w:tcPr>
            <w:tcW w:w="1018"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18.14</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18.14</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行政事业单位养老支出</w:t>
            </w:r>
          </w:p>
        </w:tc>
        <w:tc>
          <w:tcPr>
            <w:tcW w:w="101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18.14</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18.14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事业单位离退休</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机关事业单位基本养老保险缴费支出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18.04</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18.04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卫生健康支出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14.17</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14.17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行政事业单位医疗</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14.17</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14.17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事业单位医疗</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10.71</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10.71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03</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公务员医疗补助</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3.38</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3.38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99</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其他行政事业单位医疗支出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0.08</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0.08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自然资源海洋气象等支出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162.22</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162.22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20"/>
                <w:szCs w:val="20"/>
                <w:lang w:val="en-US" w:eastAsia="zh-CN" w:bidi="ar-SA"/>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自然资源事务</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162.22</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162.22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20"/>
                <w:szCs w:val="20"/>
                <w:lang w:val="en-US" w:eastAsia="zh-CN" w:bidi="ar-SA"/>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50</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事业运行</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132.22</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132.22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220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01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99</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其他自然资源事务支出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221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住房保障支出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16.12</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16.12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221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02</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住房改革支出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16.12</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16.12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住房公积金</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16.12</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16.12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210.65</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210.65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jc w:val="left"/>
        <w:outlineLvl w:val="1"/>
        <w:rPr>
          <w:rFonts w:hint="eastAsia" w:ascii="仿宋_GB2312" w:hAnsi="宋体" w:eastAsia="仿宋_GB2312"/>
          <w:kern w:val="0"/>
          <w:sz w:val="24"/>
        </w:rPr>
      </w:pPr>
      <w:r>
        <w:rPr>
          <w:rFonts w:hint="eastAsia" w:ascii="仿宋_GB2312" w:hAnsi="宋体" w:eastAsia="仿宋_GB2312"/>
          <w:kern w:val="0"/>
          <w:sz w:val="24"/>
        </w:rPr>
        <w:t>编制部门（单位）：   昌吉州地质环境监测站                      单位：万元</w:t>
      </w:r>
    </w:p>
    <w:tbl>
      <w:tblPr>
        <w:tblStyle w:val="6"/>
        <w:tblW w:w="9420" w:type="dxa"/>
        <w:tblInd w:w="-240" w:type="dxa"/>
        <w:tblLayout w:type="autofit"/>
        <w:tblCellMar>
          <w:top w:w="0" w:type="dxa"/>
          <w:left w:w="108" w:type="dxa"/>
          <w:bottom w:w="0" w:type="dxa"/>
          <w:right w:w="108" w:type="dxa"/>
        </w:tblCellMar>
      </w:tblPr>
      <w:tblGrid>
        <w:gridCol w:w="516"/>
        <w:gridCol w:w="416"/>
        <w:gridCol w:w="416"/>
        <w:gridCol w:w="2554"/>
        <w:gridCol w:w="1823"/>
        <w:gridCol w:w="1824"/>
        <w:gridCol w:w="1871"/>
      </w:tblGrid>
      <w:tr>
        <w:tblPrEx>
          <w:tblCellMar>
            <w:top w:w="0" w:type="dxa"/>
            <w:left w:w="108" w:type="dxa"/>
            <w:bottom w:w="0" w:type="dxa"/>
            <w:right w:w="108" w:type="dxa"/>
          </w:tblCellMar>
        </w:tblPrEx>
        <w:trPr>
          <w:trHeight w:val="345" w:hRule="atLeast"/>
        </w:trPr>
        <w:tc>
          <w:tcPr>
            <w:tcW w:w="3902"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18"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5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2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7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5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7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社会保障和就业支出</w:t>
            </w:r>
          </w:p>
        </w:tc>
        <w:tc>
          <w:tcPr>
            <w:tcW w:w="182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18.14</w:t>
            </w:r>
          </w:p>
        </w:tc>
        <w:tc>
          <w:tcPr>
            <w:tcW w:w="182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18.14</w:t>
            </w: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行政事业单位养老支出</w:t>
            </w:r>
          </w:p>
        </w:tc>
        <w:tc>
          <w:tcPr>
            <w:tcW w:w="182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18.14</w:t>
            </w:r>
          </w:p>
        </w:tc>
        <w:tc>
          <w:tcPr>
            <w:tcW w:w="182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18.14</w:t>
            </w: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事业单位离退休</w:t>
            </w:r>
          </w:p>
        </w:tc>
        <w:tc>
          <w:tcPr>
            <w:tcW w:w="182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机关事业单位基本养老保险缴费支出</w:t>
            </w:r>
          </w:p>
        </w:tc>
        <w:tc>
          <w:tcPr>
            <w:tcW w:w="182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18.04</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18.04</w:t>
            </w: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卫生健康支出</w:t>
            </w:r>
          </w:p>
        </w:tc>
        <w:tc>
          <w:tcPr>
            <w:tcW w:w="182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14.17</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14.17</w:t>
            </w: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行政事业单位医疗</w:t>
            </w:r>
          </w:p>
        </w:tc>
        <w:tc>
          <w:tcPr>
            <w:tcW w:w="182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14.17</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14.17</w:t>
            </w: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事业单位医疗</w:t>
            </w:r>
          </w:p>
        </w:tc>
        <w:tc>
          <w:tcPr>
            <w:tcW w:w="182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10.71</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10.71</w:t>
            </w: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03</w:t>
            </w: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公务员医疗补助</w:t>
            </w:r>
          </w:p>
        </w:tc>
        <w:tc>
          <w:tcPr>
            <w:tcW w:w="182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3.38</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3.38</w:t>
            </w: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99</w:t>
            </w: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其他行政事业单位医疗支出</w:t>
            </w:r>
          </w:p>
        </w:tc>
        <w:tc>
          <w:tcPr>
            <w:tcW w:w="182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0.08</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0.08</w:t>
            </w:r>
          </w:p>
        </w:tc>
        <w:tc>
          <w:tcPr>
            <w:tcW w:w="18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自然资源海洋气象等支出</w:t>
            </w:r>
          </w:p>
        </w:tc>
        <w:tc>
          <w:tcPr>
            <w:tcW w:w="182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162.22</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132.22</w:t>
            </w:r>
          </w:p>
        </w:tc>
        <w:tc>
          <w:tcPr>
            <w:tcW w:w="18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w:t>
            </w: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自然资源事务</w:t>
            </w:r>
          </w:p>
        </w:tc>
        <w:tc>
          <w:tcPr>
            <w:tcW w:w="182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162.22</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132.22</w:t>
            </w:r>
          </w:p>
        </w:tc>
        <w:tc>
          <w:tcPr>
            <w:tcW w:w="18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w:t>
            </w: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50</w:t>
            </w: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事业运行</w:t>
            </w:r>
          </w:p>
        </w:tc>
        <w:tc>
          <w:tcPr>
            <w:tcW w:w="182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132.22</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132.22</w:t>
            </w:r>
          </w:p>
        </w:tc>
        <w:tc>
          <w:tcPr>
            <w:tcW w:w="18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220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99</w:t>
            </w: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其他自然资源事务支出</w:t>
            </w:r>
          </w:p>
        </w:tc>
        <w:tc>
          <w:tcPr>
            <w:tcW w:w="182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30</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p>
        </w:tc>
        <w:tc>
          <w:tcPr>
            <w:tcW w:w="18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w:t>
            </w: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221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住房保障支出</w:t>
            </w:r>
          </w:p>
        </w:tc>
        <w:tc>
          <w:tcPr>
            <w:tcW w:w="182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16.12</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16.12</w:t>
            </w:r>
          </w:p>
        </w:tc>
        <w:tc>
          <w:tcPr>
            <w:tcW w:w="18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221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02</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住房改革支出</w:t>
            </w:r>
          </w:p>
        </w:tc>
        <w:tc>
          <w:tcPr>
            <w:tcW w:w="182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16.12</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16.12</w:t>
            </w:r>
          </w:p>
        </w:tc>
        <w:tc>
          <w:tcPr>
            <w:tcW w:w="18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255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住房公积金</w:t>
            </w:r>
          </w:p>
        </w:tc>
        <w:tc>
          <w:tcPr>
            <w:tcW w:w="182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16.12</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16.12</w:t>
            </w:r>
          </w:p>
        </w:tc>
        <w:tc>
          <w:tcPr>
            <w:tcW w:w="18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8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8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8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8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8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8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2554" w:type="dxa"/>
            <w:tcBorders>
              <w:top w:val="nil"/>
              <w:left w:val="nil"/>
              <w:bottom w:val="single" w:color="auto" w:sz="4" w:space="0"/>
              <w:right w:val="single" w:color="auto" w:sz="4" w:space="0"/>
            </w:tcBorders>
            <w:vAlign w:val="center"/>
          </w:tcPr>
          <w:p>
            <w:pPr>
              <w:jc w:val="cente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8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250.65</w:t>
            </w:r>
          </w:p>
        </w:tc>
        <w:tc>
          <w:tcPr>
            <w:tcW w:w="182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180.65</w:t>
            </w:r>
          </w:p>
        </w:tc>
        <w:tc>
          <w:tcPr>
            <w:tcW w:w="187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w:t>
            </w:r>
          </w:p>
        </w:tc>
      </w:tr>
    </w:tbl>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jc w:val="left"/>
        <w:outlineLvl w:val="1"/>
        <w:rPr>
          <w:rFonts w:hint="eastAsia" w:ascii="仿宋_GB2312" w:hAnsi="宋体" w:eastAsia="仿宋_GB2312"/>
          <w:kern w:val="0"/>
          <w:sz w:val="24"/>
        </w:rPr>
      </w:pPr>
      <w:r>
        <w:rPr>
          <w:rFonts w:hint="eastAsia" w:ascii="仿宋_GB2312" w:hAnsi="宋体" w:eastAsia="仿宋_GB2312"/>
          <w:kern w:val="0"/>
          <w:sz w:val="24"/>
        </w:rPr>
        <w:t xml:space="preserve">编制部门（单位）昌吉州地质环境监测站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449" w:type="dxa"/>
        <w:tblInd w:w="-240" w:type="dxa"/>
        <w:tblLayout w:type="autofit"/>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215.65</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215.65</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18.14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18.14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kern w:val="0"/>
                <w:sz w:val="18"/>
                <w:szCs w:val="18"/>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14.17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14.17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162.22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162.22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16.12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16.12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215.65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210.65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210.65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ascii="仿宋_GB2312" w:hAnsi="宋体" w:eastAsia="仿宋_GB2312"/>
          <w:b/>
          <w:kern w:val="0"/>
          <w:sz w:val="28"/>
          <w:szCs w:val="32"/>
        </w:rPr>
        <w:t xml:space="preserve"> </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autofit"/>
        <w:tblCellMar>
          <w:top w:w="0" w:type="dxa"/>
          <w:left w:w="108" w:type="dxa"/>
          <w:bottom w:w="0" w:type="dxa"/>
          <w:right w:w="108" w:type="dxa"/>
        </w:tblCellMar>
      </w:tblPr>
      <w:tblGrid>
        <w:gridCol w:w="568"/>
        <w:gridCol w:w="492"/>
        <w:gridCol w:w="417"/>
        <w:gridCol w:w="2510"/>
        <w:gridCol w:w="1684"/>
        <w:gridCol w:w="216"/>
        <w:gridCol w:w="1626"/>
        <w:gridCol w:w="1701"/>
      </w:tblGrid>
      <w:tr>
        <w:trPr>
          <w:trHeight w:val="450" w:hRule="atLeast"/>
        </w:trPr>
        <w:tc>
          <w:tcPr>
            <w:tcW w:w="9214"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   昌吉州地质环境监测站                      </w:t>
            </w: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社会保障和就业支出</w:t>
            </w:r>
          </w:p>
        </w:tc>
        <w:tc>
          <w:tcPr>
            <w:tcW w:w="1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18.14</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18.14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行政事业单位养老支出</w:t>
            </w:r>
          </w:p>
        </w:tc>
        <w:tc>
          <w:tcPr>
            <w:tcW w:w="1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18.14</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18.14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事业单位离退休</w:t>
            </w:r>
          </w:p>
        </w:tc>
        <w:tc>
          <w:tcPr>
            <w:tcW w:w="1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机关事业单位基本养老保险缴费支出</w:t>
            </w:r>
          </w:p>
        </w:tc>
        <w:tc>
          <w:tcPr>
            <w:tcW w:w="168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18.04</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18.04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卫生健康支出</w:t>
            </w:r>
          </w:p>
        </w:tc>
        <w:tc>
          <w:tcPr>
            <w:tcW w:w="168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14.17</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14.17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行政事业单位医疗</w:t>
            </w:r>
          </w:p>
        </w:tc>
        <w:tc>
          <w:tcPr>
            <w:tcW w:w="168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14.17</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14.17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事业单位医疗</w:t>
            </w:r>
          </w:p>
        </w:tc>
        <w:tc>
          <w:tcPr>
            <w:tcW w:w="1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10.71</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10.71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03</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公务员医疗补助</w:t>
            </w:r>
          </w:p>
        </w:tc>
        <w:tc>
          <w:tcPr>
            <w:tcW w:w="1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3.38</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3.38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其他行政事业单位医疗支出</w:t>
            </w:r>
          </w:p>
        </w:tc>
        <w:tc>
          <w:tcPr>
            <w:tcW w:w="1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0.08</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0.08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自然资源海洋气象等支出</w:t>
            </w:r>
          </w:p>
        </w:tc>
        <w:tc>
          <w:tcPr>
            <w:tcW w:w="1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162.22</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132.22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仿宋_GB2312" w:hAnsi="宋体" w:eastAsia="仿宋_GB2312" w:cs="宋体"/>
                <w:color w:val="000000"/>
                <w:sz w:val="20"/>
                <w:szCs w:val="20"/>
                <w:lang w:val="en-US" w:eastAsia="zh-CN"/>
              </w:rPr>
              <w:t>30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自然资源事务</w:t>
            </w:r>
          </w:p>
        </w:tc>
        <w:tc>
          <w:tcPr>
            <w:tcW w:w="1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162.22</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132.22</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50</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 xml:space="preserve">  事业运行</w:t>
            </w:r>
          </w:p>
        </w:tc>
        <w:tc>
          <w:tcPr>
            <w:tcW w:w="168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132.22</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132.22</w:t>
            </w: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220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99</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其他自然资源事务支出</w:t>
            </w:r>
          </w:p>
        </w:tc>
        <w:tc>
          <w:tcPr>
            <w:tcW w:w="168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30</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221</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住房保障支出</w:t>
            </w:r>
          </w:p>
        </w:tc>
        <w:tc>
          <w:tcPr>
            <w:tcW w:w="168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16.12</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16.12</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221</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02</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住房改革支出</w:t>
            </w:r>
          </w:p>
        </w:tc>
        <w:tc>
          <w:tcPr>
            <w:tcW w:w="168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16.12</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16.12</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住房公积金</w:t>
            </w:r>
          </w:p>
        </w:tc>
        <w:tc>
          <w:tcPr>
            <w:tcW w:w="168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16.12</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16.12</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210.65</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180.65</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w:t>
            </w:r>
          </w:p>
        </w:tc>
      </w:tr>
    </w:tbl>
    <w:p>
      <w:pPr>
        <w:widowControl/>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autofit"/>
        <w:tblCellMar>
          <w:top w:w="0" w:type="dxa"/>
          <w:left w:w="108" w:type="dxa"/>
          <w:bottom w:w="0" w:type="dxa"/>
          <w:right w:w="108" w:type="dxa"/>
        </w:tblCellMar>
      </w:tblPr>
      <w:tblGrid>
        <w:gridCol w:w="749"/>
        <w:gridCol w:w="774"/>
        <w:gridCol w:w="2805"/>
        <w:gridCol w:w="1667"/>
        <w:gridCol w:w="959"/>
        <w:gridCol w:w="708"/>
        <w:gridCol w:w="1666"/>
      </w:tblGrid>
      <w:tr>
        <w:tblPrEx>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6954" w:type="dxa"/>
            <w:gridSpan w:val="5"/>
            <w:tcBorders>
              <w:top w:val="nil"/>
              <w:left w:val="nil"/>
              <w:bottom w:val="nil"/>
              <w:right w:val="nil"/>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昌吉州地质环境监测站                   </w:t>
            </w:r>
            <w:r>
              <w:rPr>
                <w:rFonts w:hint="eastAsia" w:ascii="仿宋_GB2312" w:hAnsi="宋体" w:eastAsia="仿宋_GB2312" w:cs="宋体"/>
                <w:color w:val="000000"/>
                <w:kern w:val="0"/>
                <w:sz w:val="24"/>
              </w:rPr>
              <w:t xml:space="preserve">       </w:t>
            </w:r>
          </w:p>
        </w:tc>
        <w:tc>
          <w:tcPr>
            <w:tcW w:w="2374"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32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000"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52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0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6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667"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6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49"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7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0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6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6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6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301</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工资福利支出</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162.80</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162.80</w:t>
            </w: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301</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01</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基本工资</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56.24</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56.24</w:t>
            </w: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301</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02</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津贴补贴</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11.83</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11.83</w:t>
            </w: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301</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03</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奖金</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4.59</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4.59</w:t>
            </w: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301</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07</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绩效工资</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41.30</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41.30</w:t>
            </w: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301</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08</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机关事业单位基本养老保险缴费</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18.04</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18.04</w:t>
            </w: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301</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10</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城镇职工基本医疗保险缴费</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10.71</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10.71</w:t>
            </w: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301</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11</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公务员医疗补助缴费</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3.38</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3.38</w:t>
            </w: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301</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12</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其他社会保障缴费</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0.57</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0.57</w:t>
            </w: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301</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13</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住房公积金</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16.12</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16.12</w:t>
            </w: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302</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商品和服务支出</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16.52</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16.52</w:t>
            </w: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302</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01</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办公费</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3.44</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3.44</w:t>
            </w: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302</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06</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电费</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2.00</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2.00</w:t>
            </w: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302</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07</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邮电费</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0.50</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0.50</w:t>
            </w: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302</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08</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取暖费</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2.57</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2.57</w:t>
            </w: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302</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11</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差旅费</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1.50</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1.50</w:t>
            </w: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302</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13</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维修(护)费</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0.50</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0.50</w:t>
            </w: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302</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14</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租赁费</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0.50</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0.50</w:t>
            </w: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302</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28</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工会经费</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2.12</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2.12</w:t>
            </w: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302</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29</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福利费</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1.91</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1.91</w:t>
            </w: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302</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39</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其他交通费用</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0.20</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0.20</w:t>
            </w: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302</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99</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其他商品和服务支出</w:t>
            </w:r>
          </w:p>
        </w:tc>
        <w:tc>
          <w:tcPr>
            <w:tcW w:w="166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1.28</w:t>
            </w:r>
          </w:p>
        </w:tc>
        <w:tc>
          <w:tcPr>
            <w:tcW w:w="1667" w:type="dxa"/>
            <w:gridSpan w:val="2"/>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p>
        </w:tc>
        <w:tc>
          <w:tcPr>
            <w:tcW w:w="166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1.28</w:t>
            </w: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303</w:t>
            </w:r>
          </w:p>
        </w:tc>
        <w:tc>
          <w:tcPr>
            <w:tcW w:w="774"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p>
        </w:tc>
        <w:tc>
          <w:tcPr>
            <w:tcW w:w="2805"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对个人和家庭的补助</w:t>
            </w:r>
          </w:p>
        </w:tc>
        <w:tc>
          <w:tcPr>
            <w:tcW w:w="1667"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1.33</w:t>
            </w:r>
          </w:p>
        </w:tc>
        <w:tc>
          <w:tcPr>
            <w:tcW w:w="1667" w:type="dxa"/>
            <w:gridSpan w:val="2"/>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1.33</w:t>
            </w:r>
          </w:p>
        </w:tc>
        <w:tc>
          <w:tcPr>
            <w:tcW w:w="1666"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303</w:t>
            </w:r>
          </w:p>
        </w:tc>
        <w:tc>
          <w:tcPr>
            <w:tcW w:w="774"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01</w:t>
            </w:r>
          </w:p>
        </w:tc>
        <w:tc>
          <w:tcPr>
            <w:tcW w:w="2805"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离休费</w:t>
            </w:r>
          </w:p>
        </w:tc>
        <w:tc>
          <w:tcPr>
            <w:tcW w:w="1667"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0.10</w:t>
            </w:r>
          </w:p>
        </w:tc>
        <w:tc>
          <w:tcPr>
            <w:tcW w:w="1667" w:type="dxa"/>
            <w:gridSpan w:val="2"/>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0.10</w:t>
            </w:r>
          </w:p>
        </w:tc>
        <w:tc>
          <w:tcPr>
            <w:tcW w:w="1666"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303</w:t>
            </w:r>
          </w:p>
        </w:tc>
        <w:tc>
          <w:tcPr>
            <w:tcW w:w="774"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07</w:t>
            </w:r>
          </w:p>
        </w:tc>
        <w:tc>
          <w:tcPr>
            <w:tcW w:w="2805"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医疗费补助</w:t>
            </w:r>
          </w:p>
        </w:tc>
        <w:tc>
          <w:tcPr>
            <w:tcW w:w="1667"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1.06</w:t>
            </w:r>
          </w:p>
        </w:tc>
        <w:tc>
          <w:tcPr>
            <w:tcW w:w="1667" w:type="dxa"/>
            <w:gridSpan w:val="2"/>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1.06</w:t>
            </w:r>
          </w:p>
        </w:tc>
        <w:tc>
          <w:tcPr>
            <w:tcW w:w="1666"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nil"/>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303</w:t>
            </w:r>
          </w:p>
        </w:tc>
        <w:tc>
          <w:tcPr>
            <w:tcW w:w="774" w:type="dxa"/>
            <w:tcBorders>
              <w:top w:val="nil"/>
              <w:left w:val="nil"/>
              <w:bottom w:val="nil"/>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09</w:t>
            </w:r>
          </w:p>
        </w:tc>
        <w:tc>
          <w:tcPr>
            <w:tcW w:w="2805" w:type="dxa"/>
            <w:tcBorders>
              <w:top w:val="nil"/>
              <w:left w:val="nil"/>
              <w:bottom w:val="nil"/>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奖励金</w:t>
            </w:r>
          </w:p>
        </w:tc>
        <w:tc>
          <w:tcPr>
            <w:tcW w:w="1667" w:type="dxa"/>
            <w:tcBorders>
              <w:top w:val="nil"/>
              <w:left w:val="nil"/>
              <w:bottom w:val="nil"/>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0.17</w:t>
            </w:r>
          </w:p>
        </w:tc>
        <w:tc>
          <w:tcPr>
            <w:tcW w:w="1667" w:type="dxa"/>
            <w:gridSpan w:val="2"/>
            <w:tcBorders>
              <w:top w:val="nil"/>
              <w:left w:val="nil"/>
              <w:bottom w:val="nil"/>
              <w:right w:val="single" w:color="auto" w:sz="4" w:space="0"/>
            </w:tcBorders>
            <w:vAlign w:val="top"/>
          </w:tcPr>
          <w:p>
            <w:pPr>
              <w:jc w:val="center"/>
              <w:rPr>
                <w:rFonts w:hint="default" w:ascii="仿宋_GB2312" w:hAnsi="宋体" w:eastAsia="仿宋_GB2312" w:cs="宋体"/>
                <w:color w:val="000000"/>
                <w:sz w:val="20"/>
                <w:szCs w:val="20"/>
                <w:lang w:val="en-US" w:eastAsia="zh-CN"/>
              </w:rPr>
            </w:pPr>
            <w:r>
              <w:rPr>
                <w:rFonts w:hint="default" w:ascii="仿宋_GB2312" w:hAnsi="宋体" w:eastAsia="仿宋_GB2312" w:cs="宋体"/>
                <w:color w:val="000000"/>
                <w:sz w:val="20"/>
                <w:szCs w:val="20"/>
                <w:lang w:val="en-US" w:eastAsia="zh-CN"/>
              </w:rPr>
              <w:t>0.17</w:t>
            </w:r>
          </w:p>
        </w:tc>
        <w:tc>
          <w:tcPr>
            <w:tcW w:w="1666" w:type="dxa"/>
            <w:tcBorders>
              <w:top w:val="nil"/>
              <w:left w:val="nil"/>
              <w:bottom w:val="nil"/>
              <w:right w:val="single" w:color="auto" w:sz="4" w:space="0"/>
            </w:tcBorders>
            <w:vAlign w:val="top"/>
          </w:tcPr>
          <w:p>
            <w:pPr>
              <w:jc w:val="center"/>
              <w:rPr>
                <w:rFonts w:hint="default"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49" w:type="dxa"/>
            <w:tcBorders>
              <w:top w:val="nil"/>
              <w:left w:val="single" w:color="auto" w:sz="4" w:space="0"/>
              <w:bottom w:val="single" w:color="auto" w:sz="4" w:space="0"/>
              <w:right w:val="single" w:color="auto" w:sz="4" w:space="0"/>
            </w:tcBorders>
            <w:vAlign w:val="bottom"/>
          </w:tcPr>
          <w:p>
            <w:pPr>
              <w:jc w:val="center"/>
              <w:rPr>
                <w:rFonts w:hint="eastAsia" w:ascii="仿宋_GB2312" w:hAnsi="宋体" w:eastAsia="仿宋_GB2312" w:cs="宋体"/>
                <w:color w:val="000000"/>
                <w:sz w:val="20"/>
                <w:szCs w:val="20"/>
                <w:lang w:val="en-US" w:eastAsia="zh-CN"/>
              </w:rPr>
            </w:pPr>
          </w:p>
        </w:tc>
        <w:tc>
          <w:tcPr>
            <w:tcW w:w="774" w:type="dxa"/>
            <w:tcBorders>
              <w:top w:val="nil"/>
              <w:left w:val="nil"/>
              <w:bottom w:val="single" w:color="auto" w:sz="4" w:space="0"/>
              <w:right w:val="single" w:color="auto" w:sz="4" w:space="0"/>
            </w:tcBorders>
            <w:vAlign w:val="bottom"/>
          </w:tcPr>
          <w:p>
            <w:pPr>
              <w:jc w:val="center"/>
              <w:rPr>
                <w:rFonts w:hint="eastAsia" w:ascii="仿宋_GB2312" w:hAnsi="宋体" w:eastAsia="仿宋_GB2312" w:cs="宋体"/>
                <w:color w:val="000000"/>
                <w:sz w:val="20"/>
                <w:szCs w:val="20"/>
                <w:lang w:val="en-US" w:eastAsia="zh-CN"/>
              </w:rPr>
            </w:pPr>
          </w:p>
        </w:tc>
        <w:tc>
          <w:tcPr>
            <w:tcW w:w="2805" w:type="dxa"/>
            <w:tcBorders>
              <w:top w:val="nil"/>
              <w:left w:val="nil"/>
              <w:bottom w:val="single" w:color="auto" w:sz="4" w:space="0"/>
              <w:right w:val="single" w:color="auto" w:sz="4" w:space="0"/>
            </w:tcBorders>
            <w:vAlign w:val="bottom"/>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合计</w:t>
            </w:r>
          </w:p>
        </w:tc>
        <w:tc>
          <w:tcPr>
            <w:tcW w:w="16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180.65</w:t>
            </w:r>
          </w:p>
        </w:tc>
        <w:tc>
          <w:tcPr>
            <w:tcW w:w="1667"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164.13</w:t>
            </w:r>
          </w:p>
        </w:tc>
        <w:tc>
          <w:tcPr>
            <w:tcW w:w="166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16.52</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autofit"/>
        <w:tblCellMar>
          <w:top w:w="0" w:type="dxa"/>
          <w:left w:w="108" w:type="dxa"/>
          <w:bottom w:w="0" w:type="dxa"/>
          <w:right w:w="108" w:type="dxa"/>
        </w:tblCellMar>
      </w:tblPr>
      <w:tblGrid>
        <w:gridCol w:w="14"/>
        <w:gridCol w:w="549"/>
        <w:gridCol w:w="420"/>
        <w:gridCol w:w="450"/>
        <w:gridCol w:w="1220"/>
        <w:gridCol w:w="1045"/>
        <w:gridCol w:w="690"/>
        <w:gridCol w:w="540"/>
        <w:gridCol w:w="536"/>
        <w:gridCol w:w="608"/>
        <w:gridCol w:w="608"/>
        <w:gridCol w:w="378"/>
        <w:gridCol w:w="200"/>
        <w:gridCol w:w="416"/>
        <w:gridCol w:w="578"/>
        <w:gridCol w:w="416"/>
        <w:gridCol w:w="416"/>
        <w:gridCol w:w="383"/>
        <w:gridCol w:w="73"/>
      </w:tblGrid>
      <w:tr>
        <w:tblPrEx>
          <w:tblCellMar>
            <w:top w:w="0" w:type="dxa"/>
            <w:left w:w="108" w:type="dxa"/>
            <w:bottom w:w="0" w:type="dxa"/>
            <w:right w:w="108" w:type="dxa"/>
          </w:tblCellMar>
        </w:tblPrEx>
        <w:trPr>
          <w:gridBefore w:val="1"/>
          <w:gridAfter w:val="1"/>
          <w:wBefore w:w="14" w:type="dxa"/>
          <w:wAfter w:w="73" w:type="dxa"/>
          <w:trHeight w:val="375" w:hRule="atLeast"/>
        </w:trPr>
        <w:tc>
          <w:tcPr>
            <w:tcW w:w="9453" w:type="dxa"/>
            <w:gridSpan w:val="1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14" w:type="dxa"/>
          <w:wAfter w:w="73" w:type="dxa"/>
          <w:trHeight w:val="405" w:hRule="atLeast"/>
        </w:trPr>
        <w:tc>
          <w:tcPr>
            <w:tcW w:w="7044" w:type="dxa"/>
            <w:gridSpan w:val="11"/>
            <w:tcBorders>
              <w:top w:val="nil"/>
              <w:left w:val="nil"/>
              <w:bottom w:val="nil"/>
              <w:right w:val="nil"/>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  昌吉州地质环境监测站                   </w:t>
            </w:r>
            <w:r>
              <w:rPr>
                <w:rFonts w:hint="eastAsia" w:ascii="仿宋_GB2312" w:hAnsi="宋体" w:eastAsia="仿宋_GB2312" w:cs="宋体"/>
                <w:color w:val="000000"/>
                <w:kern w:val="0"/>
                <w:sz w:val="24"/>
              </w:rPr>
              <w:t xml:space="preserve">     </w:t>
            </w:r>
          </w:p>
        </w:tc>
        <w:tc>
          <w:tcPr>
            <w:tcW w:w="2409"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33"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2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45"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69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4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0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0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5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trPr>
        <w:tc>
          <w:tcPr>
            <w:tcW w:w="563"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5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22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04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9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4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0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0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56"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220</w:t>
            </w:r>
          </w:p>
        </w:tc>
        <w:tc>
          <w:tcPr>
            <w:tcW w:w="420" w:type="dxa"/>
          </w:tcPr>
          <w:p>
            <w:pPr>
              <w:jc w:val="center"/>
              <w:rPr>
                <w:rFonts w:hint="eastAsia" w:ascii="仿宋_GB2312" w:hAnsi="宋体" w:eastAsia="仿宋_GB2312" w:cs="宋体"/>
                <w:color w:val="000000"/>
                <w:sz w:val="20"/>
                <w:szCs w:val="20"/>
                <w:lang w:val="en-US" w:eastAsia="zh-CN"/>
              </w:rPr>
            </w:pPr>
          </w:p>
        </w:tc>
        <w:tc>
          <w:tcPr>
            <w:tcW w:w="450" w:type="dxa"/>
          </w:tcPr>
          <w:p>
            <w:pPr>
              <w:jc w:val="center"/>
              <w:rPr>
                <w:rFonts w:hint="eastAsia" w:ascii="仿宋_GB2312" w:hAnsi="宋体" w:eastAsia="仿宋_GB2312" w:cs="宋体"/>
                <w:color w:val="000000"/>
                <w:sz w:val="20"/>
                <w:szCs w:val="20"/>
                <w:lang w:val="en-US" w:eastAsia="zh-CN"/>
              </w:rPr>
            </w:pPr>
          </w:p>
        </w:tc>
        <w:tc>
          <w:tcPr>
            <w:tcW w:w="1220" w:type="dxa"/>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自然资源事务</w:t>
            </w:r>
          </w:p>
        </w:tc>
        <w:tc>
          <w:tcPr>
            <w:tcW w:w="1045" w:type="dxa"/>
          </w:tcPr>
          <w:p>
            <w:pPr>
              <w:jc w:val="center"/>
              <w:rPr>
                <w:rFonts w:hint="default" w:ascii="仿宋_GB2312" w:hAnsi="宋体" w:eastAsia="仿宋_GB2312" w:cs="宋体"/>
                <w:color w:val="000000"/>
                <w:sz w:val="20"/>
                <w:szCs w:val="20"/>
                <w:lang w:val="en-US" w:eastAsia="zh-CN"/>
              </w:rPr>
            </w:pPr>
          </w:p>
        </w:tc>
        <w:tc>
          <w:tcPr>
            <w:tcW w:w="690" w:type="dxa"/>
            <w:vAlign w:val="top"/>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w:t>
            </w:r>
          </w:p>
        </w:tc>
        <w:tc>
          <w:tcPr>
            <w:tcW w:w="540" w:type="dxa"/>
            <w:vAlign w:val="top"/>
          </w:tcPr>
          <w:p>
            <w:pPr>
              <w:jc w:val="center"/>
              <w:rPr>
                <w:rFonts w:hint="default" w:ascii="仿宋_GB2312" w:hAnsi="宋体" w:eastAsia="仿宋_GB2312" w:cs="宋体"/>
                <w:color w:val="000000"/>
                <w:sz w:val="20"/>
                <w:szCs w:val="20"/>
                <w:lang w:val="en-US" w:eastAsia="zh-CN"/>
              </w:rPr>
            </w:pPr>
          </w:p>
        </w:tc>
        <w:tc>
          <w:tcPr>
            <w:tcW w:w="536" w:type="dxa"/>
            <w:vAlign w:val="top"/>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w:t>
            </w:r>
          </w:p>
        </w:tc>
        <w:tc>
          <w:tcPr>
            <w:tcW w:w="608" w:type="dxa"/>
          </w:tcPr>
          <w:p>
            <w:pPr>
              <w:jc w:val="center"/>
              <w:rPr>
                <w:rFonts w:hint="default" w:ascii="仿宋_GB2312" w:hAnsi="宋体" w:eastAsia="仿宋_GB2312" w:cs="宋体"/>
                <w:color w:val="000000"/>
                <w:sz w:val="20"/>
                <w:szCs w:val="20"/>
                <w:lang w:val="en-US" w:eastAsia="zh-CN"/>
              </w:rPr>
            </w:pPr>
          </w:p>
        </w:tc>
        <w:tc>
          <w:tcPr>
            <w:tcW w:w="608" w:type="dxa"/>
          </w:tcPr>
          <w:p>
            <w:pPr>
              <w:jc w:val="center"/>
              <w:rPr>
                <w:rFonts w:hint="default" w:ascii="仿宋_GB2312" w:hAnsi="宋体" w:eastAsia="仿宋_GB2312" w:cs="宋体"/>
                <w:color w:val="000000"/>
                <w:sz w:val="20"/>
                <w:szCs w:val="20"/>
                <w:lang w:val="en-US" w:eastAsia="zh-CN"/>
              </w:rPr>
            </w:pPr>
          </w:p>
        </w:tc>
        <w:tc>
          <w:tcPr>
            <w:tcW w:w="578" w:type="dxa"/>
            <w:gridSpan w:val="2"/>
          </w:tcPr>
          <w:p>
            <w:pPr>
              <w:jc w:val="center"/>
              <w:rPr>
                <w:rFonts w:hint="default" w:ascii="仿宋_GB2312" w:hAnsi="宋体" w:eastAsia="仿宋_GB2312" w:cs="宋体"/>
                <w:color w:val="000000"/>
                <w:sz w:val="20"/>
                <w:szCs w:val="20"/>
                <w:lang w:val="en-US" w:eastAsia="zh-CN"/>
              </w:rPr>
            </w:pPr>
          </w:p>
        </w:tc>
        <w:tc>
          <w:tcPr>
            <w:tcW w:w="416" w:type="dxa"/>
          </w:tcPr>
          <w:p>
            <w:pPr>
              <w:jc w:val="center"/>
              <w:rPr>
                <w:rFonts w:hint="default" w:ascii="仿宋_GB2312" w:hAnsi="宋体" w:eastAsia="仿宋_GB2312" w:cs="宋体"/>
                <w:color w:val="000000"/>
                <w:sz w:val="20"/>
                <w:szCs w:val="20"/>
                <w:lang w:val="en-US" w:eastAsia="zh-CN"/>
              </w:rPr>
            </w:pPr>
          </w:p>
        </w:tc>
        <w:tc>
          <w:tcPr>
            <w:tcW w:w="578" w:type="dxa"/>
          </w:tcPr>
          <w:p>
            <w:pPr>
              <w:jc w:val="center"/>
              <w:rPr>
                <w:rFonts w:hint="default" w:ascii="仿宋_GB2312" w:hAnsi="宋体" w:eastAsia="仿宋_GB2312" w:cs="宋体"/>
                <w:color w:val="000000"/>
                <w:sz w:val="20"/>
                <w:szCs w:val="20"/>
                <w:lang w:val="en-US" w:eastAsia="zh-CN"/>
              </w:rPr>
            </w:pPr>
          </w:p>
        </w:tc>
        <w:tc>
          <w:tcPr>
            <w:tcW w:w="416" w:type="dxa"/>
          </w:tcPr>
          <w:p>
            <w:pPr>
              <w:jc w:val="center"/>
              <w:rPr>
                <w:rFonts w:hint="default" w:ascii="仿宋_GB2312" w:hAnsi="宋体" w:eastAsia="仿宋_GB2312" w:cs="宋体"/>
                <w:color w:val="000000"/>
                <w:sz w:val="20"/>
                <w:szCs w:val="20"/>
                <w:lang w:val="en-US" w:eastAsia="zh-CN"/>
              </w:rPr>
            </w:pPr>
          </w:p>
        </w:tc>
        <w:tc>
          <w:tcPr>
            <w:tcW w:w="416" w:type="dxa"/>
          </w:tcPr>
          <w:p>
            <w:pPr>
              <w:jc w:val="center"/>
              <w:rPr>
                <w:rFonts w:hint="default" w:ascii="仿宋_GB2312" w:hAnsi="宋体" w:eastAsia="仿宋_GB2312" w:cs="宋体"/>
                <w:color w:val="000000"/>
                <w:sz w:val="20"/>
                <w:szCs w:val="20"/>
                <w:lang w:val="en-US" w:eastAsia="zh-CN"/>
              </w:rPr>
            </w:pPr>
          </w:p>
        </w:tc>
        <w:tc>
          <w:tcPr>
            <w:tcW w:w="456" w:type="dxa"/>
            <w:gridSpan w:val="2"/>
          </w:tcPr>
          <w:p>
            <w:pPr>
              <w:jc w:val="center"/>
              <w:rPr>
                <w:rFonts w:hint="default" w:ascii="仿宋_GB2312" w:hAnsi="宋体" w:eastAsia="仿宋_GB2312" w:cs="宋体"/>
                <w:color w:val="00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220</w:t>
            </w:r>
          </w:p>
        </w:tc>
        <w:tc>
          <w:tcPr>
            <w:tcW w:w="420" w:type="dxa"/>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50" w:type="dxa"/>
          </w:tcPr>
          <w:p>
            <w:pPr>
              <w:jc w:val="center"/>
              <w:rPr>
                <w:rFonts w:hint="eastAsia" w:ascii="仿宋_GB2312" w:hAnsi="宋体" w:eastAsia="仿宋_GB2312" w:cs="宋体"/>
                <w:color w:val="000000"/>
                <w:sz w:val="20"/>
                <w:szCs w:val="20"/>
                <w:lang w:val="en-US" w:eastAsia="zh-CN"/>
              </w:rPr>
            </w:pPr>
          </w:p>
        </w:tc>
        <w:tc>
          <w:tcPr>
            <w:tcW w:w="1220" w:type="dxa"/>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其他自然资源事务支出</w:t>
            </w:r>
          </w:p>
        </w:tc>
        <w:tc>
          <w:tcPr>
            <w:tcW w:w="1045" w:type="dxa"/>
          </w:tcPr>
          <w:p>
            <w:pPr>
              <w:jc w:val="center"/>
              <w:rPr>
                <w:rFonts w:hint="default" w:ascii="仿宋_GB2312" w:hAnsi="宋体" w:eastAsia="仿宋_GB2312" w:cs="宋体"/>
                <w:color w:val="000000"/>
                <w:sz w:val="20"/>
                <w:szCs w:val="20"/>
                <w:lang w:val="en-US" w:eastAsia="zh-CN"/>
              </w:rPr>
            </w:pPr>
          </w:p>
        </w:tc>
        <w:tc>
          <w:tcPr>
            <w:tcW w:w="690" w:type="dxa"/>
            <w:vAlign w:val="top"/>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w:t>
            </w:r>
          </w:p>
        </w:tc>
        <w:tc>
          <w:tcPr>
            <w:tcW w:w="540" w:type="dxa"/>
            <w:vAlign w:val="top"/>
          </w:tcPr>
          <w:p>
            <w:pPr>
              <w:jc w:val="center"/>
              <w:rPr>
                <w:rFonts w:hint="default" w:ascii="仿宋_GB2312" w:hAnsi="宋体" w:eastAsia="仿宋_GB2312" w:cs="宋体"/>
                <w:color w:val="000000"/>
                <w:sz w:val="20"/>
                <w:szCs w:val="20"/>
                <w:lang w:val="en-US" w:eastAsia="zh-CN"/>
              </w:rPr>
            </w:pPr>
          </w:p>
        </w:tc>
        <w:tc>
          <w:tcPr>
            <w:tcW w:w="536" w:type="dxa"/>
            <w:vAlign w:val="top"/>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w:t>
            </w:r>
          </w:p>
        </w:tc>
        <w:tc>
          <w:tcPr>
            <w:tcW w:w="608" w:type="dxa"/>
          </w:tcPr>
          <w:p>
            <w:pPr>
              <w:jc w:val="center"/>
              <w:rPr>
                <w:rFonts w:hint="default" w:ascii="仿宋_GB2312" w:hAnsi="宋体" w:eastAsia="仿宋_GB2312" w:cs="宋体"/>
                <w:color w:val="000000"/>
                <w:sz w:val="20"/>
                <w:szCs w:val="20"/>
                <w:lang w:val="en-US" w:eastAsia="zh-CN"/>
              </w:rPr>
            </w:pPr>
          </w:p>
        </w:tc>
        <w:tc>
          <w:tcPr>
            <w:tcW w:w="608" w:type="dxa"/>
          </w:tcPr>
          <w:p>
            <w:pPr>
              <w:jc w:val="center"/>
              <w:rPr>
                <w:rFonts w:hint="default" w:ascii="仿宋_GB2312" w:hAnsi="宋体" w:eastAsia="仿宋_GB2312" w:cs="宋体"/>
                <w:color w:val="000000"/>
                <w:sz w:val="20"/>
                <w:szCs w:val="20"/>
                <w:lang w:val="en-US" w:eastAsia="zh-CN"/>
              </w:rPr>
            </w:pPr>
          </w:p>
        </w:tc>
        <w:tc>
          <w:tcPr>
            <w:tcW w:w="578" w:type="dxa"/>
            <w:gridSpan w:val="2"/>
          </w:tcPr>
          <w:p>
            <w:pPr>
              <w:jc w:val="center"/>
              <w:rPr>
                <w:rFonts w:hint="default" w:ascii="仿宋_GB2312" w:hAnsi="宋体" w:eastAsia="仿宋_GB2312" w:cs="宋体"/>
                <w:color w:val="000000"/>
                <w:sz w:val="20"/>
                <w:szCs w:val="20"/>
                <w:lang w:val="en-US" w:eastAsia="zh-CN"/>
              </w:rPr>
            </w:pPr>
          </w:p>
        </w:tc>
        <w:tc>
          <w:tcPr>
            <w:tcW w:w="416" w:type="dxa"/>
          </w:tcPr>
          <w:p>
            <w:pPr>
              <w:jc w:val="center"/>
              <w:rPr>
                <w:rFonts w:hint="default" w:ascii="仿宋_GB2312" w:hAnsi="宋体" w:eastAsia="仿宋_GB2312" w:cs="宋体"/>
                <w:color w:val="000000"/>
                <w:sz w:val="20"/>
                <w:szCs w:val="20"/>
                <w:lang w:val="en-US" w:eastAsia="zh-CN"/>
              </w:rPr>
            </w:pPr>
          </w:p>
        </w:tc>
        <w:tc>
          <w:tcPr>
            <w:tcW w:w="578" w:type="dxa"/>
          </w:tcPr>
          <w:p>
            <w:pPr>
              <w:jc w:val="center"/>
              <w:rPr>
                <w:rFonts w:hint="default" w:ascii="仿宋_GB2312" w:hAnsi="宋体" w:eastAsia="仿宋_GB2312" w:cs="宋体"/>
                <w:color w:val="000000"/>
                <w:sz w:val="20"/>
                <w:szCs w:val="20"/>
                <w:lang w:val="en-US" w:eastAsia="zh-CN"/>
              </w:rPr>
            </w:pPr>
          </w:p>
        </w:tc>
        <w:tc>
          <w:tcPr>
            <w:tcW w:w="416" w:type="dxa"/>
          </w:tcPr>
          <w:p>
            <w:pPr>
              <w:jc w:val="center"/>
              <w:rPr>
                <w:rFonts w:hint="default" w:ascii="仿宋_GB2312" w:hAnsi="宋体" w:eastAsia="仿宋_GB2312" w:cs="宋体"/>
                <w:color w:val="000000"/>
                <w:sz w:val="20"/>
                <w:szCs w:val="20"/>
                <w:lang w:val="en-US" w:eastAsia="zh-CN"/>
              </w:rPr>
            </w:pPr>
          </w:p>
        </w:tc>
        <w:tc>
          <w:tcPr>
            <w:tcW w:w="416" w:type="dxa"/>
          </w:tcPr>
          <w:p>
            <w:pPr>
              <w:jc w:val="center"/>
              <w:rPr>
                <w:rFonts w:hint="default" w:ascii="仿宋_GB2312" w:hAnsi="宋体" w:eastAsia="仿宋_GB2312" w:cs="宋体"/>
                <w:color w:val="000000"/>
                <w:sz w:val="20"/>
                <w:szCs w:val="20"/>
                <w:lang w:val="en-US" w:eastAsia="zh-CN"/>
              </w:rPr>
            </w:pPr>
          </w:p>
        </w:tc>
        <w:tc>
          <w:tcPr>
            <w:tcW w:w="456" w:type="dxa"/>
            <w:gridSpan w:val="2"/>
          </w:tcPr>
          <w:p>
            <w:pPr>
              <w:jc w:val="center"/>
              <w:rPr>
                <w:rFonts w:hint="default" w:ascii="仿宋_GB2312" w:hAnsi="宋体" w:eastAsia="仿宋_GB2312" w:cs="宋体"/>
                <w:color w:val="00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vAlign w:val="top"/>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220</w:t>
            </w:r>
          </w:p>
        </w:tc>
        <w:tc>
          <w:tcPr>
            <w:tcW w:w="420" w:type="dxa"/>
            <w:vAlign w:val="top"/>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50" w:type="dxa"/>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1220" w:type="dxa"/>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其他自然资源事务支出</w:t>
            </w:r>
          </w:p>
        </w:tc>
        <w:tc>
          <w:tcPr>
            <w:tcW w:w="1045" w:type="dxa"/>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地下水监测经费</w:t>
            </w:r>
          </w:p>
        </w:tc>
        <w:tc>
          <w:tcPr>
            <w:tcW w:w="690" w:type="dxa"/>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w:t>
            </w:r>
          </w:p>
        </w:tc>
        <w:tc>
          <w:tcPr>
            <w:tcW w:w="540" w:type="dxa"/>
          </w:tcPr>
          <w:p>
            <w:pPr>
              <w:jc w:val="center"/>
              <w:rPr>
                <w:rFonts w:hint="default" w:ascii="仿宋_GB2312" w:hAnsi="宋体" w:eastAsia="仿宋_GB2312" w:cs="宋体"/>
                <w:color w:val="000000"/>
                <w:sz w:val="20"/>
                <w:szCs w:val="20"/>
                <w:lang w:val="en-US" w:eastAsia="zh-CN"/>
              </w:rPr>
            </w:pPr>
          </w:p>
        </w:tc>
        <w:tc>
          <w:tcPr>
            <w:tcW w:w="536" w:type="dxa"/>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w:t>
            </w:r>
          </w:p>
        </w:tc>
        <w:tc>
          <w:tcPr>
            <w:tcW w:w="608" w:type="dxa"/>
          </w:tcPr>
          <w:p>
            <w:pPr>
              <w:jc w:val="center"/>
              <w:rPr>
                <w:rFonts w:hint="default" w:ascii="仿宋_GB2312" w:hAnsi="宋体" w:eastAsia="仿宋_GB2312" w:cs="宋体"/>
                <w:color w:val="000000"/>
                <w:sz w:val="20"/>
                <w:szCs w:val="20"/>
                <w:lang w:val="en-US" w:eastAsia="zh-CN"/>
              </w:rPr>
            </w:pPr>
          </w:p>
        </w:tc>
        <w:tc>
          <w:tcPr>
            <w:tcW w:w="608" w:type="dxa"/>
          </w:tcPr>
          <w:p>
            <w:pPr>
              <w:jc w:val="center"/>
              <w:rPr>
                <w:rFonts w:hint="default" w:ascii="仿宋_GB2312" w:hAnsi="宋体" w:eastAsia="仿宋_GB2312" w:cs="宋体"/>
                <w:color w:val="000000"/>
                <w:sz w:val="20"/>
                <w:szCs w:val="20"/>
                <w:lang w:val="en-US" w:eastAsia="zh-CN"/>
              </w:rPr>
            </w:pPr>
          </w:p>
        </w:tc>
        <w:tc>
          <w:tcPr>
            <w:tcW w:w="578" w:type="dxa"/>
            <w:gridSpan w:val="2"/>
          </w:tcPr>
          <w:p>
            <w:pPr>
              <w:jc w:val="center"/>
              <w:rPr>
                <w:rFonts w:hint="default" w:ascii="仿宋_GB2312" w:hAnsi="宋体" w:eastAsia="仿宋_GB2312" w:cs="宋体"/>
                <w:color w:val="000000"/>
                <w:sz w:val="20"/>
                <w:szCs w:val="20"/>
                <w:lang w:val="en-US" w:eastAsia="zh-CN"/>
              </w:rPr>
            </w:pPr>
          </w:p>
        </w:tc>
        <w:tc>
          <w:tcPr>
            <w:tcW w:w="416" w:type="dxa"/>
          </w:tcPr>
          <w:p>
            <w:pPr>
              <w:jc w:val="center"/>
              <w:rPr>
                <w:rFonts w:hint="default" w:ascii="仿宋_GB2312" w:hAnsi="宋体" w:eastAsia="仿宋_GB2312" w:cs="宋体"/>
                <w:color w:val="000000"/>
                <w:sz w:val="20"/>
                <w:szCs w:val="20"/>
                <w:lang w:val="en-US" w:eastAsia="zh-CN"/>
              </w:rPr>
            </w:pPr>
          </w:p>
        </w:tc>
        <w:tc>
          <w:tcPr>
            <w:tcW w:w="578" w:type="dxa"/>
          </w:tcPr>
          <w:p>
            <w:pPr>
              <w:jc w:val="center"/>
              <w:rPr>
                <w:rFonts w:hint="default" w:ascii="仿宋_GB2312" w:hAnsi="宋体" w:eastAsia="仿宋_GB2312" w:cs="宋体"/>
                <w:color w:val="000000"/>
                <w:sz w:val="20"/>
                <w:szCs w:val="20"/>
                <w:lang w:val="en-US" w:eastAsia="zh-CN"/>
              </w:rPr>
            </w:pPr>
          </w:p>
        </w:tc>
        <w:tc>
          <w:tcPr>
            <w:tcW w:w="416" w:type="dxa"/>
          </w:tcPr>
          <w:p>
            <w:pPr>
              <w:jc w:val="center"/>
              <w:rPr>
                <w:rFonts w:hint="default" w:ascii="仿宋_GB2312" w:hAnsi="宋体" w:eastAsia="仿宋_GB2312" w:cs="宋体"/>
                <w:color w:val="000000"/>
                <w:sz w:val="20"/>
                <w:szCs w:val="20"/>
                <w:lang w:val="en-US" w:eastAsia="zh-CN"/>
              </w:rPr>
            </w:pPr>
          </w:p>
        </w:tc>
        <w:tc>
          <w:tcPr>
            <w:tcW w:w="416" w:type="dxa"/>
          </w:tcPr>
          <w:p>
            <w:pPr>
              <w:jc w:val="center"/>
              <w:rPr>
                <w:rFonts w:hint="default" w:ascii="仿宋_GB2312" w:hAnsi="宋体" w:eastAsia="仿宋_GB2312" w:cs="宋体"/>
                <w:color w:val="000000"/>
                <w:sz w:val="20"/>
                <w:szCs w:val="20"/>
                <w:lang w:val="en-US" w:eastAsia="zh-CN"/>
              </w:rPr>
            </w:pPr>
          </w:p>
        </w:tc>
        <w:tc>
          <w:tcPr>
            <w:tcW w:w="456" w:type="dxa"/>
            <w:gridSpan w:val="2"/>
          </w:tcPr>
          <w:p>
            <w:pPr>
              <w:jc w:val="center"/>
              <w:rPr>
                <w:rFonts w:hint="default" w:ascii="仿宋_GB2312" w:hAnsi="宋体" w:eastAsia="仿宋_GB2312" w:cs="宋体"/>
                <w:color w:val="00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50" w:type="dxa"/>
          </w:tcPr>
          <w:p>
            <w:pPr>
              <w:widowControl/>
              <w:jc w:val="center"/>
              <w:outlineLvl w:val="1"/>
              <w:rPr>
                <w:rFonts w:ascii="仿宋_GB2312" w:hAnsi="宋体" w:eastAsia="仿宋_GB2312"/>
                <w:kern w:val="0"/>
                <w:sz w:val="32"/>
                <w:szCs w:val="32"/>
              </w:rPr>
            </w:pPr>
          </w:p>
        </w:tc>
        <w:tc>
          <w:tcPr>
            <w:tcW w:w="1220" w:type="dxa"/>
          </w:tcPr>
          <w:p>
            <w:pPr>
              <w:widowControl/>
              <w:jc w:val="center"/>
              <w:outlineLvl w:val="1"/>
              <w:rPr>
                <w:rFonts w:ascii="仿宋_GB2312" w:hAnsi="宋体" w:eastAsia="仿宋_GB2312"/>
                <w:kern w:val="0"/>
                <w:sz w:val="32"/>
                <w:szCs w:val="32"/>
              </w:rPr>
            </w:pPr>
          </w:p>
        </w:tc>
        <w:tc>
          <w:tcPr>
            <w:tcW w:w="1045" w:type="dxa"/>
          </w:tcPr>
          <w:p>
            <w:pPr>
              <w:widowControl/>
              <w:jc w:val="center"/>
              <w:outlineLvl w:val="1"/>
              <w:rPr>
                <w:rFonts w:ascii="仿宋_GB2312" w:hAnsi="宋体" w:eastAsia="仿宋_GB2312"/>
                <w:kern w:val="0"/>
                <w:sz w:val="32"/>
                <w:szCs w:val="32"/>
              </w:rPr>
            </w:pPr>
          </w:p>
        </w:tc>
        <w:tc>
          <w:tcPr>
            <w:tcW w:w="690"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5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50" w:type="dxa"/>
          </w:tcPr>
          <w:p>
            <w:pPr>
              <w:widowControl/>
              <w:jc w:val="center"/>
              <w:outlineLvl w:val="1"/>
              <w:rPr>
                <w:rFonts w:ascii="仿宋_GB2312" w:hAnsi="宋体" w:eastAsia="仿宋_GB2312"/>
                <w:kern w:val="0"/>
                <w:sz w:val="32"/>
                <w:szCs w:val="32"/>
              </w:rPr>
            </w:pPr>
          </w:p>
        </w:tc>
        <w:tc>
          <w:tcPr>
            <w:tcW w:w="1220" w:type="dxa"/>
          </w:tcPr>
          <w:p>
            <w:pPr>
              <w:widowControl/>
              <w:jc w:val="center"/>
              <w:outlineLvl w:val="1"/>
              <w:rPr>
                <w:rFonts w:ascii="仿宋_GB2312" w:hAnsi="宋体" w:eastAsia="仿宋_GB2312"/>
                <w:kern w:val="0"/>
                <w:sz w:val="32"/>
                <w:szCs w:val="32"/>
              </w:rPr>
            </w:pPr>
          </w:p>
        </w:tc>
        <w:tc>
          <w:tcPr>
            <w:tcW w:w="1045" w:type="dxa"/>
          </w:tcPr>
          <w:p>
            <w:pPr>
              <w:widowControl/>
              <w:jc w:val="center"/>
              <w:outlineLvl w:val="1"/>
              <w:rPr>
                <w:rFonts w:ascii="仿宋_GB2312" w:hAnsi="宋体" w:eastAsia="仿宋_GB2312"/>
                <w:kern w:val="0"/>
                <w:sz w:val="32"/>
                <w:szCs w:val="32"/>
              </w:rPr>
            </w:pPr>
          </w:p>
        </w:tc>
        <w:tc>
          <w:tcPr>
            <w:tcW w:w="690"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5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50" w:type="dxa"/>
          </w:tcPr>
          <w:p>
            <w:pPr>
              <w:widowControl/>
              <w:jc w:val="center"/>
              <w:outlineLvl w:val="1"/>
              <w:rPr>
                <w:rFonts w:ascii="仿宋_GB2312" w:hAnsi="宋体" w:eastAsia="仿宋_GB2312"/>
                <w:kern w:val="0"/>
                <w:sz w:val="32"/>
                <w:szCs w:val="32"/>
              </w:rPr>
            </w:pPr>
          </w:p>
        </w:tc>
        <w:tc>
          <w:tcPr>
            <w:tcW w:w="1220" w:type="dxa"/>
          </w:tcPr>
          <w:p>
            <w:pPr>
              <w:widowControl/>
              <w:jc w:val="center"/>
              <w:outlineLvl w:val="1"/>
              <w:rPr>
                <w:rFonts w:ascii="仿宋_GB2312" w:hAnsi="宋体" w:eastAsia="仿宋_GB2312"/>
                <w:kern w:val="0"/>
                <w:sz w:val="32"/>
                <w:szCs w:val="32"/>
              </w:rPr>
            </w:pPr>
          </w:p>
        </w:tc>
        <w:tc>
          <w:tcPr>
            <w:tcW w:w="1045" w:type="dxa"/>
          </w:tcPr>
          <w:p>
            <w:pPr>
              <w:widowControl/>
              <w:jc w:val="center"/>
              <w:outlineLvl w:val="1"/>
              <w:rPr>
                <w:rFonts w:ascii="仿宋_GB2312" w:hAnsi="宋体" w:eastAsia="仿宋_GB2312"/>
                <w:kern w:val="0"/>
                <w:sz w:val="32"/>
                <w:szCs w:val="32"/>
              </w:rPr>
            </w:pPr>
          </w:p>
        </w:tc>
        <w:tc>
          <w:tcPr>
            <w:tcW w:w="690"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5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50" w:type="dxa"/>
          </w:tcPr>
          <w:p>
            <w:pPr>
              <w:widowControl/>
              <w:jc w:val="center"/>
              <w:outlineLvl w:val="1"/>
              <w:rPr>
                <w:rFonts w:ascii="仿宋_GB2312" w:hAnsi="宋体" w:eastAsia="仿宋_GB2312"/>
                <w:kern w:val="0"/>
                <w:sz w:val="32"/>
                <w:szCs w:val="32"/>
              </w:rPr>
            </w:pPr>
          </w:p>
        </w:tc>
        <w:tc>
          <w:tcPr>
            <w:tcW w:w="1220" w:type="dxa"/>
          </w:tcPr>
          <w:p>
            <w:pPr>
              <w:widowControl/>
              <w:jc w:val="center"/>
              <w:outlineLvl w:val="1"/>
              <w:rPr>
                <w:rFonts w:ascii="仿宋_GB2312" w:hAnsi="宋体" w:eastAsia="仿宋_GB2312"/>
                <w:kern w:val="0"/>
                <w:sz w:val="32"/>
                <w:szCs w:val="32"/>
              </w:rPr>
            </w:pPr>
          </w:p>
        </w:tc>
        <w:tc>
          <w:tcPr>
            <w:tcW w:w="1045" w:type="dxa"/>
          </w:tcPr>
          <w:p>
            <w:pPr>
              <w:widowControl/>
              <w:jc w:val="center"/>
              <w:outlineLvl w:val="1"/>
              <w:rPr>
                <w:rFonts w:ascii="仿宋_GB2312" w:hAnsi="宋体" w:eastAsia="仿宋_GB2312"/>
                <w:kern w:val="0"/>
                <w:sz w:val="32"/>
                <w:szCs w:val="32"/>
              </w:rPr>
            </w:pPr>
          </w:p>
        </w:tc>
        <w:tc>
          <w:tcPr>
            <w:tcW w:w="690"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5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50" w:type="dxa"/>
          </w:tcPr>
          <w:p>
            <w:pPr>
              <w:widowControl/>
              <w:jc w:val="center"/>
              <w:outlineLvl w:val="1"/>
              <w:rPr>
                <w:rFonts w:ascii="仿宋_GB2312" w:hAnsi="宋体" w:eastAsia="仿宋_GB2312"/>
                <w:kern w:val="0"/>
                <w:sz w:val="32"/>
                <w:szCs w:val="32"/>
              </w:rPr>
            </w:pPr>
          </w:p>
        </w:tc>
        <w:tc>
          <w:tcPr>
            <w:tcW w:w="1220" w:type="dxa"/>
          </w:tcPr>
          <w:p>
            <w:pPr>
              <w:widowControl/>
              <w:jc w:val="center"/>
              <w:outlineLvl w:val="1"/>
              <w:rPr>
                <w:rFonts w:ascii="仿宋_GB2312" w:hAnsi="宋体" w:eastAsia="仿宋_GB2312"/>
                <w:kern w:val="0"/>
                <w:sz w:val="32"/>
                <w:szCs w:val="32"/>
              </w:rPr>
            </w:pPr>
          </w:p>
        </w:tc>
        <w:tc>
          <w:tcPr>
            <w:tcW w:w="1045" w:type="dxa"/>
          </w:tcPr>
          <w:p>
            <w:pPr>
              <w:widowControl/>
              <w:jc w:val="center"/>
              <w:outlineLvl w:val="1"/>
              <w:rPr>
                <w:rFonts w:ascii="仿宋_GB2312" w:hAnsi="宋体" w:eastAsia="仿宋_GB2312"/>
                <w:kern w:val="0"/>
                <w:sz w:val="32"/>
                <w:szCs w:val="32"/>
              </w:rPr>
            </w:pPr>
          </w:p>
        </w:tc>
        <w:tc>
          <w:tcPr>
            <w:tcW w:w="690"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5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50" w:type="dxa"/>
          </w:tcPr>
          <w:p>
            <w:pPr>
              <w:widowControl/>
              <w:jc w:val="center"/>
              <w:outlineLvl w:val="1"/>
              <w:rPr>
                <w:rFonts w:ascii="仿宋_GB2312" w:hAnsi="宋体" w:eastAsia="仿宋_GB2312"/>
                <w:kern w:val="0"/>
                <w:sz w:val="32"/>
                <w:szCs w:val="32"/>
              </w:rPr>
            </w:pPr>
          </w:p>
        </w:tc>
        <w:tc>
          <w:tcPr>
            <w:tcW w:w="1220" w:type="dxa"/>
          </w:tcPr>
          <w:p>
            <w:pPr>
              <w:widowControl/>
              <w:jc w:val="center"/>
              <w:outlineLvl w:val="1"/>
              <w:rPr>
                <w:rFonts w:ascii="仿宋_GB2312" w:hAnsi="宋体" w:eastAsia="仿宋_GB2312"/>
                <w:kern w:val="0"/>
                <w:sz w:val="32"/>
                <w:szCs w:val="32"/>
              </w:rPr>
            </w:pPr>
          </w:p>
        </w:tc>
        <w:tc>
          <w:tcPr>
            <w:tcW w:w="1045" w:type="dxa"/>
          </w:tcPr>
          <w:p>
            <w:pPr>
              <w:widowControl/>
              <w:jc w:val="center"/>
              <w:outlineLvl w:val="1"/>
              <w:rPr>
                <w:rFonts w:ascii="仿宋_GB2312" w:hAnsi="宋体" w:eastAsia="仿宋_GB2312"/>
                <w:kern w:val="0"/>
                <w:sz w:val="32"/>
                <w:szCs w:val="32"/>
              </w:rPr>
            </w:pPr>
          </w:p>
        </w:tc>
        <w:tc>
          <w:tcPr>
            <w:tcW w:w="690"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5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50" w:type="dxa"/>
          </w:tcPr>
          <w:p>
            <w:pPr>
              <w:widowControl/>
              <w:jc w:val="center"/>
              <w:outlineLvl w:val="1"/>
              <w:rPr>
                <w:rFonts w:ascii="仿宋_GB2312" w:hAnsi="宋体" w:eastAsia="仿宋_GB2312"/>
                <w:kern w:val="0"/>
                <w:sz w:val="32"/>
                <w:szCs w:val="32"/>
              </w:rPr>
            </w:pPr>
          </w:p>
        </w:tc>
        <w:tc>
          <w:tcPr>
            <w:tcW w:w="1220" w:type="dxa"/>
          </w:tcPr>
          <w:p>
            <w:pPr>
              <w:widowControl/>
              <w:jc w:val="center"/>
              <w:outlineLvl w:val="1"/>
              <w:rPr>
                <w:rFonts w:ascii="仿宋_GB2312" w:hAnsi="宋体" w:eastAsia="仿宋_GB2312"/>
                <w:kern w:val="0"/>
                <w:sz w:val="32"/>
                <w:szCs w:val="32"/>
              </w:rPr>
            </w:pPr>
          </w:p>
        </w:tc>
        <w:tc>
          <w:tcPr>
            <w:tcW w:w="1045" w:type="dxa"/>
          </w:tcPr>
          <w:p>
            <w:pPr>
              <w:widowControl/>
              <w:jc w:val="center"/>
              <w:outlineLvl w:val="1"/>
              <w:rPr>
                <w:rFonts w:ascii="仿宋_GB2312" w:hAnsi="宋体" w:eastAsia="仿宋_GB2312"/>
                <w:kern w:val="0"/>
                <w:sz w:val="32"/>
                <w:szCs w:val="32"/>
              </w:rPr>
            </w:pPr>
          </w:p>
        </w:tc>
        <w:tc>
          <w:tcPr>
            <w:tcW w:w="690"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5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50" w:type="dxa"/>
          </w:tcPr>
          <w:p>
            <w:pPr>
              <w:widowControl/>
              <w:jc w:val="center"/>
              <w:outlineLvl w:val="1"/>
              <w:rPr>
                <w:rFonts w:ascii="仿宋_GB2312" w:hAnsi="宋体" w:eastAsia="仿宋_GB2312"/>
                <w:kern w:val="0"/>
                <w:sz w:val="32"/>
                <w:szCs w:val="32"/>
              </w:rPr>
            </w:pPr>
          </w:p>
        </w:tc>
        <w:tc>
          <w:tcPr>
            <w:tcW w:w="1220" w:type="dxa"/>
          </w:tcPr>
          <w:p>
            <w:pPr>
              <w:widowControl/>
              <w:jc w:val="center"/>
              <w:outlineLvl w:val="1"/>
              <w:rPr>
                <w:rFonts w:ascii="仿宋_GB2312" w:hAnsi="宋体" w:eastAsia="仿宋_GB2312"/>
                <w:kern w:val="0"/>
                <w:sz w:val="32"/>
                <w:szCs w:val="32"/>
              </w:rPr>
            </w:pPr>
          </w:p>
        </w:tc>
        <w:tc>
          <w:tcPr>
            <w:tcW w:w="1045" w:type="dxa"/>
          </w:tcPr>
          <w:p>
            <w:pPr>
              <w:widowControl/>
              <w:jc w:val="center"/>
              <w:outlineLvl w:val="1"/>
              <w:rPr>
                <w:rFonts w:ascii="仿宋_GB2312" w:hAnsi="宋体" w:eastAsia="仿宋_GB2312"/>
                <w:kern w:val="0"/>
                <w:sz w:val="32"/>
                <w:szCs w:val="32"/>
              </w:rPr>
            </w:pPr>
          </w:p>
        </w:tc>
        <w:tc>
          <w:tcPr>
            <w:tcW w:w="690" w:type="dxa"/>
          </w:tcPr>
          <w:p>
            <w:pPr>
              <w:widowControl/>
              <w:jc w:val="right"/>
              <w:outlineLvl w:val="1"/>
              <w:rPr>
                <w:rFonts w:ascii="仿宋_GB2312" w:hAnsi="宋体" w:eastAsia="仿宋_GB2312"/>
                <w:kern w:val="0"/>
                <w:sz w:val="32"/>
                <w:szCs w:val="32"/>
              </w:rPr>
            </w:pPr>
          </w:p>
        </w:tc>
        <w:tc>
          <w:tcPr>
            <w:tcW w:w="540" w:type="dxa"/>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608"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16" w:type="dxa"/>
          </w:tcPr>
          <w:p>
            <w:pPr>
              <w:widowControl/>
              <w:jc w:val="right"/>
              <w:outlineLvl w:val="1"/>
              <w:rPr>
                <w:rFonts w:ascii="仿宋_GB2312" w:hAnsi="宋体" w:eastAsia="仿宋_GB2312"/>
                <w:kern w:val="0"/>
                <w:sz w:val="32"/>
                <w:szCs w:val="32"/>
              </w:rPr>
            </w:pPr>
          </w:p>
        </w:tc>
        <w:tc>
          <w:tcPr>
            <w:tcW w:w="45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jc w:val="center"/>
              <w:rPr>
                <w:rFonts w:hint="eastAsia" w:ascii="仿宋_GB2312" w:hAnsi="宋体" w:eastAsia="仿宋_GB2312" w:cs="宋体"/>
                <w:color w:val="000000"/>
                <w:sz w:val="20"/>
                <w:szCs w:val="20"/>
                <w:lang w:val="en-US" w:eastAsia="zh-CN"/>
              </w:rPr>
            </w:pPr>
          </w:p>
        </w:tc>
        <w:tc>
          <w:tcPr>
            <w:tcW w:w="420" w:type="dxa"/>
          </w:tcPr>
          <w:p>
            <w:pPr>
              <w:jc w:val="center"/>
              <w:rPr>
                <w:rFonts w:hint="eastAsia" w:ascii="仿宋_GB2312" w:hAnsi="宋体" w:eastAsia="仿宋_GB2312" w:cs="宋体"/>
                <w:color w:val="000000"/>
                <w:sz w:val="20"/>
                <w:szCs w:val="20"/>
                <w:lang w:val="en-US" w:eastAsia="zh-CN"/>
              </w:rPr>
            </w:pPr>
          </w:p>
        </w:tc>
        <w:tc>
          <w:tcPr>
            <w:tcW w:w="450" w:type="dxa"/>
          </w:tcPr>
          <w:p>
            <w:pPr>
              <w:jc w:val="center"/>
              <w:rPr>
                <w:rFonts w:hint="eastAsia" w:ascii="仿宋_GB2312" w:hAnsi="宋体" w:eastAsia="仿宋_GB2312" w:cs="宋体"/>
                <w:color w:val="000000"/>
                <w:sz w:val="20"/>
                <w:szCs w:val="20"/>
                <w:lang w:val="en-US" w:eastAsia="zh-CN"/>
              </w:rPr>
            </w:pPr>
          </w:p>
        </w:tc>
        <w:tc>
          <w:tcPr>
            <w:tcW w:w="1220" w:type="dxa"/>
          </w:tcPr>
          <w:p>
            <w:pPr>
              <w:jc w:val="center"/>
              <w:rPr>
                <w:rFonts w:hint="eastAsia" w:ascii="仿宋_GB2312" w:hAnsi="宋体" w:eastAsia="仿宋_GB2312" w:cs="宋体"/>
                <w:color w:val="000000"/>
                <w:sz w:val="20"/>
                <w:szCs w:val="20"/>
                <w:lang w:val="en-US" w:eastAsia="zh-CN"/>
              </w:rPr>
            </w:pPr>
          </w:p>
        </w:tc>
        <w:tc>
          <w:tcPr>
            <w:tcW w:w="1045" w:type="dxa"/>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合 计</w:t>
            </w:r>
          </w:p>
        </w:tc>
        <w:tc>
          <w:tcPr>
            <w:tcW w:w="690" w:type="dxa"/>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w:t>
            </w:r>
          </w:p>
        </w:tc>
        <w:tc>
          <w:tcPr>
            <w:tcW w:w="540" w:type="dxa"/>
          </w:tcPr>
          <w:p>
            <w:pPr>
              <w:jc w:val="center"/>
              <w:rPr>
                <w:rFonts w:hint="default" w:ascii="仿宋_GB2312" w:hAnsi="宋体" w:eastAsia="仿宋_GB2312" w:cs="宋体"/>
                <w:color w:val="000000"/>
                <w:sz w:val="20"/>
                <w:szCs w:val="20"/>
                <w:lang w:val="en-US" w:eastAsia="zh-CN"/>
              </w:rPr>
            </w:pPr>
          </w:p>
        </w:tc>
        <w:tc>
          <w:tcPr>
            <w:tcW w:w="536" w:type="dxa"/>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w:t>
            </w:r>
          </w:p>
        </w:tc>
        <w:tc>
          <w:tcPr>
            <w:tcW w:w="608" w:type="dxa"/>
          </w:tcPr>
          <w:p>
            <w:pPr>
              <w:jc w:val="center"/>
              <w:rPr>
                <w:rFonts w:hint="eastAsia" w:ascii="仿宋_GB2312" w:hAnsi="宋体" w:eastAsia="仿宋_GB2312" w:cs="宋体"/>
                <w:color w:val="000000"/>
                <w:sz w:val="20"/>
                <w:szCs w:val="20"/>
                <w:lang w:val="en-US" w:eastAsia="zh-CN"/>
              </w:rPr>
            </w:pPr>
          </w:p>
        </w:tc>
        <w:tc>
          <w:tcPr>
            <w:tcW w:w="608" w:type="dxa"/>
          </w:tcPr>
          <w:p>
            <w:pPr>
              <w:jc w:val="center"/>
              <w:rPr>
                <w:rFonts w:hint="eastAsia" w:ascii="仿宋_GB2312" w:hAnsi="宋体" w:eastAsia="仿宋_GB2312" w:cs="宋体"/>
                <w:color w:val="000000"/>
                <w:sz w:val="20"/>
                <w:szCs w:val="20"/>
                <w:lang w:val="en-US" w:eastAsia="zh-CN"/>
              </w:rPr>
            </w:pPr>
          </w:p>
        </w:tc>
        <w:tc>
          <w:tcPr>
            <w:tcW w:w="578" w:type="dxa"/>
            <w:gridSpan w:val="2"/>
          </w:tcPr>
          <w:p>
            <w:pPr>
              <w:jc w:val="center"/>
              <w:rPr>
                <w:rFonts w:hint="eastAsia" w:ascii="仿宋_GB2312" w:hAnsi="宋体" w:eastAsia="仿宋_GB2312" w:cs="宋体"/>
                <w:color w:val="000000"/>
                <w:sz w:val="20"/>
                <w:szCs w:val="20"/>
                <w:lang w:val="en-US" w:eastAsia="zh-CN"/>
              </w:rPr>
            </w:pPr>
          </w:p>
        </w:tc>
        <w:tc>
          <w:tcPr>
            <w:tcW w:w="416" w:type="dxa"/>
          </w:tcPr>
          <w:p>
            <w:pPr>
              <w:jc w:val="center"/>
              <w:rPr>
                <w:rFonts w:hint="eastAsia" w:ascii="仿宋_GB2312" w:hAnsi="宋体" w:eastAsia="仿宋_GB2312" w:cs="宋体"/>
                <w:color w:val="000000"/>
                <w:sz w:val="20"/>
                <w:szCs w:val="20"/>
                <w:lang w:val="en-US" w:eastAsia="zh-CN"/>
              </w:rPr>
            </w:pPr>
          </w:p>
        </w:tc>
        <w:tc>
          <w:tcPr>
            <w:tcW w:w="578" w:type="dxa"/>
          </w:tcPr>
          <w:p>
            <w:pPr>
              <w:jc w:val="center"/>
              <w:rPr>
                <w:rFonts w:hint="eastAsia" w:ascii="仿宋_GB2312" w:hAnsi="宋体" w:eastAsia="仿宋_GB2312" w:cs="宋体"/>
                <w:color w:val="000000"/>
                <w:sz w:val="20"/>
                <w:szCs w:val="20"/>
                <w:lang w:val="en-US" w:eastAsia="zh-CN"/>
              </w:rPr>
            </w:pPr>
          </w:p>
        </w:tc>
        <w:tc>
          <w:tcPr>
            <w:tcW w:w="416" w:type="dxa"/>
          </w:tcPr>
          <w:p>
            <w:pPr>
              <w:jc w:val="center"/>
              <w:rPr>
                <w:rFonts w:hint="eastAsia" w:ascii="仿宋_GB2312" w:hAnsi="宋体" w:eastAsia="仿宋_GB2312" w:cs="宋体"/>
                <w:color w:val="000000"/>
                <w:sz w:val="20"/>
                <w:szCs w:val="20"/>
                <w:lang w:val="en-US" w:eastAsia="zh-CN"/>
              </w:rPr>
            </w:pPr>
          </w:p>
        </w:tc>
        <w:tc>
          <w:tcPr>
            <w:tcW w:w="416" w:type="dxa"/>
          </w:tcPr>
          <w:p>
            <w:pPr>
              <w:jc w:val="center"/>
              <w:rPr>
                <w:rFonts w:hint="eastAsia" w:ascii="仿宋_GB2312" w:hAnsi="宋体" w:eastAsia="仿宋_GB2312" w:cs="宋体"/>
                <w:color w:val="000000"/>
                <w:sz w:val="20"/>
                <w:szCs w:val="20"/>
                <w:lang w:val="en-US" w:eastAsia="zh-CN"/>
              </w:rPr>
            </w:pPr>
          </w:p>
        </w:tc>
        <w:tc>
          <w:tcPr>
            <w:tcW w:w="456" w:type="dxa"/>
            <w:gridSpan w:val="2"/>
          </w:tcPr>
          <w:p>
            <w:pPr>
              <w:widowControl/>
              <w:jc w:val="right"/>
              <w:outlineLvl w:val="1"/>
              <w:rPr>
                <w:rFonts w:ascii="仿宋_GB2312" w:hAnsi="宋体" w:eastAsia="仿宋_GB2312"/>
                <w:kern w:val="0"/>
                <w:sz w:val="32"/>
                <w:szCs w:val="3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 昌吉州地质环境监测站                      单位：万元</w:t>
      </w:r>
    </w:p>
    <w:tbl>
      <w:tblPr>
        <w:tblStyle w:val="6"/>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备注：我单位无一般公共预算“三公”预算，此表为空表。</w:t>
      </w:r>
    </w:p>
    <w:p>
      <w:pPr>
        <w:widowControl/>
        <w:outlineLvl w:val="1"/>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   昌吉州地质环境监测站                      单位：万元</w:t>
      </w:r>
    </w:p>
    <w:tbl>
      <w:tblPr>
        <w:tblStyle w:val="6"/>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一、关于昌吉州地质环境监测站2022年收支预算情况的总体说明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按照全口径预算的原则，昌吉州地质环境监测站2022年所有收入和支出均纳入部门（单位）预算管理。收支总预算</w:t>
      </w:r>
      <w:r>
        <w:rPr>
          <w:rFonts w:hint="eastAsia" w:ascii="仿宋_GB2312" w:hAnsi="宋体" w:eastAsia="仿宋_GB2312" w:cs="宋体"/>
          <w:kern w:val="0"/>
          <w:sz w:val="32"/>
          <w:szCs w:val="32"/>
          <w:lang w:val="en-US" w:eastAsia="zh-CN"/>
        </w:rPr>
        <w:t>210.65</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210.65万元</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支出预算包括：社会保障和就业支出</w:t>
      </w:r>
      <w:r>
        <w:rPr>
          <w:rFonts w:hint="eastAsia" w:ascii="仿宋_GB2312" w:hAnsi="宋体" w:eastAsia="仿宋_GB2312" w:cs="宋体"/>
          <w:kern w:val="0"/>
          <w:sz w:val="32"/>
          <w:szCs w:val="32"/>
          <w:lang w:val="en-US" w:eastAsia="zh-CN"/>
        </w:rPr>
        <w:t>18.14万元</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14.17万元</w:t>
      </w:r>
      <w:r>
        <w:rPr>
          <w:rFonts w:hint="eastAsia" w:ascii="仿宋_GB2312" w:hAnsi="宋体" w:eastAsia="仿宋_GB2312" w:cs="宋体"/>
          <w:kern w:val="0"/>
          <w:sz w:val="32"/>
          <w:szCs w:val="32"/>
        </w:rPr>
        <w:t>、自然资源海洋气象等支出</w:t>
      </w:r>
      <w:r>
        <w:rPr>
          <w:rFonts w:hint="eastAsia" w:ascii="仿宋_GB2312" w:hAnsi="宋体" w:eastAsia="仿宋_GB2312" w:cs="宋体"/>
          <w:kern w:val="0"/>
          <w:sz w:val="32"/>
          <w:szCs w:val="32"/>
          <w:lang w:val="en-US" w:eastAsia="zh-CN"/>
        </w:rPr>
        <w:t>162.22万元、</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16.12万元</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rPr>
        <w:t>昌吉州地质环境监测站</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昌吉州地质环境监测站收入预算</w:t>
      </w:r>
      <w:r>
        <w:rPr>
          <w:rFonts w:hint="eastAsia" w:ascii="仿宋_GB2312" w:hAnsi="宋体" w:eastAsia="仿宋_GB2312" w:cs="宋体"/>
          <w:kern w:val="0"/>
          <w:sz w:val="32"/>
          <w:szCs w:val="32"/>
          <w:lang w:val="en-US" w:eastAsia="zh-CN"/>
        </w:rPr>
        <w:t>210.65</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210.65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21.92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11.61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：业务工作增加</w:t>
      </w:r>
      <w:r>
        <w:rPr>
          <w:rFonts w:hint="eastAsia" w:ascii="仿宋_GB2312" w:hAnsi="宋体" w:eastAsia="仿宋_GB2312" w:cs="宋体"/>
          <w:kern w:val="0"/>
          <w:sz w:val="32"/>
          <w:szCs w:val="32"/>
        </w:rPr>
        <w:t>项目</w:t>
      </w:r>
      <w:r>
        <w:rPr>
          <w:rFonts w:hint="eastAsia" w:ascii="仿宋_GB2312" w:hAnsi="宋体" w:eastAsia="仿宋_GB2312" w:cs="宋体"/>
          <w:kern w:val="0"/>
          <w:sz w:val="32"/>
          <w:szCs w:val="32"/>
          <w:lang w:eastAsia="zh-CN"/>
        </w:rPr>
        <w:t>经费增加</w:t>
      </w:r>
      <w:r>
        <w:rPr>
          <w:rFonts w:hint="eastAsia" w:ascii="仿宋_GB2312" w:hAnsi="宋体" w:eastAsia="仿宋_GB2312" w:cs="宋体"/>
          <w:kern w:val="0"/>
          <w:sz w:val="32"/>
          <w:szCs w:val="32"/>
        </w:rPr>
        <w:t>5万元资金</w:t>
      </w:r>
      <w:r>
        <w:rPr>
          <w:rFonts w:hint="eastAsia" w:ascii="仿宋_GB2312" w:hAnsi="宋体" w:eastAsia="仿宋_GB2312" w:cs="宋体"/>
          <w:kern w:val="0"/>
          <w:sz w:val="32"/>
          <w:szCs w:val="32"/>
          <w:lang w:eastAsia="zh-CN"/>
        </w:rPr>
        <w:t>；新进研究生一人，工资、社保、医保、公积金等人员经费增加</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kern w:val="0"/>
          <w:sz w:val="32"/>
          <w:szCs w:val="32"/>
        </w:rPr>
        <w:t>昌吉州地质环境监测站</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昌吉州地质环境监测站2022年支出预算</w:t>
      </w:r>
      <w:r>
        <w:rPr>
          <w:rFonts w:hint="eastAsia" w:ascii="仿宋_GB2312" w:hAnsi="宋体" w:eastAsia="仿宋_GB2312" w:cs="宋体"/>
          <w:kern w:val="0"/>
          <w:sz w:val="32"/>
          <w:szCs w:val="32"/>
          <w:lang w:val="en-US" w:eastAsia="zh-CN"/>
        </w:rPr>
        <w:t>210.65</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180.65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85.76</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16.92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10.33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：新进研究生一人，工资、社保、医保、公积金等人员经费增加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14.24</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：业务工作增加</w:t>
      </w:r>
      <w:r>
        <w:rPr>
          <w:rFonts w:hint="eastAsia" w:ascii="仿宋_GB2312" w:hAnsi="宋体" w:eastAsia="仿宋_GB2312" w:cs="宋体"/>
          <w:kern w:val="0"/>
          <w:sz w:val="32"/>
          <w:szCs w:val="32"/>
        </w:rPr>
        <w:t>项目</w:t>
      </w:r>
      <w:r>
        <w:rPr>
          <w:rFonts w:hint="eastAsia" w:ascii="仿宋_GB2312" w:hAnsi="宋体" w:eastAsia="仿宋_GB2312" w:cs="宋体"/>
          <w:kern w:val="0"/>
          <w:sz w:val="32"/>
          <w:szCs w:val="32"/>
          <w:lang w:eastAsia="zh-CN"/>
        </w:rPr>
        <w:t>经费增加</w:t>
      </w:r>
      <w:r>
        <w:rPr>
          <w:rFonts w:hint="eastAsia" w:ascii="仿宋_GB2312" w:hAnsi="宋体" w:eastAsia="仿宋_GB2312" w:cs="宋体"/>
          <w:kern w:val="0"/>
          <w:sz w:val="32"/>
          <w:szCs w:val="32"/>
        </w:rPr>
        <w:t>5万元资金。</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kern w:val="0"/>
          <w:sz w:val="32"/>
          <w:szCs w:val="32"/>
        </w:rPr>
        <w:t>昌吉州地质环境监测站</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210.65</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210.65</w:t>
      </w:r>
      <w:r>
        <w:rPr>
          <w:rFonts w:hint="eastAsia" w:ascii="仿宋_GB2312" w:hAnsi="宋体" w:eastAsia="仿宋_GB2312" w:cs="宋体"/>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w:t>
      </w:r>
    </w:p>
    <w:p>
      <w:pPr>
        <w:spacing w:line="560" w:lineRule="exact"/>
        <w:ind w:firstLine="616" w:firstLineChars="200"/>
        <w:rPr>
          <w:rFonts w:hint="eastAsia" w:ascii="仿宋_GB2312" w:hAnsi="宋体" w:eastAsia="仿宋_GB2312" w:cs="宋体"/>
          <w:spacing w:val="-6"/>
          <w:kern w:val="0"/>
          <w:sz w:val="32"/>
          <w:szCs w:val="32"/>
          <w:lang w:eastAsia="zh-CN"/>
        </w:rPr>
      </w:pPr>
      <w:r>
        <w:rPr>
          <w:rFonts w:hint="eastAsia" w:ascii="仿宋_GB2312" w:hAnsi="宋体" w:eastAsia="仿宋_GB2312" w:cs="宋体"/>
          <w:spacing w:val="-6"/>
          <w:kern w:val="0"/>
          <w:sz w:val="32"/>
          <w:szCs w:val="32"/>
        </w:rPr>
        <w:t>社会保障和就业支出</w:t>
      </w:r>
      <w:r>
        <w:rPr>
          <w:rFonts w:hint="eastAsia" w:ascii="仿宋_GB2312" w:hAnsi="宋体" w:eastAsia="仿宋_GB2312" w:cs="宋体"/>
          <w:spacing w:val="-6"/>
          <w:kern w:val="0"/>
          <w:sz w:val="32"/>
          <w:szCs w:val="32"/>
          <w:lang w:val="en-US" w:eastAsia="zh-CN"/>
        </w:rPr>
        <w:t>18.14</w:t>
      </w:r>
      <w:r>
        <w:rPr>
          <w:rFonts w:hint="eastAsia" w:ascii="仿宋_GB2312" w:hAnsi="宋体" w:eastAsia="仿宋_GB2312" w:cs="宋体"/>
          <w:spacing w:val="-6"/>
          <w:kern w:val="0"/>
          <w:sz w:val="32"/>
          <w:szCs w:val="32"/>
        </w:rPr>
        <w:t>万元</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kern w:val="0"/>
          <w:sz w:val="32"/>
          <w:szCs w:val="32"/>
        </w:rPr>
        <w:t>主</w:t>
      </w:r>
      <w:r>
        <w:rPr>
          <w:rFonts w:hint="eastAsia" w:ascii="仿宋_GB2312" w:hAnsi="宋体" w:eastAsia="仿宋_GB2312" w:cs="宋体"/>
          <w:spacing w:val="-6"/>
          <w:kern w:val="0"/>
          <w:sz w:val="32"/>
          <w:szCs w:val="32"/>
          <w:lang w:val="en-US" w:eastAsia="zh-CN"/>
        </w:rPr>
        <w:t>要用于机关事业单位基本养老保险缴费支出</w:t>
      </w:r>
      <w:r>
        <w:rPr>
          <w:rFonts w:hint="eastAsia" w:ascii="仿宋_GB2312" w:hAnsi="宋体" w:eastAsia="仿宋_GB2312" w:cs="宋体"/>
          <w:spacing w:val="-6"/>
          <w:kern w:val="0"/>
          <w:sz w:val="32"/>
          <w:szCs w:val="32"/>
          <w:lang w:eastAsia="zh-CN"/>
        </w:rPr>
        <w:t>；</w:t>
      </w:r>
    </w:p>
    <w:p>
      <w:pPr>
        <w:spacing w:line="560" w:lineRule="exact"/>
        <w:ind w:firstLine="616" w:firstLineChars="200"/>
        <w:rPr>
          <w:rFonts w:hint="eastAsia" w:ascii="仿宋_GB2312" w:hAnsi="宋体" w:eastAsia="仿宋_GB2312" w:cs="宋体"/>
          <w:spacing w:val="-6"/>
          <w:kern w:val="0"/>
          <w:sz w:val="32"/>
          <w:szCs w:val="32"/>
          <w:lang w:val="en-US" w:eastAsia="zh-CN"/>
        </w:rPr>
      </w:pPr>
      <w:r>
        <w:rPr>
          <w:rFonts w:hint="eastAsia" w:ascii="仿宋_GB2312" w:hAnsi="宋体" w:eastAsia="仿宋_GB2312" w:cs="宋体"/>
          <w:spacing w:val="-6"/>
          <w:kern w:val="0"/>
          <w:sz w:val="32"/>
          <w:szCs w:val="32"/>
        </w:rPr>
        <w:t>卫生健康支出</w:t>
      </w:r>
      <w:r>
        <w:rPr>
          <w:rFonts w:hint="eastAsia" w:ascii="仿宋_GB2312" w:hAnsi="宋体" w:eastAsia="仿宋_GB2312" w:cs="宋体"/>
          <w:spacing w:val="-6"/>
          <w:kern w:val="0"/>
          <w:sz w:val="32"/>
          <w:szCs w:val="32"/>
          <w:lang w:val="en-US" w:eastAsia="zh-CN"/>
        </w:rPr>
        <w:t>14.17</w:t>
      </w:r>
      <w:r>
        <w:rPr>
          <w:rFonts w:hint="eastAsia" w:ascii="仿宋_GB2312" w:hAnsi="宋体" w:eastAsia="仿宋_GB2312" w:cs="宋体"/>
          <w:spacing w:val="-6"/>
          <w:kern w:val="0"/>
          <w:sz w:val="32"/>
          <w:szCs w:val="32"/>
        </w:rPr>
        <w:t>万元</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kern w:val="0"/>
          <w:sz w:val="32"/>
          <w:szCs w:val="32"/>
        </w:rPr>
        <w:t>主</w:t>
      </w:r>
      <w:r>
        <w:rPr>
          <w:rFonts w:hint="eastAsia" w:ascii="仿宋_GB2312" w:hAnsi="宋体" w:eastAsia="仿宋_GB2312" w:cs="宋体"/>
          <w:spacing w:val="-6"/>
          <w:kern w:val="0"/>
          <w:sz w:val="32"/>
          <w:szCs w:val="32"/>
        </w:rPr>
        <w:t>要用于事业单位医疗</w:t>
      </w:r>
      <w:r>
        <w:rPr>
          <w:rFonts w:hint="eastAsia" w:ascii="仿宋_GB2312" w:hAnsi="宋体" w:eastAsia="仿宋_GB2312" w:cs="宋体"/>
          <w:spacing w:val="-6"/>
          <w:kern w:val="0"/>
          <w:sz w:val="32"/>
          <w:szCs w:val="32"/>
          <w:lang w:val="en-US" w:eastAsia="zh-CN"/>
        </w:rPr>
        <w:t>10.71万元、</w:t>
      </w:r>
      <w:r>
        <w:rPr>
          <w:rFonts w:hint="eastAsia" w:ascii="仿宋_GB2312" w:hAnsi="宋体" w:eastAsia="仿宋_GB2312" w:cs="宋体"/>
          <w:spacing w:val="-6"/>
          <w:kern w:val="0"/>
          <w:sz w:val="32"/>
          <w:szCs w:val="32"/>
        </w:rPr>
        <w:t>公务员医疗补助</w:t>
      </w:r>
      <w:r>
        <w:rPr>
          <w:rFonts w:hint="eastAsia" w:ascii="仿宋_GB2312" w:hAnsi="宋体" w:eastAsia="仿宋_GB2312" w:cs="宋体"/>
          <w:spacing w:val="-6"/>
          <w:kern w:val="0"/>
          <w:sz w:val="32"/>
          <w:szCs w:val="32"/>
          <w:lang w:val="en-US" w:eastAsia="zh-CN"/>
        </w:rPr>
        <w:t>3.38万元、</w:t>
      </w:r>
      <w:r>
        <w:rPr>
          <w:rFonts w:hint="eastAsia" w:ascii="仿宋_GB2312" w:hAnsi="宋体" w:eastAsia="仿宋_GB2312" w:cs="宋体"/>
          <w:spacing w:val="-6"/>
          <w:kern w:val="0"/>
          <w:sz w:val="32"/>
          <w:szCs w:val="32"/>
        </w:rPr>
        <w:t>其他行政事业单位医疗支出</w:t>
      </w:r>
      <w:r>
        <w:rPr>
          <w:rFonts w:hint="eastAsia" w:ascii="仿宋_GB2312" w:hAnsi="宋体" w:eastAsia="仿宋_GB2312" w:cs="宋体"/>
          <w:spacing w:val="-6"/>
          <w:kern w:val="0"/>
          <w:sz w:val="32"/>
          <w:szCs w:val="32"/>
          <w:lang w:val="en-US" w:eastAsia="zh-CN"/>
        </w:rPr>
        <w:t>0.08万元；</w:t>
      </w:r>
    </w:p>
    <w:p>
      <w:pPr>
        <w:spacing w:line="560" w:lineRule="exact"/>
        <w:ind w:firstLine="616" w:firstLineChars="200"/>
        <w:rPr>
          <w:rFonts w:hint="eastAsia" w:ascii="仿宋_GB2312" w:hAnsi="宋体" w:eastAsia="仿宋_GB2312" w:cs="宋体"/>
          <w:spacing w:val="-6"/>
          <w:kern w:val="0"/>
          <w:sz w:val="32"/>
          <w:szCs w:val="32"/>
          <w:lang w:val="en-US" w:eastAsia="zh-CN"/>
        </w:rPr>
      </w:pPr>
      <w:r>
        <w:rPr>
          <w:rFonts w:hint="eastAsia" w:ascii="仿宋_GB2312" w:hAnsi="宋体" w:eastAsia="仿宋_GB2312" w:cs="宋体"/>
          <w:spacing w:val="-6"/>
          <w:kern w:val="0"/>
          <w:sz w:val="32"/>
          <w:szCs w:val="32"/>
          <w:lang w:val="en-US" w:eastAsia="zh-CN"/>
        </w:rPr>
        <w:t>自然资源海洋气象等支出162.22万元，主要用于事业运行132.22万元、其他自然资源事务支出30万元；</w:t>
      </w:r>
    </w:p>
    <w:p>
      <w:pPr>
        <w:spacing w:line="560" w:lineRule="exact"/>
        <w:ind w:firstLine="616" w:firstLineChars="200"/>
        <w:rPr>
          <w:rFonts w:hint="default" w:ascii="仿宋_GB2312" w:hAnsi="宋体" w:eastAsia="仿宋_GB2312" w:cs="宋体"/>
          <w:spacing w:val="-6"/>
          <w:kern w:val="0"/>
          <w:sz w:val="32"/>
          <w:szCs w:val="32"/>
          <w:lang w:val="en-US" w:eastAsia="zh-CN"/>
        </w:rPr>
      </w:pPr>
      <w:r>
        <w:rPr>
          <w:rFonts w:hint="eastAsia" w:ascii="仿宋_GB2312" w:hAnsi="宋体" w:eastAsia="仿宋_GB2312" w:cs="宋体"/>
          <w:spacing w:val="-6"/>
          <w:kern w:val="0"/>
          <w:sz w:val="32"/>
          <w:szCs w:val="32"/>
          <w:lang w:val="en-US" w:eastAsia="zh-CN"/>
        </w:rPr>
        <w:t>住房保障支出16.12万元，主要用于住房公积金16.12万元；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lang w:val="en-US" w:eastAsia="zh-CN"/>
        </w:rPr>
        <w:t>无政府性基金预算拨款。</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昌吉州地质环境监测站</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昌吉州地质环境监测站</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210.65</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180.65</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16.92</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10.33</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新进研究生一人，工资、社保、医保、公积金等人员经费增加</w:t>
      </w:r>
      <w:r>
        <w:rPr>
          <w:rFonts w:hint="eastAsia" w:ascii="仿宋_GB2312" w:hAnsi="宋体" w:eastAsia="仿宋_GB2312" w:cs="宋体"/>
          <w:kern w:val="0"/>
          <w:sz w:val="32"/>
          <w:szCs w:val="32"/>
        </w:rPr>
        <w:t>。</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30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业务工作增加</w:t>
      </w:r>
      <w:r>
        <w:rPr>
          <w:rFonts w:hint="eastAsia" w:ascii="仿宋_GB2312" w:hAnsi="宋体" w:eastAsia="仿宋_GB2312" w:cs="宋体"/>
          <w:kern w:val="0"/>
          <w:sz w:val="32"/>
          <w:szCs w:val="32"/>
        </w:rPr>
        <w:t>项目</w:t>
      </w:r>
      <w:r>
        <w:rPr>
          <w:rFonts w:hint="eastAsia" w:ascii="仿宋_GB2312" w:hAnsi="宋体" w:eastAsia="仿宋_GB2312" w:cs="宋体"/>
          <w:kern w:val="0"/>
          <w:sz w:val="32"/>
          <w:szCs w:val="32"/>
          <w:lang w:eastAsia="zh-CN"/>
        </w:rPr>
        <w:t>经费增加</w:t>
      </w:r>
      <w:r>
        <w:rPr>
          <w:rFonts w:hint="eastAsia" w:ascii="仿宋_GB2312" w:hAnsi="宋体" w:eastAsia="仿宋_GB2312" w:cs="宋体"/>
          <w:kern w:val="0"/>
          <w:sz w:val="32"/>
          <w:szCs w:val="32"/>
        </w:rPr>
        <w:t>5万元资金</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16" w:firstLineChars="200"/>
        <w:rPr>
          <w:rFonts w:hint="eastAsia" w:ascii="仿宋_GB2312" w:hAnsi="宋体" w:eastAsia="仿宋_GB2312" w:cs="宋体"/>
          <w:spacing w:val="-6"/>
          <w:kern w:val="0"/>
          <w:sz w:val="32"/>
          <w:szCs w:val="32"/>
          <w:lang w:eastAsia="zh-CN"/>
        </w:rPr>
      </w:pPr>
      <w:r>
        <w:rPr>
          <w:rFonts w:hint="eastAsia" w:ascii="仿宋_GB2312" w:hAnsi="宋体" w:eastAsia="仿宋_GB2312" w:cs="宋体"/>
          <w:spacing w:val="-6"/>
          <w:kern w:val="0"/>
          <w:sz w:val="32"/>
          <w:szCs w:val="32"/>
          <w:lang w:val="en-US" w:eastAsia="zh-CN"/>
        </w:rPr>
        <w:t>1.</w:t>
      </w:r>
      <w:r>
        <w:rPr>
          <w:rFonts w:hint="eastAsia" w:ascii="仿宋_GB2312" w:hAnsi="宋体" w:eastAsia="仿宋_GB2312" w:cs="宋体"/>
          <w:spacing w:val="-6"/>
          <w:kern w:val="0"/>
          <w:sz w:val="32"/>
          <w:szCs w:val="32"/>
        </w:rPr>
        <w:t>社会保障和就业支出</w:t>
      </w:r>
      <w:r>
        <w:rPr>
          <w:rFonts w:hint="eastAsia" w:ascii="仿宋_GB2312" w:hAnsi="仿宋_GB2312" w:eastAsia="仿宋_GB2312" w:cs="仿宋_GB2312"/>
          <w:sz w:val="32"/>
          <w:szCs w:val="32"/>
        </w:rPr>
        <w:t>（类）</w:t>
      </w:r>
      <w:r>
        <w:rPr>
          <w:rFonts w:hint="eastAsia" w:ascii="仿宋_GB2312" w:hAnsi="宋体" w:eastAsia="仿宋_GB2312" w:cs="宋体"/>
          <w:spacing w:val="-6"/>
          <w:kern w:val="0"/>
          <w:sz w:val="32"/>
          <w:szCs w:val="32"/>
          <w:lang w:val="en-US" w:eastAsia="zh-CN"/>
        </w:rPr>
        <w:t>18.14</w:t>
      </w:r>
      <w:r>
        <w:rPr>
          <w:rFonts w:hint="eastAsia" w:ascii="仿宋_GB2312" w:hAnsi="宋体" w:eastAsia="仿宋_GB2312" w:cs="宋体"/>
          <w:spacing w:val="-6"/>
          <w:kern w:val="0"/>
          <w:sz w:val="32"/>
          <w:szCs w:val="32"/>
        </w:rPr>
        <w:t>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8.61</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p>
    <w:p>
      <w:pPr>
        <w:spacing w:line="560" w:lineRule="exact"/>
        <w:ind w:firstLine="616" w:firstLineChars="200"/>
        <w:rPr>
          <w:rFonts w:hint="eastAsia" w:ascii="仿宋_GB2312" w:hAnsi="宋体" w:eastAsia="仿宋_GB2312" w:cs="宋体"/>
          <w:spacing w:val="-6"/>
          <w:kern w:val="0"/>
          <w:sz w:val="32"/>
          <w:szCs w:val="32"/>
          <w:lang w:eastAsia="zh-CN"/>
        </w:rPr>
      </w:pPr>
      <w:r>
        <w:rPr>
          <w:rFonts w:hint="eastAsia" w:ascii="仿宋_GB2312" w:hAnsi="宋体" w:eastAsia="仿宋_GB2312" w:cs="宋体"/>
          <w:spacing w:val="-6"/>
          <w:kern w:val="0"/>
          <w:sz w:val="32"/>
          <w:szCs w:val="32"/>
          <w:lang w:val="en-US" w:eastAsia="zh-CN"/>
        </w:rPr>
        <w:t>2.</w:t>
      </w:r>
      <w:r>
        <w:rPr>
          <w:rFonts w:hint="eastAsia" w:ascii="仿宋_GB2312" w:hAnsi="宋体" w:eastAsia="仿宋_GB2312" w:cs="宋体"/>
          <w:spacing w:val="-6"/>
          <w:kern w:val="0"/>
          <w:sz w:val="32"/>
          <w:szCs w:val="32"/>
        </w:rPr>
        <w:t>卫生健康支出</w:t>
      </w:r>
      <w:r>
        <w:rPr>
          <w:rFonts w:hint="eastAsia" w:ascii="仿宋_GB2312" w:hAnsi="仿宋_GB2312" w:eastAsia="仿宋_GB2312" w:cs="仿宋_GB2312"/>
          <w:sz w:val="32"/>
          <w:szCs w:val="32"/>
        </w:rPr>
        <w:t>（类）</w:t>
      </w:r>
      <w:r>
        <w:rPr>
          <w:rFonts w:hint="eastAsia" w:ascii="仿宋_GB2312" w:hAnsi="宋体" w:eastAsia="仿宋_GB2312" w:cs="宋体"/>
          <w:spacing w:val="-6"/>
          <w:kern w:val="0"/>
          <w:sz w:val="32"/>
          <w:szCs w:val="32"/>
          <w:lang w:val="en-US" w:eastAsia="zh-CN"/>
        </w:rPr>
        <w:t>14.17</w:t>
      </w:r>
      <w:r>
        <w:rPr>
          <w:rFonts w:hint="eastAsia" w:ascii="仿宋_GB2312" w:hAnsi="宋体" w:eastAsia="仿宋_GB2312" w:cs="宋体"/>
          <w:spacing w:val="-6"/>
          <w:kern w:val="0"/>
          <w:sz w:val="32"/>
          <w:szCs w:val="32"/>
        </w:rPr>
        <w:t>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6.73</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p>
    <w:p>
      <w:pPr>
        <w:spacing w:line="560" w:lineRule="exact"/>
        <w:ind w:firstLine="616" w:firstLineChars="200"/>
        <w:rPr>
          <w:rFonts w:hint="eastAsia" w:ascii="仿宋_GB2312" w:hAnsi="仿宋_GB2312" w:eastAsia="仿宋_GB2312" w:cs="仿宋_GB2312"/>
          <w:kern w:val="0"/>
          <w:sz w:val="32"/>
          <w:szCs w:val="32"/>
          <w:lang w:eastAsia="zh-CN"/>
        </w:rPr>
      </w:pPr>
      <w:r>
        <w:rPr>
          <w:rFonts w:hint="eastAsia" w:ascii="仿宋_GB2312" w:hAnsi="宋体" w:eastAsia="仿宋_GB2312" w:cs="宋体"/>
          <w:spacing w:val="-6"/>
          <w:kern w:val="0"/>
          <w:sz w:val="32"/>
          <w:szCs w:val="32"/>
          <w:lang w:val="en-US" w:eastAsia="zh-CN"/>
        </w:rPr>
        <w:t>3.</w:t>
      </w:r>
      <w:r>
        <w:rPr>
          <w:rFonts w:hint="eastAsia" w:ascii="仿宋_GB2312" w:hAnsi="宋体" w:eastAsia="仿宋_GB2312" w:cs="宋体"/>
          <w:spacing w:val="-6"/>
          <w:kern w:val="0"/>
          <w:sz w:val="32"/>
          <w:szCs w:val="32"/>
        </w:rPr>
        <w:t>自然资源海洋气象等支出</w:t>
      </w:r>
      <w:r>
        <w:rPr>
          <w:rFonts w:hint="eastAsia" w:ascii="仿宋_GB2312" w:hAnsi="仿宋_GB2312" w:eastAsia="仿宋_GB2312" w:cs="仿宋_GB2312"/>
          <w:sz w:val="32"/>
          <w:szCs w:val="32"/>
        </w:rPr>
        <w:t>（类）</w:t>
      </w:r>
      <w:r>
        <w:rPr>
          <w:rFonts w:hint="eastAsia" w:ascii="仿宋_GB2312" w:hAnsi="宋体" w:eastAsia="仿宋_GB2312" w:cs="宋体"/>
          <w:kern w:val="0"/>
          <w:sz w:val="32"/>
          <w:szCs w:val="32"/>
          <w:lang w:val="en-US" w:eastAsia="zh-CN"/>
        </w:rPr>
        <w:t>162.22</w:t>
      </w:r>
      <w:r>
        <w:rPr>
          <w:rFonts w:hint="eastAsia" w:ascii="仿宋_GB2312" w:hAnsi="宋体" w:eastAsia="仿宋_GB2312" w:cs="宋体"/>
          <w:spacing w:val="-6"/>
          <w:kern w:val="0"/>
          <w:sz w:val="32"/>
          <w:szCs w:val="32"/>
        </w:rPr>
        <w:t>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77.01</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p>
    <w:p>
      <w:pPr>
        <w:spacing w:line="560" w:lineRule="exact"/>
        <w:ind w:firstLine="616" w:firstLineChars="200"/>
        <w:rPr>
          <w:rFonts w:hint="default" w:ascii="仿宋_GB2312" w:hAnsi="宋体" w:eastAsia="仿宋_GB2312" w:cs="宋体"/>
          <w:spacing w:val="-6"/>
          <w:kern w:val="0"/>
          <w:sz w:val="32"/>
          <w:szCs w:val="32"/>
          <w:lang w:val="en-US" w:eastAsia="zh-CN"/>
        </w:rPr>
      </w:pPr>
      <w:r>
        <w:rPr>
          <w:rFonts w:hint="eastAsia" w:ascii="仿宋_GB2312" w:hAnsi="宋体" w:eastAsia="仿宋_GB2312" w:cs="宋体"/>
          <w:spacing w:val="-6"/>
          <w:kern w:val="0"/>
          <w:sz w:val="32"/>
          <w:szCs w:val="32"/>
          <w:lang w:val="en-US" w:eastAsia="zh-CN"/>
        </w:rPr>
        <w:t>4.</w:t>
      </w:r>
      <w:r>
        <w:rPr>
          <w:rFonts w:hint="eastAsia" w:ascii="仿宋_GB2312" w:hAnsi="宋体" w:eastAsia="仿宋_GB2312" w:cs="宋体"/>
          <w:spacing w:val="-6"/>
          <w:kern w:val="0"/>
          <w:sz w:val="32"/>
          <w:szCs w:val="32"/>
        </w:rPr>
        <w:t>住房保障支出</w:t>
      </w:r>
      <w:r>
        <w:rPr>
          <w:rFonts w:hint="eastAsia" w:ascii="仿宋_GB2312" w:hAnsi="宋体" w:eastAsia="仿宋_GB2312" w:cs="宋体"/>
          <w:spacing w:val="-6"/>
          <w:kern w:val="0"/>
          <w:sz w:val="32"/>
          <w:szCs w:val="32"/>
          <w:lang w:eastAsia="zh-CN"/>
        </w:rPr>
        <w:t>（类）</w:t>
      </w:r>
      <w:r>
        <w:rPr>
          <w:rFonts w:hint="eastAsia" w:ascii="仿宋_GB2312" w:hAnsi="宋体" w:eastAsia="仿宋_GB2312" w:cs="宋体"/>
          <w:spacing w:val="-6"/>
          <w:kern w:val="0"/>
          <w:sz w:val="32"/>
          <w:szCs w:val="32"/>
          <w:lang w:val="en-US" w:eastAsia="zh-CN"/>
        </w:rPr>
        <w:t>16.12万元，占7.65%。</w:t>
      </w:r>
    </w:p>
    <w:p>
      <w:pPr>
        <w:spacing w:line="560" w:lineRule="exact"/>
        <w:ind w:firstLine="643"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1.社会保障和就业（类）行政事业单位养老（款）</w:t>
      </w:r>
      <w:r>
        <w:rPr>
          <w:rFonts w:hint="eastAsia" w:ascii="仿宋_GB2312" w:hAnsi="宋体" w:eastAsia="仿宋_GB2312" w:cs="宋体"/>
          <w:kern w:val="0"/>
          <w:sz w:val="32"/>
          <w:szCs w:val="32"/>
          <w:lang w:eastAsia="zh-CN"/>
        </w:rPr>
        <w:t>事业单位离退休</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万元，比上年预算数增加</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万元，增加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%，主要原因是：支出功能分类科目发生变化。</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社会保障和就业（类）行政事业单位养老（款）机关事业单位基本养老保险缴费（项）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18.14</w:t>
      </w:r>
      <w:r>
        <w:rPr>
          <w:rFonts w:hint="eastAsia" w:ascii="仿宋_GB2312" w:hAnsi="宋体" w:eastAsia="仿宋_GB2312" w:cs="宋体"/>
          <w:kern w:val="0"/>
          <w:sz w:val="32"/>
          <w:szCs w:val="32"/>
        </w:rPr>
        <w:t>万元，比上年预算数增加</w:t>
      </w:r>
      <w:r>
        <w:rPr>
          <w:rFonts w:hint="eastAsia" w:ascii="仿宋_GB2312" w:hAnsi="宋体" w:eastAsia="仿宋_GB2312" w:cs="宋体"/>
          <w:kern w:val="0"/>
          <w:sz w:val="32"/>
          <w:szCs w:val="32"/>
          <w:lang w:val="en-US" w:eastAsia="zh-CN"/>
        </w:rPr>
        <w:t>3.2</w:t>
      </w:r>
      <w:r>
        <w:rPr>
          <w:rFonts w:hint="eastAsia" w:ascii="仿宋_GB2312" w:hAnsi="宋体" w:eastAsia="仿宋_GB2312" w:cs="宋体"/>
          <w:kern w:val="0"/>
          <w:sz w:val="32"/>
          <w:szCs w:val="32"/>
        </w:rPr>
        <w:t>万元，增加</w:t>
      </w:r>
      <w:r>
        <w:rPr>
          <w:rFonts w:hint="eastAsia" w:ascii="仿宋_GB2312" w:hAnsi="宋体" w:eastAsia="仿宋_GB2312" w:cs="宋体"/>
          <w:kern w:val="0"/>
          <w:sz w:val="32"/>
          <w:szCs w:val="32"/>
          <w:lang w:val="en-US" w:eastAsia="zh-CN"/>
        </w:rPr>
        <w:t>24.42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新进研究生一人，社保类人员经费增加</w:t>
      </w:r>
      <w:r>
        <w:rPr>
          <w:rFonts w:hint="eastAsia" w:ascii="仿宋_GB2312" w:hAnsi="宋体" w:eastAsia="仿宋_GB2312" w:cs="宋体"/>
          <w:kern w:val="0"/>
          <w:sz w:val="32"/>
          <w:szCs w:val="32"/>
        </w:rPr>
        <w:t>。</w:t>
      </w:r>
    </w:p>
    <w:p>
      <w:pPr>
        <w:spacing w:line="560" w:lineRule="exact"/>
        <w:ind w:firstLine="640" w:firstLineChars="200"/>
        <w:rPr>
          <w:rFonts w:ascii="仿宋" w:hAnsi="仿宋" w:eastAsia="仿宋" w:cs="宋体"/>
          <w:kern w:val="0"/>
          <w:sz w:val="32"/>
          <w:szCs w:val="32"/>
        </w:rPr>
      </w:pPr>
      <w:r>
        <w:rPr>
          <w:rFonts w:hint="eastAsia" w:ascii="仿宋_GB2312" w:hAnsi="宋体" w:eastAsia="仿宋_GB2312" w:cs="宋体"/>
          <w:kern w:val="0"/>
          <w:sz w:val="32"/>
          <w:szCs w:val="32"/>
        </w:rPr>
        <w:t>3</w:t>
      </w:r>
      <w:r>
        <w:rPr>
          <w:rFonts w:hint="eastAsia" w:ascii="仿宋_GB2312" w:hAnsi="宋体" w:eastAsia="仿宋_GB2312" w:cs="宋体"/>
          <w:kern w:val="0"/>
          <w:sz w:val="32"/>
          <w:szCs w:val="32"/>
          <w:lang w:val="en-US" w:eastAsia="zh-CN"/>
        </w:rPr>
        <w:t>.</w:t>
      </w:r>
      <w:r>
        <w:rPr>
          <w:rFonts w:hint="eastAsia" w:ascii="仿宋" w:hAnsi="仿宋" w:eastAsia="仿宋" w:cs="宋体"/>
          <w:kern w:val="0"/>
          <w:sz w:val="32"/>
          <w:szCs w:val="32"/>
        </w:rPr>
        <w:t>卫生健康（类）行政事业单位医疗（款）事业单位医疗（项）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10.71</w:t>
      </w:r>
      <w:r>
        <w:rPr>
          <w:rFonts w:hint="eastAsia" w:ascii="仿宋_GB2312" w:hAnsi="宋体" w:eastAsia="仿宋_GB2312" w:cs="宋体"/>
          <w:kern w:val="0"/>
          <w:sz w:val="32"/>
          <w:szCs w:val="32"/>
        </w:rPr>
        <w:t>万元，比上年预算数增加</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万元，增加</w:t>
      </w:r>
      <w:r>
        <w:rPr>
          <w:rFonts w:hint="eastAsia" w:ascii="仿宋_GB2312" w:hAnsi="宋体" w:eastAsia="仿宋_GB2312" w:cs="宋体"/>
          <w:kern w:val="0"/>
          <w:sz w:val="32"/>
          <w:szCs w:val="32"/>
          <w:lang w:val="en-US" w:eastAsia="zh-CN"/>
        </w:rPr>
        <w:t>11.45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新进研究生一人，医保类人员经费增加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 w:hAnsi="仿宋" w:eastAsia="仿宋" w:cs="宋体"/>
          <w:kern w:val="0"/>
          <w:sz w:val="32"/>
          <w:szCs w:val="32"/>
          <w:lang w:val="en-US" w:eastAsia="zh-CN"/>
        </w:rPr>
        <w:t>4</w:t>
      </w:r>
      <w:r>
        <w:rPr>
          <w:rFonts w:hint="eastAsia" w:ascii="仿宋" w:hAnsi="仿宋" w:eastAsia="仿宋" w:cs="宋体"/>
          <w:kern w:val="0"/>
          <w:sz w:val="32"/>
          <w:szCs w:val="32"/>
        </w:rPr>
        <w:t>.卫生健康（类）行政事业单位医疗（款）公务员医疗补助（项）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3.38</w:t>
      </w:r>
      <w:r>
        <w:rPr>
          <w:rFonts w:hint="eastAsia" w:ascii="仿宋_GB2312" w:hAnsi="宋体" w:eastAsia="仿宋_GB2312" w:cs="宋体"/>
          <w:kern w:val="0"/>
          <w:sz w:val="32"/>
          <w:szCs w:val="32"/>
        </w:rPr>
        <w:t>万元，比上年预算数增加</w:t>
      </w:r>
      <w:r>
        <w:rPr>
          <w:rFonts w:hint="eastAsia" w:ascii="仿宋_GB2312" w:hAnsi="宋体" w:eastAsia="仿宋_GB2312" w:cs="宋体"/>
          <w:kern w:val="0"/>
          <w:sz w:val="32"/>
          <w:szCs w:val="32"/>
          <w:lang w:val="en-US" w:eastAsia="zh-CN"/>
        </w:rPr>
        <w:t>0.33</w:t>
      </w:r>
      <w:r>
        <w:rPr>
          <w:rFonts w:hint="eastAsia" w:ascii="仿宋_GB2312" w:hAnsi="宋体" w:eastAsia="仿宋_GB2312" w:cs="宋体"/>
          <w:kern w:val="0"/>
          <w:sz w:val="32"/>
          <w:szCs w:val="32"/>
        </w:rPr>
        <w:t>万元，增加</w:t>
      </w:r>
      <w:r>
        <w:rPr>
          <w:rFonts w:hint="eastAsia" w:ascii="仿宋_GB2312" w:hAnsi="宋体" w:eastAsia="仿宋_GB2312" w:cs="宋体"/>
          <w:kern w:val="0"/>
          <w:sz w:val="32"/>
          <w:szCs w:val="32"/>
          <w:lang w:val="en-US" w:eastAsia="zh-CN"/>
        </w:rPr>
        <w:t>10.82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新进研究生一人，医保类人员经费增加</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 w:hAnsi="仿宋" w:eastAsia="仿宋" w:cs="宋体"/>
          <w:kern w:val="0"/>
          <w:sz w:val="32"/>
          <w:szCs w:val="32"/>
          <w:lang w:val="en-US" w:eastAsia="zh-CN"/>
        </w:rPr>
        <w:t>5</w:t>
      </w:r>
      <w:r>
        <w:rPr>
          <w:rFonts w:hint="eastAsia" w:ascii="仿宋" w:hAnsi="仿宋" w:eastAsia="仿宋" w:cs="宋体"/>
          <w:kern w:val="0"/>
          <w:sz w:val="32"/>
          <w:szCs w:val="32"/>
        </w:rPr>
        <w:t>.卫生健康（类）行政事业单位医疗（款）事业单位医疗其他行政事业单位医疗（项）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0.08</w:t>
      </w:r>
      <w:r>
        <w:rPr>
          <w:rFonts w:hint="eastAsia" w:ascii="仿宋_GB2312" w:hAnsi="宋体" w:eastAsia="仿宋_GB2312" w:cs="宋体"/>
          <w:kern w:val="0"/>
          <w:sz w:val="32"/>
          <w:szCs w:val="32"/>
        </w:rPr>
        <w:t>万元，比上年预算数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0.37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降低</w:t>
      </w:r>
      <w:r>
        <w:rPr>
          <w:rFonts w:hint="eastAsia" w:ascii="仿宋_GB2312" w:hAnsi="宋体" w:eastAsia="仿宋_GB2312" w:cs="宋体"/>
          <w:kern w:val="0"/>
          <w:sz w:val="32"/>
          <w:szCs w:val="32"/>
          <w:lang w:val="en-US" w:eastAsia="zh-CN"/>
        </w:rPr>
        <w:t>82.22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医疗缴费比例变更，</w:t>
      </w:r>
      <w:r>
        <w:rPr>
          <w:rFonts w:hint="eastAsia" w:ascii="仿宋" w:hAnsi="仿宋" w:eastAsia="仿宋" w:cs="宋体"/>
          <w:kern w:val="0"/>
          <w:sz w:val="32"/>
          <w:szCs w:val="32"/>
        </w:rPr>
        <w:t>其他医疗</w:t>
      </w:r>
      <w:r>
        <w:rPr>
          <w:rFonts w:hint="eastAsia" w:ascii="仿宋" w:hAnsi="仿宋" w:eastAsia="仿宋" w:cs="宋体"/>
          <w:kern w:val="0"/>
          <w:sz w:val="32"/>
          <w:szCs w:val="32"/>
          <w:lang w:eastAsia="zh-CN"/>
        </w:rPr>
        <w:t>保险缴费减少</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自然资源海洋气象等支出（类）自然资源事务（款）事业运行（项）：202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132.22</w:t>
      </w:r>
      <w:r>
        <w:rPr>
          <w:rFonts w:hint="eastAsia" w:ascii="仿宋_GB2312" w:hAnsi="宋体" w:eastAsia="仿宋_GB2312" w:cs="宋体"/>
          <w:kern w:val="0"/>
          <w:sz w:val="32"/>
          <w:szCs w:val="32"/>
        </w:rPr>
        <w:t>万元，比上年预算数减少</w:t>
      </w:r>
      <w:r>
        <w:rPr>
          <w:rFonts w:hint="eastAsia" w:ascii="仿宋_GB2312" w:hAnsi="宋体" w:eastAsia="仿宋_GB2312" w:cs="宋体"/>
          <w:kern w:val="0"/>
          <w:sz w:val="32"/>
          <w:szCs w:val="32"/>
          <w:lang w:val="en-US" w:eastAsia="zh-CN"/>
        </w:rPr>
        <w:t>3.46</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2.55</w:t>
      </w:r>
      <w:r>
        <w:rPr>
          <w:rFonts w:hint="eastAsia" w:ascii="仿宋_GB2312" w:hAnsi="宋体" w:eastAsia="仿宋_GB2312" w:cs="宋体"/>
          <w:kern w:val="0"/>
          <w:sz w:val="32"/>
          <w:szCs w:val="32"/>
        </w:rPr>
        <w:t>%，主要原因是：支出功能分类科目发生变化。</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.自然资源海洋气象等支出（类）自然资源事务（款）其他自然资源事务支出（项）:202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万元，比上年预算数增加</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万元，增加</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业务工作增加</w:t>
      </w:r>
      <w:r>
        <w:rPr>
          <w:rFonts w:hint="eastAsia" w:ascii="仿宋_GB2312" w:hAnsi="宋体" w:eastAsia="仿宋_GB2312" w:cs="宋体"/>
          <w:kern w:val="0"/>
          <w:sz w:val="32"/>
          <w:szCs w:val="32"/>
        </w:rPr>
        <w:t>项目</w:t>
      </w:r>
      <w:r>
        <w:rPr>
          <w:rFonts w:hint="eastAsia" w:ascii="仿宋_GB2312" w:hAnsi="宋体" w:eastAsia="仿宋_GB2312" w:cs="宋体"/>
          <w:kern w:val="0"/>
          <w:sz w:val="32"/>
          <w:szCs w:val="32"/>
          <w:lang w:eastAsia="zh-CN"/>
        </w:rPr>
        <w:t>经费增加</w:t>
      </w:r>
      <w:r>
        <w:rPr>
          <w:rFonts w:hint="eastAsia" w:ascii="仿宋_GB2312" w:hAnsi="宋体" w:eastAsia="仿宋_GB2312" w:cs="宋体"/>
          <w:kern w:val="0"/>
          <w:sz w:val="32"/>
          <w:szCs w:val="32"/>
        </w:rPr>
        <w:t>5万元。</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8.住房保障支出</w:t>
      </w:r>
      <w:r>
        <w:rPr>
          <w:rFonts w:hint="eastAsia" w:ascii="仿宋_GB2312" w:hAnsi="宋体" w:eastAsia="仿宋_GB2312" w:cs="宋体"/>
          <w:kern w:val="0"/>
          <w:sz w:val="32"/>
          <w:szCs w:val="32"/>
        </w:rPr>
        <w:t>（类）</w:t>
      </w:r>
      <w:r>
        <w:rPr>
          <w:rFonts w:hint="eastAsia" w:ascii="仿宋_GB2312" w:hAnsi="宋体" w:eastAsia="仿宋_GB2312" w:cs="宋体"/>
          <w:kern w:val="0"/>
          <w:sz w:val="32"/>
          <w:szCs w:val="32"/>
          <w:lang w:val="en-US" w:eastAsia="zh-CN"/>
        </w:rPr>
        <w:t>住房改革支出</w:t>
      </w:r>
      <w:r>
        <w:rPr>
          <w:rFonts w:hint="eastAsia" w:ascii="仿宋_GB2312" w:hAnsi="宋体" w:eastAsia="仿宋_GB2312" w:cs="宋体"/>
          <w:kern w:val="0"/>
          <w:sz w:val="32"/>
          <w:szCs w:val="32"/>
        </w:rPr>
        <w:t>（款）</w:t>
      </w:r>
      <w:r>
        <w:rPr>
          <w:rFonts w:hint="eastAsia" w:ascii="仿宋_GB2312" w:hAnsi="宋体" w:eastAsia="仿宋_GB2312" w:cs="宋体"/>
          <w:kern w:val="0"/>
          <w:sz w:val="32"/>
          <w:szCs w:val="32"/>
          <w:lang w:eastAsia="zh-CN"/>
        </w:rPr>
        <w:t>住房公积金</w:t>
      </w:r>
      <w:r>
        <w:rPr>
          <w:rFonts w:hint="eastAsia" w:ascii="仿宋_GB2312" w:hAnsi="宋体" w:eastAsia="仿宋_GB2312" w:cs="宋体"/>
          <w:kern w:val="0"/>
          <w:sz w:val="32"/>
          <w:szCs w:val="32"/>
        </w:rPr>
        <w:t>（项）:202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16.12</w:t>
      </w:r>
      <w:r>
        <w:rPr>
          <w:rFonts w:hint="eastAsia" w:ascii="仿宋_GB2312" w:hAnsi="宋体" w:eastAsia="仿宋_GB2312" w:cs="宋体"/>
          <w:kern w:val="0"/>
          <w:sz w:val="32"/>
          <w:szCs w:val="32"/>
        </w:rPr>
        <w:t>万元，比上年预算数增加</w:t>
      </w:r>
      <w:r>
        <w:rPr>
          <w:rFonts w:hint="eastAsia" w:ascii="仿宋_GB2312" w:hAnsi="宋体" w:eastAsia="仿宋_GB2312" w:cs="宋体"/>
          <w:kern w:val="0"/>
          <w:sz w:val="32"/>
          <w:szCs w:val="32"/>
          <w:lang w:val="en-US" w:eastAsia="zh-CN"/>
        </w:rPr>
        <w:t>16.12</w:t>
      </w:r>
      <w:r>
        <w:rPr>
          <w:rFonts w:hint="eastAsia" w:ascii="仿宋_GB2312" w:hAnsi="宋体" w:eastAsia="仿宋_GB2312" w:cs="宋体"/>
          <w:kern w:val="0"/>
          <w:sz w:val="32"/>
          <w:szCs w:val="32"/>
        </w:rPr>
        <w:t>万元，增加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%，主要原因是：支出功能分类科目发生变化。</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昌吉州地质环境监测站</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昌吉州地质环境监测站</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180.65</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164.13</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56.24万元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11.83万元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4.59万元</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val="en-US" w:eastAsia="zh-CN"/>
        </w:rPr>
        <w:t>41.30万元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18.04万元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10.71万元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3.38万元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0.57万元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16.12万元</w:t>
      </w:r>
      <w:r>
        <w:rPr>
          <w:rFonts w:hint="eastAsia" w:ascii="仿宋_GB2312" w:hAnsi="宋体" w:eastAsia="仿宋_GB2312" w:cs="宋体"/>
          <w:kern w:val="0"/>
          <w:sz w:val="32"/>
          <w:szCs w:val="32"/>
        </w:rPr>
        <w:t>、离休费</w:t>
      </w:r>
      <w:r>
        <w:rPr>
          <w:rFonts w:hint="eastAsia" w:ascii="仿宋_GB2312" w:hAnsi="宋体" w:eastAsia="仿宋_GB2312" w:cs="宋体"/>
          <w:kern w:val="0"/>
          <w:sz w:val="32"/>
          <w:szCs w:val="32"/>
          <w:lang w:val="en-US" w:eastAsia="zh-CN"/>
        </w:rPr>
        <w:t>0.10万元</w:t>
      </w:r>
      <w:r>
        <w:rPr>
          <w:rFonts w:hint="eastAsia" w:ascii="仿宋_GB2312" w:hAnsi="宋体" w:eastAsia="仿宋_GB2312" w:cs="宋体"/>
          <w:kern w:val="0"/>
          <w:sz w:val="32"/>
          <w:szCs w:val="32"/>
        </w:rPr>
        <w:t>、医疗费补助</w:t>
      </w:r>
      <w:r>
        <w:rPr>
          <w:rFonts w:hint="eastAsia" w:ascii="仿宋_GB2312" w:hAnsi="宋体" w:eastAsia="仿宋_GB2312" w:cs="宋体"/>
          <w:kern w:val="0"/>
          <w:sz w:val="32"/>
          <w:szCs w:val="32"/>
          <w:lang w:val="en-US" w:eastAsia="zh-CN"/>
        </w:rPr>
        <w:t>1.06万元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0.17万元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16.52</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3.44万元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2.00万元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0.5万元</w:t>
      </w:r>
      <w:r>
        <w:rPr>
          <w:rFonts w:hint="eastAsia" w:ascii="仿宋_GB2312" w:hAnsi="宋体" w:eastAsia="仿宋_GB2312" w:cs="宋体"/>
          <w:kern w:val="0"/>
          <w:sz w:val="32"/>
          <w:szCs w:val="32"/>
        </w:rPr>
        <w:t>、取暖费</w:t>
      </w:r>
      <w:r>
        <w:rPr>
          <w:rFonts w:hint="eastAsia" w:ascii="仿宋_GB2312" w:hAnsi="宋体" w:eastAsia="仿宋_GB2312" w:cs="宋体"/>
          <w:kern w:val="0"/>
          <w:sz w:val="32"/>
          <w:szCs w:val="32"/>
          <w:lang w:val="en-US" w:eastAsia="zh-CN"/>
        </w:rPr>
        <w:t>2.57万元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1.50万元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0.5万元</w:t>
      </w:r>
      <w:r>
        <w:rPr>
          <w:rFonts w:hint="eastAsia" w:ascii="仿宋_GB2312" w:hAnsi="宋体" w:eastAsia="仿宋_GB2312" w:cs="宋体"/>
          <w:kern w:val="0"/>
          <w:sz w:val="32"/>
          <w:szCs w:val="32"/>
        </w:rPr>
        <w:t>、租赁费</w:t>
      </w:r>
      <w:r>
        <w:rPr>
          <w:rFonts w:hint="eastAsia" w:ascii="仿宋_GB2312" w:hAnsi="宋体" w:eastAsia="仿宋_GB2312" w:cs="宋体"/>
          <w:kern w:val="0"/>
          <w:sz w:val="32"/>
          <w:szCs w:val="32"/>
          <w:lang w:val="en-US" w:eastAsia="zh-CN"/>
        </w:rPr>
        <w:t>0.5万元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2.12万元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1.91万元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其他交通费用</w:t>
      </w:r>
      <w:r>
        <w:rPr>
          <w:rFonts w:hint="eastAsia" w:ascii="仿宋_GB2312" w:hAnsi="宋体" w:eastAsia="仿宋_GB2312" w:cs="宋体"/>
          <w:kern w:val="0"/>
          <w:sz w:val="32"/>
          <w:szCs w:val="32"/>
          <w:lang w:val="en-US" w:eastAsia="zh-CN"/>
        </w:rPr>
        <w:t>0.20万元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1.28万元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昌吉州地质环境监测站</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地下水监测项目</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《关于安排专项经费的通知》昌州财经办（2020）19号规定</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地下水动态监测为国家提供地下水水位水质变动状态，为政府决策提供依据。地下水均衡试验研究天山北麓经济带等地区的地下水蒸发入渗提供大量的数据资源为研究提供保证。积极开展地下水动态监测、地下水均衡试验工作，为国民经济发展提供基础依据，完成任务。 水质化验样、地下水动态监测及点维护、地下水均衡试验及设备维护。</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昌吉州地质环境监测站</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年专项资金</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万元，用于</w:t>
      </w:r>
      <w:r>
        <w:rPr>
          <w:rFonts w:hint="eastAsia" w:ascii="仿宋_GB2312" w:hAnsi="宋体" w:eastAsia="仿宋_GB2312" w:cs="宋体"/>
          <w:kern w:val="0"/>
          <w:sz w:val="32"/>
          <w:szCs w:val="32"/>
          <w:lang w:eastAsia="zh-CN"/>
        </w:rPr>
        <w:t>保障</w:t>
      </w:r>
      <w:r>
        <w:rPr>
          <w:rFonts w:hint="eastAsia" w:ascii="仿宋_GB2312" w:hAnsi="宋体" w:eastAsia="仿宋_GB2312" w:cs="宋体"/>
          <w:kern w:val="0"/>
          <w:sz w:val="32"/>
          <w:szCs w:val="32"/>
        </w:rPr>
        <w:t>水质化验工作、地下水动态观测及观测点维护、地下水均衡试验场运行及设备维护等工作</w:t>
      </w:r>
      <w:r>
        <w:rPr>
          <w:rFonts w:hint="eastAsia" w:ascii="仿宋_GB2312" w:hAnsi="宋体" w:eastAsia="仿宋_GB2312" w:cs="宋体"/>
          <w:kern w:val="0"/>
          <w:sz w:val="32"/>
          <w:szCs w:val="32"/>
          <w:lang w:eastAsia="zh-CN"/>
        </w:rPr>
        <w:t>正常运转</w:t>
      </w:r>
      <w:r>
        <w:rPr>
          <w:rFonts w:hint="eastAsia" w:ascii="仿宋_GB2312" w:hAnsi="宋体" w:eastAsia="仿宋_GB2312" w:cs="宋体"/>
          <w:kern w:val="0"/>
          <w:sz w:val="32"/>
          <w:szCs w:val="32"/>
        </w:rPr>
        <w:t>。</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kern w:val="0"/>
          <w:sz w:val="32"/>
          <w:szCs w:val="32"/>
        </w:rPr>
        <w:t>昌吉州地质环境监测站</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昌吉州地质环境监测站2022年一般公共预算“三公”经费数为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本年未安排</w:t>
      </w:r>
      <w:r>
        <w:rPr>
          <w:rFonts w:hint="eastAsia" w:ascii="仿宋_GB2312" w:hAnsi="宋体" w:eastAsia="仿宋_GB2312" w:cs="宋体"/>
          <w:kern w:val="0"/>
          <w:sz w:val="32"/>
          <w:szCs w:val="32"/>
        </w:rPr>
        <w:t>因公出国（境）费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本年未安排</w:t>
      </w:r>
      <w:r>
        <w:rPr>
          <w:rFonts w:hint="eastAsia" w:ascii="仿宋_GB2312" w:hAnsi="宋体" w:eastAsia="仿宋_GB2312" w:cs="宋体"/>
          <w:kern w:val="0"/>
          <w:sz w:val="32"/>
          <w:szCs w:val="32"/>
        </w:rPr>
        <w:t>公务用车购置费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本年未安排公</w:t>
      </w:r>
      <w:r>
        <w:rPr>
          <w:rFonts w:hint="eastAsia" w:ascii="仿宋_GB2312" w:hAnsi="宋体" w:eastAsia="仿宋_GB2312" w:cs="宋体"/>
          <w:kern w:val="0"/>
          <w:sz w:val="32"/>
          <w:szCs w:val="32"/>
        </w:rPr>
        <w:t>务用车运行费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本年未安排</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kern w:val="0"/>
          <w:sz w:val="32"/>
          <w:szCs w:val="32"/>
        </w:rPr>
        <w:t>昌吉州地质环境监测站</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昌吉州地质环境监测站</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昌吉州地质环境监测站</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16.52</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0.66</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4.16</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新进研究生一人，</w:t>
      </w:r>
      <w:r>
        <w:rPr>
          <w:rFonts w:hint="eastAsia" w:ascii="仿宋_GB2312" w:hAnsi="仿宋_GB2312" w:eastAsia="仿宋_GB2312" w:cs="仿宋_GB2312"/>
          <w:kern w:val="0"/>
          <w:sz w:val="32"/>
          <w:szCs w:val="32"/>
        </w:rPr>
        <w:t>机关运行经费</w:t>
      </w:r>
      <w:r>
        <w:rPr>
          <w:rFonts w:hint="eastAsia" w:ascii="仿宋_GB2312" w:hAnsi="宋体" w:eastAsia="仿宋_GB2312" w:cs="宋体"/>
          <w:kern w:val="0"/>
          <w:sz w:val="32"/>
          <w:szCs w:val="32"/>
          <w:lang w:eastAsia="zh-CN"/>
        </w:rPr>
        <w:t>增加</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昌吉州地质环境监测站</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39.64</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16.34</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23.3</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w:t>
      </w:r>
      <w:r>
        <w:rPr>
          <w:rFonts w:hint="eastAsia" w:ascii="仿宋_GB2312" w:hAnsi="仿宋_GB2312" w:eastAsia="仿宋_GB2312" w:cs="仿宋_GB2312"/>
          <w:sz w:val="32"/>
          <w:lang w:val="en-US" w:eastAsia="zh-CN"/>
        </w:rPr>
        <w:t>39.64</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29.7</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宋体" w:eastAsia="仿宋_GB2312" w:cs="宋体"/>
          <w:kern w:val="0"/>
          <w:sz w:val="32"/>
          <w:szCs w:val="32"/>
        </w:rPr>
        <w:t>昌吉州地质环境监测站</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2.车辆0辆，价值0万元；其中：一般公务用车0辆，价值0万元；执法执勤用车0辆，价值0万元；其他车辆0辆，价值0万元。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8.74</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93.05</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30</w:t>
      </w:r>
      <w:r>
        <w:rPr>
          <w:rFonts w:hint="eastAsia" w:ascii="仿宋_GB2312" w:hAnsi="仿宋_GB2312" w:eastAsia="仿宋_GB2312" w:cs="仿宋_GB2312"/>
          <w:kern w:val="0"/>
          <w:sz w:val="32"/>
          <w:szCs w:val="32"/>
        </w:rPr>
        <w:t>万元。具体情况见下表（按项目分别填报）：</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rPr>
              <w:t>昌吉州地质环境监测站</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地下水监测项目</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合理高效完成地下水动态监测计划任务，及时掌握地下水位水质变动情况。目标1.试验设备调试维护95个；全年地下水动态监测维护点100个；2022年水质化验样本80个；采购设备设施验收合格率100%；监测结果出具及时性100%。目标2.提高对地下水利用和保护意识；持续掌控地下水区域水质变化情况。</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试验设备调试维护</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&gt;=95个</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全年地下水动态监测维护点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&gt;=100个</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2022年水质化验样本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&gt;=80个</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采购设备设施验收合格率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各项工作展开时间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12月31日</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监测结果出具及时率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地下水监测经费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&lt;=3万元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正常开展业务保障经费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&lt;=27万元</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提高对地下水利用和保护意识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有效提高</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持续掌控地下水区域水质变化情况</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持续监测</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报告使用人满意度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&gt;=95%</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bookmarkStart w:id="0" w:name="_GoBack"/>
      <w:bookmarkEnd w:id="0"/>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昌吉州地质环境监测站 </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ascii="宋体" w:hAnsi="宋体"/>
        <w:sz w:val="28"/>
        <w:szCs w:val="28"/>
      </w:rPr>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52F56D6"/>
    <w:rsid w:val="067E774C"/>
    <w:rsid w:val="29AB31DF"/>
    <w:rsid w:val="2E391B9C"/>
    <w:rsid w:val="3245005C"/>
    <w:rsid w:val="57121430"/>
    <w:rsid w:val="59183BF7"/>
    <w:rsid w:val="63E165B6"/>
    <w:rsid w:val="6BE63786"/>
    <w:rsid w:val="6C0256D6"/>
    <w:rsid w:val="70165467"/>
    <w:rsid w:val="76342E75"/>
    <w:rsid w:val="78B01DA0"/>
    <w:rsid w:val="7A3A6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7478</Words>
  <Characters>9139</Characters>
  <Lines>69</Lines>
  <Paragraphs>19</Paragraphs>
  <TotalTime>2</TotalTime>
  <ScaleCrop>false</ScaleCrop>
  <LinksUpToDate>false</LinksUpToDate>
  <CharactersWithSpaces>9889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2022-04-21T02:37:20Z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AB0CD91E33F844E99CDB19FBD912C214</vt:lpwstr>
  </property>
</Properties>
</file>