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sz w:val="32"/>
          <w:szCs w:val="32"/>
          <w:highlight w:val="none"/>
        </w:rPr>
      </w:pPr>
      <w:r>
        <w:rPr>
          <w:rFonts w:hint="eastAsia" w:ascii="黑体" w:hAnsi="黑体" w:eastAsia="黑体"/>
          <w:sz w:val="32"/>
          <w:szCs w:val="32"/>
          <w:highlight w:val="none"/>
        </w:rPr>
        <w:t>附件</w:t>
      </w:r>
      <w:r>
        <w:rPr>
          <w:rFonts w:ascii="黑体" w:hAnsi="黑体" w:eastAsia="黑体"/>
          <w:sz w:val="32"/>
          <w:szCs w:val="32"/>
          <w:highlight w:val="none"/>
        </w:rPr>
        <w:t>3</w:t>
      </w:r>
      <w:r>
        <w:rPr>
          <w:rFonts w:hint="eastAsia" w:ascii="黑体" w:hAnsi="黑体" w:eastAsia="黑体"/>
          <w:sz w:val="32"/>
          <w:szCs w:val="32"/>
          <w:highlight w:val="none"/>
        </w:rPr>
        <w:t>：</w:t>
      </w:r>
    </w:p>
    <w:p>
      <w:pPr>
        <w:widowControl/>
        <w:spacing w:before="100" w:beforeAutospacing="1" w:after="100" w:afterAutospacing="1"/>
        <w:jc w:val="center"/>
        <w:outlineLvl w:val="1"/>
        <w:rPr>
          <w:rFonts w:ascii="方正小标宋_GBK" w:hAnsi="宋体" w:eastAsia="方正小标宋_GBK"/>
          <w:kern w:val="0"/>
          <w:sz w:val="44"/>
          <w:szCs w:val="44"/>
          <w:highlight w:val="none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方正小标宋_GBK" w:hAnsi="宋体" w:eastAsia="方正小标宋_GBK"/>
          <w:kern w:val="0"/>
          <w:sz w:val="44"/>
          <w:szCs w:val="44"/>
          <w:highlight w:val="none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hint="eastAsia" w:ascii="方正小标宋_GBK" w:hAnsi="宋体" w:eastAsia="方正小标宋_GBK"/>
          <w:kern w:val="0"/>
          <w:sz w:val="44"/>
          <w:szCs w:val="44"/>
          <w:highlight w:val="none"/>
        </w:rPr>
      </w:pPr>
      <w:r>
        <w:rPr>
          <w:rFonts w:hint="eastAsia" w:ascii="方正小标宋_GBK" w:hAnsi="宋体" w:eastAsia="方正小标宋_GBK"/>
          <w:kern w:val="0"/>
          <w:sz w:val="44"/>
          <w:szCs w:val="44"/>
          <w:highlight w:val="none"/>
        </w:rPr>
        <w:t>昌吉州建筑工程社会保险统筹总站202</w:t>
      </w:r>
      <w:r>
        <w:rPr>
          <w:rFonts w:hint="eastAsia" w:ascii="方正小标宋_GBK" w:hAnsi="宋体" w:eastAsia="方正小标宋_GBK"/>
          <w:kern w:val="0"/>
          <w:sz w:val="44"/>
          <w:szCs w:val="44"/>
          <w:highlight w:val="none"/>
          <w:lang w:val="en-US" w:eastAsia="zh-CN"/>
        </w:rPr>
        <w:t>2</w:t>
      </w:r>
      <w:r>
        <w:rPr>
          <w:rFonts w:hint="eastAsia" w:ascii="方正小标宋_GBK" w:hAnsi="宋体" w:eastAsia="方正小标宋_GBK"/>
          <w:kern w:val="0"/>
          <w:sz w:val="44"/>
          <w:szCs w:val="44"/>
          <w:highlight w:val="none"/>
        </w:rPr>
        <w:t>年</w:t>
      </w:r>
    </w:p>
    <w:p>
      <w:pPr>
        <w:widowControl/>
        <w:spacing w:before="100" w:beforeAutospacing="1" w:after="100" w:afterAutospacing="1"/>
        <w:jc w:val="center"/>
        <w:outlineLvl w:val="1"/>
        <w:rPr>
          <w:rFonts w:ascii="方正小标宋_GBK" w:hAnsi="宋体" w:eastAsia="方正小标宋_GBK"/>
          <w:kern w:val="0"/>
          <w:sz w:val="44"/>
          <w:szCs w:val="44"/>
          <w:highlight w:val="none"/>
        </w:rPr>
      </w:pPr>
      <w:r>
        <w:rPr>
          <w:rFonts w:hint="eastAsia" w:ascii="方正小标宋_GBK" w:hAnsi="宋体" w:eastAsia="方正小标宋_GBK"/>
          <w:kern w:val="0"/>
          <w:sz w:val="44"/>
          <w:szCs w:val="44"/>
          <w:highlight w:val="none"/>
        </w:rPr>
        <w:t>部门预算公开</w:t>
      </w:r>
    </w:p>
    <w:p>
      <w:pPr>
        <w:widowControl/>
        <w:spacing w:line="440" w:lineRule="exact"/>
        <w:outlineLvl w:val="1"/>
        <w:rPr>
          <w:rFonts w:ascii="黑体" w:hAnsi="黑体" w:eastAsia="黑体"/>
          <w:kern w:val="0"/>
          <w:sz w:val="36"/>
          <w:szCs w:val="32"/>
          <w:highlight w:val="none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  <w:highlight w:val="none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  <w:highlight w:val="none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  <w:highlight w:val="none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  <w:highlight w:val="none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  <w:highlight w:val="none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  <w:highlight w:val="none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  <w:highlight w:val="none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  <w:highlight w:val="none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  <w:highlight w:val="none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  <w:highlight w:val="none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  <w:highlight w:val="none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  <w:highlight w:val="none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  <w:highlight w:val="none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  <w:highlight w:val="none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  <w:highlight w:val="none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  <w:highlight w:val="none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  <w:highlight w:val="none"/>
        </w:rPr>
      </w:pPr>
    </w:p>
    <w:p>
      <w:pPr>
        <w:widowControl/>
        <w:spacing w:line="440" w:lineRule="exact"/>
        <w:jc w:val="both"/>
        <w:outlineLvl w:val="1"/>
        <w:rPr>
          <w:rFonts w:ascii="黑体" w:hAnsi="黑体" w:eastAsia="黑体"/>
          <w:kern w:val="0"/>
          <w:sz w:val="36"/>
          <w:szCs w:val="32"/>
          <w:highlight w:val="none"/>
        </w:rPr>
        <w:sectPr>
          <w:headerReference r:id="rId3" w:type="default"/>
          <w:footerReference r:id="rId4" w:type="default"/>
          <w:pgSz w:w="11906" w:h="16838"/>
          <w:pgMar w:top="2098" w:right="1418" w:bottom="1928" w:left="1588" w:header="851" w:footer="992" w:gutter="0"/>
          <w:pgNumType w:fmt="numberInDash" w:start="53"/>
          <w:cols w:space="720" w:num="1"/>
          <w:docGrid w:linePitch="312" w:charSpace="0"/>
        </w:sectPr>
      </w:pPr>
    </w:p>
    <w:p>
      <w:pPr>
        <w:spacing w:line="560" w:lineRule="exact"/>
        <w:jc w:val="center"/>
        <w:rPr>
          <w:rFonts w:ascii="黑体" w:hAnsi="黑体" w:eastAsia="黑体" w:cs="黑体"/>
          <w:kern w:val="0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kern w:val="0"/>
          <w:sz w:val="32"/>
          <w:szCs w:val="32"/>
          <w:highlight w:val="none"/>
        </w:rPr>
        <w:t>目 录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  <w:highlight w:val="none"/>
        </w:rPr>
      </w:pP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  <w:highlight w:val="none"/>
        </w:rPr>
        <w:t xml:space="preserve">第一部分  </w:t>
      </w:r>
      <w:r>
        <w:rPr>
          <w:rFonts w:hint="eastAsia" w:ascii="仿宋_GB2312" w:hAnsi="宋体" w:eastAsia="仿宋_GB2312"/>
          <w:b/>
          <w:kern w:val="0"/>
          <w:sz w:val="32"/>
          <w:szCs w:val="32"/>
          <w:highlight w:val="none"/>
        </w:rPr>
        <w:t>昌吉州建筑工程社会保险统筹总站概况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一、主要职能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二、机构设置及人员情况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  <w:highlight w:val="none"/>
        </w:rPr>
        <w:t>第二部分  2022年部门（单位）预算公开表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一、部门（单位）收支总体情况表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二、部门（单位）收入总体情况表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三、部门（单位）支出总体情况表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四、财政拨款收支总体情况表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五、一般公共预算支出情况表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六、一般公共预算基本支出情况表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七、一般公共预算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highlight w:val="none"/>
        </w:rPr>
        <w:t>项目支出情况表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八、一般公共预算“三公”经费支出情况表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九、政府性基金预算支出情况表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  <w:highlight w:val="none"/>
        </w:rPr>
        <w:t>第三部分  2022年部门（单位）预算情况说明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一、关于</w:t>
      </w:r>
      <w:r>
        <w:rPr>
          <w:rFonts w:hint="eastAsia" w:ascii="仿宋" w:hAnsi="仿宋" w:eastAsia="仿宋" w:cs="仿宋"/>
          <w:bCs/>
          <w:kern w:val="0"/>
          <w:sz w:val="32"/>
          <w:szCs w:val="32"/>
          <w:highlight w:val="none"/>
        </w:rPr>
        <w:t>昌吉州建筑工程社会保险统筹总站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2022年收支预算情况的总体说明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二、关于</w:t>
      </w:r>
      <w:r>
        <w:rPr>
          <w:rFonts w:hint="eastAsia" w:ascii="仿宋" w:hAnsi="仿宋" w:eastAsia="仿宋" w:cs="仿宋"/>
          <w:bCs/>
          <w:kern w:val="0"/>
          <w:sz w:val="32"/>
          <w:szCs w:val="32"/>
          <w:highlight w:val="none"/>
        </w:rPr>
        <w:t>昌吉州建筑工程社会保险统筹总站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2022年收入预算情况说明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三、关于</w:t>
      </w:r>
      <w:r>
        <w:rPr>
          <w:rFonts w:hint="eastAsia" w:ascii="仿宋" w:hAnsi="仿宋" w:eastAsia="仿宋" w:cs="仿宋"/>
          <w:bCs/>
          <w:kern w:val="0"/>
          <w:sz w:val="32"/>
          <w:szCs w:val="32"/>
          <w:highlight w:val="none"/>
        </w:rPr>
        <w:t>昌吉州建筑工程社会保险统筹总站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2022年支出预算情况说明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bCs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highlight w:val="none"/>
        </w:rPr>
        <w:t>四、关于</w:t>
      </w:r>
      <w:r>
        <w:rPr>
          <w:rFonts w:hint="eastAsia" w:ascii="仿宋" w:hAnsi="仿宋" w:eastAsia="仿宋" w:cs="仿宋"/>
          <w:bCs/>
          <w:kern w:val="0"/>
          <w:sz w:val="32"/>
          <w:szCs w:val="32"/>
          <w:highlight w:val="none"/>
        </w:rPr>
        <w:t>昌吉州建筑工程社会保险统筹总站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2022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highlight w:val="none"/>
        </w:rPr>
        <w:t>年财政拨款收支预算情况的总体说明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pacing w:val="-6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五、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  <w:highlight w:val="none"/>
        </w:rPr>
        <w:t>关于</w:t>
      </w:r>
      <w:r>
        <w:rPr>
          <w:rFonts w:hint="eastAsia" w:ascii="仿宋" w:hAnsi="仿宋" w:eastAsia="仿宋" w:cs="仿宋"/>
          <w:bCs/>
          <w:kern w:val="0"/>
          <w:sz w:val="32"/>
          <w:szCs w:val="32"/>
          <w:highlight w:val="none"/>
        </w:rPr>
        <w:t>昌吉州建筑工程社会保险统筹总站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2022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  <w:highlight w:val="none"/>
        </w:rPr>
        <w:t>年一般公共预算当年拨款情况说明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pacing w:val="-6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六、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  <w:highlight w:val="none"/>
        </w:rPr>
        <w:t>关于</w:t>
      </w:r>
      <w:r>
        <w:rPr>
          <w:rFonts w:hint="eastAsia" w:ascii="仿宋" w:hAnsi="仿宋" w:eastAsia="仿宋" w:cs="仿宋"/>
          <w:bCs/>
          <w:kern w:val="0"/>
          <w:sz w:val="32"/>
          <w:szCs w:val="32"/>
          <w:highlight w:val="none"/>
        </w:rPr>
        <w:t>昌吉州建筑工程社会保险统筹总站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2022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  <w:highlight w:val="none"/>
        </w:rPr>
        <w:t>年一般公共预算基本支出情况说明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pacing w:val="-6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七、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  <w:highlight w:val="none"/>
        </w:rPr>
        <w:t>关于</w:t>
      </w:r>
      <w:r>
        <w:rPr>
          <w:rFonts w:hint="eastAsia" w:ascii="仿宋" w:hAnsi="仿宋" w:eastAsia="仿宋" w:cs="仿宋"/>
          <w:bCs/>
          <w:kern w:val="0"/>
          <w:sz w:val="32"/>
          <w:szCs w:val="32"/>
          <w:highlight w:val="none"/>
        </w:rPr>
        <w:t>昌吉州建筑工程社会保险统筹总站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2022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  <w:highlight w:val="none"/>
        </w:rPr>
        <w:t>年一般公共预算项目支出情况说明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八、关于</w:t>
      </w:r>
      <w:r>
        <w:rPr>
          <w:rFonts w:hint="eastAsia" w:ascii="仿宋" w:hAnsi="仿宋" w:eastAsia="仿宋" w:cs="仿宋"/>
          <w:bCs/>
          <w:kern w:val="0"/>
          <w:sz w:val="32"/>
          <w:szCs w:val="32"/>
          <w:highlight w:val="none"/>
        </w:rPr>
        <w:t>昌吉州建筑工程社会保险统筹总站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2022年一般公共预算“三公”经费预算情况说明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九、关于</w:t>
      </w:r>
      <w:r>
        <w:rPr>
          <w:rFonts w:hint="eastAsia" w:ascii="仿宋" w:hAnsi="仿宋" w:eastAsia="仿宋" w:cs="仿宋"/>
          <w:bCs/>
          <w:kern w:val="0"/>
          <w:sz w:val="32"/>
          <w:szCs w:val="32"/>
          <w:highlight w:val="none"/>
        </w:rPr>
        <w:t>昌吉州建筑工程社会保险统筹总站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2022年政府性基金预算拨款情况说明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十、其他重要事项的情况说明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  <w:highlight w:val="none"/>
        </w:rPr>
        <w:t>第四部分  名词解释</w:t>
      </w:r>
    </w:p>
    <w:p>
      <w:pPr>
        <w:spacing w:line="60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  <w:highlight w:val="none"/>
        </w:rPr>
        <w:sectPr>
          <w:footerReference r:id="rId5" w:type="default"/>
          <w:pgSz w:w="11906" w:h="16838"/>
          <w:pgMar w:top="2098" w:right="1418" w:bottom="1928" w:left="1588" w:header="851" w:footer="992" w:gutter="0"/>
          <w:pgNumType w:fmt="numberInDash"/>
          <w:cols w:space="720" w:num="1"/>
          <w:docGrid w:linePitch="312" w:charSpace="0"/>
        </w:sectPr>
      </w:pPr>
    </w:p>
    <w:p>
      <w:pPr>
        <w:widowControl/>
        <w:spacing w:line="540" w:lineRule="exact"/>
        <w:jc w:val="center"/>
        <w:outlineLvl w:val="1"/>
        <w:rPr>
          <w:rFonts w:ascii="黑体" w:hAnsi="黑体" w:eastAsia="黑体"/>
          <w:kern w:val="0"/>
          <w:sz w:val="32"/>
          <w:szCs w:val="32"/>
          <w:highlight w:val="none"/>
        </w:rPr>
      </w:pPr>
      <w:r>
        <w:rPr>
          <w:rFonts w:hint="eastAsia" w:ascii="黑体" w:hAnsi="黑体" w:eastAsia="黑体"/>
          <w:kern w:val="0"/>
          <w:sz w:val="32"/>
          <w:szCs w:val="32"/>
          <w:highlight w:val="none"/>
        </w:rPr>
        <w:t>第一部分   *部门（单位）概况</w:t>
      </w:r>
    </w:p>
    <w:p>
      <w:pPr>
        <w:widowControl/>
        <w:spacing w:line="540" w:lineRule="exact"/>
        <w:jc w:val="center"/>
        <w:outlineLvl w:val="1"/>
        <w:rPr>
          <w:rFonts w:ascii="宋体" w:hAnsi="宋体"/>
          <w:b/>
          <w:kern w:val="0"/>
          <w:sz w:val="32"/>
          <w:szCs w:val="32"/>
          <w:highlight w:val="none"/>
        </w:rPr>
      </w:pPr>
    </w:p>
    <w:p>
      <w:pPr>
        <w:widowControl/>
        <w:spacing w:line="540" w:lineRule="exact"/>
        <w:ind w:firstLine="643" w:firstLineChars="200"/>
        <w:jc w:val="left"/>
        <w:rPr>
          <w:rFonts w:ascii="楷体_GB2312" w:hAnsi="楷体_GB2312" w:eastAsia="楷体_GB2312" w:cs="楷体_GB2312"/>
          <w:b/>
          <w:bCs/>
          <w:kern w:val="0"/>
          <w:sz w:val="32"/>
          <w:szCs w:val="32"/>
          <w:highlight w:val="none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  <w:highlight w:val="none"/>
        </w:rPr>
        <w:t>一、主要职能</w:t>
      </w:r>
    </w:p>
    <w:p>
      <w:pPr>
        <w:spacing w:line="560" w:lineRule="exact"/>
        <w:ind w:firstLine="640" w:firstLineChars="200"/>
        <w:rPr>
          <w:rFonts w:hint="default" w:ascii="仿宋_GB2312" w:eastAsia="仿宋_GB2312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  <w:highlight w:val="none"/>
        </w:rPr>
        <w:t xml:space="preserve">   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  <w:highlight w:val="none"/>
        </w:rPr>
        <w:t xml:space="preserve"> </w:t>
      </w:r>
      <w:r>
        <w:rPr>
          <w:rFonts w:hint="eastAsia" w:ascii="仿宋_GB2312" w:eastAsia="仿宋_GB2312"/>
          <w:sz w:val="32"/>
          <w:szCs w:val="32"/>
          <w:highlight w:val="none"/>
        </w:rPr>
        <w:t>按照新疆维吾尔自治区人民政府第180号《新疆维吾尔自治区建筑工程社会保险费统筹管理暂行办法》有关规定，负责建筑工程社会保险费的收缴、拨付、调剂及专项资金监管；2017年底，自治区统筹总站对全区统筹行业职能进行调整，根据新建筹函【2017】12号文件“自2018年1月1日起，凡实行建筑工程施工许可制的新开工项目，暂停收取自治区建筑工程社会保险费”的规定，已暂停收取2018年度以后新开工项目的建筑工程社会保险费。2019年停止收取建筑工程社会保险费。202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2</w:t>
      </w:r>
      <w:r>
        <w:rPr>
          <w:rFonts w:hint="eastAsia" w:ascii="仿宋_GB2312" w:eastAsia="仿宋_GB2312"/>
          <w:sz w:val="32"/>
          <w:szCs w:val="32"/>
          <w:highlight w:val="none"/>
        </w:rPr>
        <w:t>年昌吉州建筑工程社会保险统筹总站将继续严格按程序、按要求拨付以前年度收取的应拨未拨建筑工程社会保险费，确保施工企业职工及时足额的缴纳社会保险费</w:t>
      </w:r>
      <w:r>
        <w:rPr>
          <w:rFonts w:hint="eastAsia" w:ascii="仿宋_GB2312" w:eastAsia="仿宋_GB2312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2022年将完成事业单位改革。</w:t>
      </w:r>
    </w:p>
    <w:p>
      <w:pPr>
        <w:widowControl/>
        <w:spacing w:line="540" w:lineRule="exact"/>
        <w:ind w:firstLine="643" w:firstLineChars="200"/>
        <w:jc w:val="left"/>
        <w:rPr>
          <w:rFonts w:ascii="楷体_GB2312" w:hAnsi="楷体_GB2312" w:eastAsia="楷体_GB2312" w:cs="楷体_GB2312"/>
          <w:b/>
          <w:bCs/>
          <w:kern w:val="0"/>
          <w:sz w:val="32"/>
          <w:szCs w:val="32"/>
          <w:highlight w:val="none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  <w:highlight w:val="none"/>
        </w:rPr>
        <w:t>二、机构设置及人员情况</w:t>
      </w:r>
    </w:p>
    <w:p>
      <w:pPr>
        <w:widowControl/>
        <w:spacing w:line="560" w:lineRule="exact"/>
        <w:ind w:firstLine="640"/>
        <w:jc w:val="left"/>
        <w:rPr>
          <w:rFonts w:ascii="仿宋_GB2312" w:hAnsi="黑体" w:eastAsia="仿宋_GB2312" w:cs="宋体"/>
          <w:bCs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 xml:space="preserve">  昌吉州建筑工程社会保险统筹总站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  <w:highlight w:val="none"/>
        </w:rPr>
        <w:t>无下属预算单位。无下设科室。</w:t>
      </w:r>
    </w:p>
    <w:p>
      <w:pPr>
        <w:widowControl/>
        <w:spacing w:line="560" w:lineRule="exact"/>
        <w:ind w:firstLine="640"/>
        <w:jc w:val="left"/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昌吉州建筑工程社会保险统筹总站编制数14 ，实有人数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18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 xml:space="preserve">   人，其中：在职1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2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人，增加0人； 退休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人，增加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1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人；离休 0人，增加0 人。</w:t>
      </w:r>
    </w:p>
    <w:p>
      <w:pPr>
        <w:widowControl/>
        <w:spacing w:line="54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</w:p>
    <w:p>
      <w:pPr>
        <w:widowControl/>
        <w:spacing w:line="440" w:lineRule="exact"/>
        <w:jc w:val="center"/>
        <w:outlineLvl w:val="1"/>
        <w:rPr>
          <w:rFonts w:hint="eastAsia" w:ascii="仿宋_GB2312" w:hAnsi="宋体" w:eastAsia="仿宋_GB2312" w:cs="宋体"/>
          <w:b/>
          <w:kern w:val="0"/>
          <w:sz w:val="32"/>
          <w:szCs w:val="32"/>
          <w:highlight w:val="none"/>
        </w:rPr>
      </w:pPr>
    </w:p>
    <w:p>
      <w:pPr>
        <w:widowControl/>
        <w:spacing w:line="440" w:lineRule="exact"/>
        <w:jc w:val="center"/>
        <w:outlineLvl w:val="1"/>
        <w:rPr>
          <w:rFonts w:hint="eastAsia" w:ascii="仿宋_GB2312" w:hAnsi="宋体" w:eastAsia="仿宋_GB2312" w:cs="宋体"/>
          <w:b/>
          <w:kern w:val="0"/>
          <w:sz w:val="32"/>
          <w:szCs w:val="32"/>
          <w:highlight w:val="none"/>
        </w:rPr>
      </w:pPr>
    </w:p>
    <w:p>
      <w:pPr>
        <w:widowControl/>
        <w:spacing w:line="440" w:lineRule="exact"/>
        <w:jc w:val="center"/>
        <w:outlineLvl w:val="1"/>
        <w:rPr>
          <w:rFonts w:hint="eastAsia" w:ascii="仿宋_GB2312" w:hAnsi="宋体" w:eastAsia="仿宋_GB2312" w:cs="宋体"/>
          <w:b/>
          <w:kern w:val="0"/>
          <w:sz w:val="32"/>
          <w:szCs w:val="32"/>
          <w:highlight w:val="none"/>
        </w:rPr>
      </w:pPr>
    </w:p>
    <w:p>
      <w:pPr>
        <w:widowControl/>
        <w:spacing w:line="440" w:lineRule="exact"/>
        <w:jc w:val="center"/>
        <w:outlineLvl w:val="1"/>
        <w:rPr>
          <w:rFonts w:hint="eastAsia" w:ascii="仿宋_GB2312" w:hAnsi="宋体" w:eastAsia="仿宋_GB2312" w:cs="宋体"/>
          <w:b/>
          <w:kern w:val="0"/>
          <w:sz w:val="32"/>
          <w:szCs w:val="32"/>
          <w:highlight w:val="none"/>
        </w:rPr>
      </w:pPr>
    </w:p>
    <w:p>
      <w:pPr>
        <w:widowControl/>
        <w:spacing w:line="440" w:lineRule="exact"/>
        <w:jc w:val="center"/>
        <w:outlineLvl w:val="1"/>
        <w:rPr>
          <w:rFonts w:hint="eastAsia" w:ascii="仿宋_GB2312" w:hAnsi="宋体" w:eastAsia="仿宋_GB2312" w:cs="宋体"/>
          <w:b/>
          <w:kern w:val="0"/>
          <w:sz w:val="32"/>
          <w:szCs w:val="32"/>
          <w:highlight w:val="none"/>
        </w:rPr>
      </w:pPr>
    </w:p>
    <w:p>
      <w:pPr>
        <w:widowControl/>
        <w:spacing w:line="440" w:lineRule="exact"/>
        <w:jc w:val="center"/>
        <w:outlineLvl w:val="1"/>
        <w:rPr>
          <w:rFonts w:hint="eastAsia" w:ascii="仿宋_GB2312" w:hAnsi="宋体" w:eastAsia="仿宋_GB2312" w:cs="宋体"/>
          <w:b/>
          <w:kern w:val="0"/>
          <w:sz w:val="32"/>
          <w:szCs w:val="32"/>
          <w:highlight w:val="none"/>
        </w:rPr>
      </w:pPr>
    </w:p>
    <w:p>
      <w:pPr>
        <w:widowControl/>
        <w:spacing w:line="440" w:lineRule="exact"/>
        <w:jc w:val="center"/>
        <w:outlineLvl w:val="1"/>
        <w:rPr>
          <w:rFonts w:hint="eastAsia" w:ascii="仿宋_GB2312" w:hAnsi="宋体" w:eastAsia="仿宋_GB2312" w:cs="宋体"/>
          <w:b/>
          <w:kern w:val="0"/>
          <w:sz w:val="32"/>
          <w:szCs w:val="32"/>
          <w:highlight w:val="none"/>
        </w:rPr>
      </w:pPr>
    </w:p>
    <w:p>
      <w:pPr>
        <w:widowControl/>
        <w:spacing w:line="440" w:lineRule="exact"/>
        <w:jc w:val="center"/>
        <w:outlineLvl w:val="1"/>
        <w:rPr>
          <w:rFonts w:hint="eastAsia" w:ascii="仿宋_GB2312" w:hAnsi="宋体" w:eastAsia="仿宋_GB2312" w:cs="宋体"/>
          <w:b/>
          <w:kern w:val="0"/>
          <w:sz w:val="32"/>
          <w:szCs w:val="32"/>
          <w:highlight w:val="none"/>
        </w:rPr>
      </w:pPr>
    </w:p>
    <w:p>
      <w:pPr>
        <w:widowControl/>
        <w:spacing w:line="440" w:lineRule="exact"/>
        <w:jc w:val="center"/>
        <w:outlineLvl w:val="1"/>
        <w:rPr>
          <w:rFonts w:hint="eastAsia" w:ascii="仿宋_GB2312" w:hAnsi="宋体" w:eastAsia="仿宋_GB2312" w:cs="宋体"/>
          <w:b/>
          <w:kern w:val="0"/>
          <w:sz w:val="32"/>
          <w:szCs w:val="32"/>
          <w:highlight w:val="none"/>
        </w:rPr>
      </w:pPr>
    </w:p>
    <w:p>
      <w:pPr>
        <w:widowControl/>
        <w:spacing w:line="440" w:lineRule="exact"/>
        <w:jc w:val="center"/>
        <w:outlineLvl w:val="1"/>
        <w:rPr>
          <w:rFonts w:hint="eastAsia" w:ascii="仿宋_GB2312" w:hAnsi="宋体" w:eastAsia="仿宋_GB2312" w:cs="宋体"/>
          <w:b/>
          <w:kern w:val="0"/>
          <w:sz w:val="32"/>
          <w:szCs w:val="32"/>
          <w:highlight w:val="none"/>
        </w:rPr>
      </w:pPr>
    </w:p>
    <w:p>
      <w:pPr>
        <w:widowControl/>
        <w:spacing w:line="440" w:lineRule="exact"/>
        <w:jc w:val="center"/>
        <w:outlineLvl w:val="1"/>
        <w:rPr>
          <w:rFonts w:hint="eastAsia" w:ascii="仿宋_GB2312" w:hAnsi="宋体" w:eastAsia="仿宋_GB2312" w:cs="宋体"/>
          <w:b/>
          <w:kern w:val="0"/>
          <w:sz w:val="32"/>
          <w:szCs w:val="32"/>
          <w:highlight w:val="none"/>
        </w:rPr>
      </w:pPr>
    </w:p>
    <w:p>
      <w:pPr>
        <w:widowControl/>
        <w:spacing w:line="440" w:lineRule="exact"/>
        <w:jc w:val="center"/>
        <w:outlineLvl w:val="1"/>
        <w:rPr>
          <w:rFonts w:hint="eastAsia" w:ascii="仿宋_GB2312" w:hAnsi="宋体" w:eastAsia="仿宋_GB2312" w:cs="宋体"/>
          <w:b/>
          <w:kern w:val="0"/>
          <w:sz w:val="32"/>
          <w:szCs w:val="32"/>
          <w:highlight w:val="none"/>
        </w:rPr>
      </w:pPr>
    </w:p>
    <w:p>
      <w:pPr>
        <w:widowControl/>
        <w:spacing w:line="440" w:lineRule="exact"/>
        <w:jc w:val="center"/>
        <w:outlineLvl w:val="1"/>
        <w:rPr>
          <w:rFonts w:hint="eastAsia" w:ascii="仿宋_GB2312" w:hAnsi="宋体" w:eastAsia="仿宋_GB2312" w:cs="宋体"/>
          <w:b/>
          <w:kern w:val="0"/>
          <w:sz w:val="32"/>
          <w:szCs w:val="32"/>
          <w:highlight w:val="none"/>
        </w:rPr>
      </w:pPr>
    </w:p>
    <w:p>
      <w:pPr>
        <w:widowControl/>
        <w:spacing w:line="440" w:lineRule="exact"/>
        <w:jc w:val="center"/>
        <w:outlineLvl w:val="1"/>
        <w:rPr>
          <w:rFonts w:hint="eastAsia" w:ascii="仿宋_GB2312" w:hAnsi="宋体" w:eastAsia="仿宋_GB2312" w:cs="宋体"/>
          <w:b/>
          <w:kern w:val="0"/>
          <w:sz w:val="32"/>
          <w:szCs w:val="32"/>
          <w:highlight w:val="none"/>
        </w:rPr>
      </w:pPr>
    </w:p>
    <w:p>
      <w:pPr>
        <w:widowControl/>
        <w:spacing w:line="440" w:lineRule="exact"/>
        <w:jc w:val="center"/>
        <w:outlineLvl w:val="1"/>
        <w:rPr>
          <w:rFonts w:hint="eastAsia" w:ascii="仿宋_GB2312" w:hAnsi="宋体" w:eastAsia="仿宋_GB2312" w:cs="宋体"/>
          <w:b/>
          <w:kern w:val="0"/>
          <w:sz w:val="32"/>
          <w:szCs w:val="32"/>
          <w:highlight w:val="none"/>
        </w:rPr>
      </w:pPr>
    </w:p>
    <w:p>
      <w:pPr>
        <w:widowControl/>
        <w:spacing w:line="440" w:lineRule="exact"/>
        <w:jc w:val="center"/>
        <w:outlineLvl w:val="1"/>
        <w:rPr>
          <w:rFonts w:hint="eastAsia" w:ascii="仿宋_GB2312" w:hAnsi="宋体" w:eastAsia="仿宋_GB2312" w:cs="宋体"/>
          <w:b/>
          <w:kern w:val="0"/>
          <w:sz w:val="32"/>
          <w:szCs w:val="32"/>
          <w:highlight w:val="none"/>
        </w:rPr>
      </w:pPr>
    </w:p>
    <w:p>
      <w:pPr>
        <w:widowControl/>
        <w:spacing w:line="440" w:lineRule="exact"/>
        <w:jc w:val="center"/>
        <w:outlineLvl w:val="1"/>
        <w:rPr>
          <w:rFonts w:hint="eastAsia" w:ascii="仿宋_GB2312" w:hAnsi="宋体" w:eastAsia="仿宋_GB2312" w:cs="宋体"/>
          <w:b/>
          <w:kern w:val="0"/>
          <w:sz w:val="32"/>
          <w:szCs w:val="32"/>
          <w:highlight w:val="none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2"/>
          <w:szCs w:val="32"/>
          <w:highlight w:val="none"/>
        </w:rPr>
      </w:pPr>
      <w:r>
        <w:rPr>
          <w:rFonts w:hint="eastAsia" w:ascii="黑体" w:hAnsi="黑体" w:eastAsia="黑体"/>
          <w:kern w:val="0"/>
          <w:sz w:val="32"/>
          <w:szCs w:val="32"/>
          <w:highlight w:val="none"/>
        </w:rPr>
        <w:t xml:space="preserve">第二部分  </w:t>
      </w:r>
      <w:r>
        <w:rPr>
          <w:rFonts w:ascii="黑体" w:hAnsi="黑体" w:eastAsia="黑体"/>
          <w:kern w:val="0"/>
          <w:sz w:val="32"/>
          <w:szCs w:val="32"/>
          <w:highlight w:val="none"/>
        </w:rPr>
        <w:t>2022</w:t>
      </w:r>
      <w:r>
        <w:rPr>
          <w:rFonts w:hint="eastAsia" w:ascii="黑体" w:hAnsi="黑体" w:eastAsia="黑体"/>
          <w:kern w:val="0"/>
          <w:sz w:val="32"/>
          <w:szCs w:val="32"/>
          <w:highlight w:val="none"/>
        </w:rPr>
        <w:t>年部门（单位）预算公开表</w:t>
      </w:r>
    </w:p>
    <w:p>
      <w:pPr>
        <w:widowControl/>
        <w:spacing w:line="240" w:lineRule="exact"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highlight w:val="none"/>
          <w:lang w:bidi="ar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  <w:highlight w:val="none"/>
          <w:lang w:bidi="ar"/>
        </w:rPr>
        <w:t>表1</w:t>
      </w:r>
    </w:p>
    <w:p>
      <w:pPr>
        <w:widowControl/>
        <w:spacing w:line="36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  <w:highlight w:val="none"/>
        </w:rPr>
        <w:t>部门（单位）收支总体情况表</w:t>
      </w:r>
    </w:p>
    <w:p>
      <w:pPr>
        <w:widowControl/>
        <w:spacing w:line="28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  <w:highlight w:val="none"/>
        </w:rPr>
      </w:pPr>
    </w:p>
    <w:p>
      <w:pPr>
        <w:widowControl/>
        <w:spacing w:line="280" w:lineRule="exact"/>
        <w:jc w:val="left"/>
        <w:outlineLvl w:val="1"/>
        <w:rPr>
          <w:rFonts w:ascii="仿宋_GB2312" w:hAnsi="宋体" w:eastAsia="仿宋_GB2312"/>
          <w:kern w:val="0"/>
          <w:sz w:val="24"/>
          <w:highlight w:val="none"/>
        </w:rPr>
      </w:pPr>
      <w:r>
        <w:rPr>
          <w:rFonts w:hint="eastAsia" w:ascii="仿宋_GB2312" w:hAnsi="宋体" w:eastAsia="仿宋_GB2312"/>
          <w:kern w:val="0"/>
          <w:sz w:val="24"/>
          <w:highlight w:val="none"/>
        </w:rPr>
        <w:t>编制部门（单位）：</w:t>
      </w:r>
      <w:r>
        <w:rPr>
          <w:rFonts w:hint="eastAsia" w:ascii="仿宋_GB2312" w:hAnsi="宋体" w:eastAsia="仿宋_GB2312"/>
          <w:kern w:val="0"/>
          <w:sz w:val="24"/>
          <w:highlight w:val="none"/>
          <w:lang w:val="en-US" w:eastAsia="zh-CN"/>
        </w:rPr>
        <w:t>昌吉州建筑工程社会保险统筹总站</w:t>
      </w:r>
      <w:r>
        <w:rPr>
          <w:rFonts w:hint="eastAsia" w:ascii="仿宋_GB2312" w:hAnsi="宋体" w:eastAsia="仿宋_GB2312"/>
          <w:kern w:val="0"/>
          <w:sz w:val="24"/>
          <w:highlight w:val="none"/>
        </w:rPr>
        <w:t xml:space="preserve">             单位：万元</w:t>
      </w:r>
    </w:p>
    <w:tbl>
      <w:tblPr>
        <w:tblStyle w:val="6"/>
        <w:tblW w:w="8662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80"/>
        <w:gridCol w:w="1988"/>
        <w:gridCol w:w="2693"/>
        <w:gridCol w:w="170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bottom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highlight w:val="none"/>
              </w:rPr>
              <w:t>收     入</w:t>
            </w:r>
          </w:p>
        </w:tc>
        <w:tc>
          <w:tcPr>
            <w:tcW w:w="439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highlight w:val="none"/>
              </w:rPr>
              <w:t>支     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  <w:highlight w:val="none"/>
              </w:rPr>
              <w:t>项     目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  <w:highlight w:val="none"/>
              </w:rPr>
              <w:t>预算数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  <w:highlight w:val="none"/>
              </w:rPr>
              <w:t>功能分类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  <w:highlight w:val="none"/>
              </w:rPr>
              <w:t>预算数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财政拨款（补助）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  <w:lang w:val="en-US" w:eastAsia="zh-CN"/>
              </w:rPr>
              <w:t>207.18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201 一般公共服务支出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 xml:space="preserve">    一般公共预算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  <w:lang w:val="en-US" w:eastAsia="zh-CN"/>
              </w:rPr>
              <w:t>207.18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202 外交支出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 xml:space="preserve">    政府性基金预算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203 国防支出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 xml:space="preserve">    国有资本经营预算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204 公共安全支出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财政专户（教育收费）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205 教育支出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事业收入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206 科学技术支出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事业单位经营收入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207 文化旅游体育与传媒支出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单位其他资金收入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208 社会保障和就业支出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  <w:lang w:val="en-US" w:eastAsia="zh-CN"/>
              </w:rPr>
              <w:t>20.71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209 社会保险基金支出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210卫生健康支出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  <w:lang w:val="en-US" w:eastAsia="zh-CN"/>
              </w:rPr>
              <w:t>15.9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211 节能环保支出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212 城乡社区支出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  <w:lang w:val="en-US" w:eastAsia="zh-CN"/>
              </w:rPr>
              <w:t>152.38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213 农林水支出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214 交通运输支出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215 资源勘探信息等支出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216 商业服务业等支出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217 金融支出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219 援助其他地区支出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220 自然资源海洋气象等支出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221 住房保障支出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  <w:lang w:val="en-US" w:eastAsia="zh-CN"/>
              </w:rPr>
              <w:t>18.18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222 粮油物资储备支出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223 国有资本经营预算支出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224灾害防治及应急管理支出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227 预备费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229 其他支出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230转移性支出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231 债务还本支出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232 债务付息支出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233 债务发行费用支出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  <w:lang w:bidi="ar"/>
              </w:rPr>
              <w:t>234 抗疫特别国债还本支出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textAlignment w:val="center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  <w:lang w:bidi="a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highlight w:val="none"/>
              </w:rPr>
              <w:t>收  入  总  计</w:t>
            </w: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  <w:lang w:val="en-US" w:eastAsia="zh-CN"/>
              </w:rPr>
              <w:t>207.18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highlight w:val="none"/>
              </w:rPr>
              <w:t>支  出  总  计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  <w:lang w:val="en-US" w:eastAsia="zh-CN"/>
              </w:rPr>
              <w:t>207.18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</w:tr>
    </w:tbl>
    <w:p>
      <w:pPr>
        <w:widowControl/>
        <w:spacing w:line="280" w:lineRule="exact"/>
        <w:outlineLvl w:val="1"/>
        <w:rPr>
          <w:rFonts w:ascii="仿宋_GB2312" w:hAnsi="宋体" w:eastAsia="仿宋_GB2312"/>
          <w:b/>
          <w:kern w:val="0"/>
          <w:sz w:val="28"/>
          <w:szCs w:val="32"/>
          <w:highlight w:val="none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  <w:highlight w:val="none"/>
        </w:rPr>
        <w:t>备注：无内容应公开空表并说明情况。</w:t>
      </w: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highlight w:val="none"/>
          <w:lang w:bidi="ar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  <w:highlight w:val="none"/>
          <w:lang w:bidi="ar"/>
        </w:rPr>
        <w:t>表2</w:t>
      </w:r>
    </w:p>
    <w:p>
      <w:pPr>
        <w:widowControl/>
        <w:spacing w:line="440" w:lineRule="exact"/>
        <w:jc w:val="center"/>
        <w:outlineLvl w:val="1"/>
        <w:rPr>
          <w:rFonts w:ascii="方正小标宋_GBK" w:hAnsi="方正小标宋_GBK" w:eastAsia="方正小标宋_GBK" w:cs="方正小标宋_GBK"/>
          <w:bCs/>
          <w:kern w:val="0"/>
          <w:sz w:val="36"/>
          <w:szCs w:val="36"/>
          <w:highlight w:val="none"/>
        </w:rPr>
      </w:pPr>
      <w:r>
        <w:rPr>
          <w:rFonts w:hint="eastAsia" w:ascii="方正小标宋_GBK" w:hAnsi="方正小标宋_GBK" w:eastAsia="方正小标宋_GBK" w:cs="方正小标宋_GBK"/>
          <w:bCs/>
          <w:kern w:val="0"/>
          <w:sz w:val="36"/>
          <w:szCs w:val="36"/>
          <w:highlight w:val="none"/>
        </w:rPr>
        <w:t>部门（单位）收入总体情况表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  <w:highlight w:val="none"/>
        </w:rPr>
      </w:pP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  <w:highlight w:val="none"/>
        </w:rPr>
      </w:pPr>
      <w:r>
        <w:rPr>
          <w:rFonts w:hint="eastAsia" w:ascii="仿宋_GB2312" w:hAnsi="宋体" w:eastAsia="仿宋_GB2312"/>
          <w:kern w:val="0"/>
          <w:sz w:val="24"/>
          <w:highlight w:val="none"/>
        </w:rPr>
        <w:t>编制部门（单位）：</w:t>
      </w:r>
      <w:r>
        <w:rPr>
          <w:rFonts w:hint="eastAsia" w:ascii="仿宋_GB2312" w:hAnsi="宋体" w:eastAsia="仿宋_GB2312"/>
          <w:kern w:val="0"/>
          <w:sz w:val="24"/>
          <w:highlight w:val="none"/>
          <w:lang w:val="en-US" w:eastAsia="zh-CN"/>
        </w:rPr>
        <w:t>昌吉州建筑工程社会保险统筹总站</w:t>
      </w:r>
      <w:r>
        <w:rPr>
          <w:rFonts w:hint="eastAsia" w:ascii="仿宋_GB2312" w:hAnsi="宋体" w:eastAsia="仿宋_GB2312"/>
          <w:kern w:val="0"/>
          <w:sz w:val="24"/>
          <w:highlight w:val="none"/>
        </w:rPr>
        <w:t xml:space="preserve">               单位：万元</w:t>
      </w:r>
    </w:p>
    <w:tbl>
      <w:tblPr>
        <w:tblStyle w:val="6"/>
        <w:tblW w:w="9741" w:type="dxa"/>
        <w:tblInd w:w="-45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7"/>
        <w:gridCol w:w="417"/>
        <w:gridCol w:w="417"/>
        <w:gridCol w:w="2145"/>
        <w:gridCol w:w="1018"/>
        <w:gridCol w:w="850"/>
        <w:gridCol w:w="709"/>
        <w:gridCol w:w="795"/>
        <w:gridCol w:w="921"/>
        <w:gridCol w:w="660"/>
        <w:gridCol w:w="708"/>
        <w:gridCol w:w="68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25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  <w:highlight w:val="none"/>
              </w:rPr>
              <w:t>功能分类科目编码</w:t>
            </w:r>
          </w:p>
        </w:tc>
        <w:tc>
          <w:tcPr>
            <w:tcW w:w="214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  <w:highlight w:val="none"/>
              </w:rPr>
              <w:t>功能分类科目名称</w:t>
            </w:r>
          </w:p>
        </w:tc>
        <w:tc>
          <w:tcPr>
            <w:tcW w:w="101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  <w:highlight w:val="none"/>
              </w:rPr>
              <w:t>总  计</w:t>
            </w:r>
          </w:p>
        </w:tc>
        <w:tc>
          <w:tcPr>
            <w:tcW w:w="85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  <w:highlight w:val="none"/>
              </w:rPr>
              <w:t>一般公共预算拨款</w:t>
            </w:r>
          </w:p>
        </w:tc>
        <w:tc>
          <w:tcPr>
            <w:tcW w:w="70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  <w:highlight w:val="none"/>
              </w:rPr>
              <w:t>政府性基金预算拨款</w:t>
            </w:r>
          </w:p>
        </w:tc>
        <w:tc>
          <w:tcPr>
            <w:tcW w:w="79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  <w:highlight w:val="none"/>
              </w:rPr>
              <w:t>国有资本经营预算</w:t>
            </w:r>
          </w:p>
        </w:tc>
        <w:tc>
          <w:tcPr>
            <w:tcW w:w="92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  <w:highlight w:val="none"/>
              </w:rPr>
              <w:t>财政专户（教育收费）</w:t>
            </w:r>
          </w:p>
        </w:tc>
        <w:tc>
          <w:tcPr>
            <w:tcW w:w="66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  <w:highlight w:val="none"/>
              </w:rPr>
              <w:t>事业收入</w:t>
            </w:r>
          </w:p>
        </w:tc>
        <w:tc>
          <w:tcPr>
            <w:tcW w:w="70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  <w:highlight w:val="none"/>
              </w:rPr>
              <w:t>事业单位经营收入</w:t>
            </w:r>
          </w:p>
        </w:tc>
        <w:tc>
          <w:tcPr>
            <w:tcW w:w="68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  <w:highlight w:val="none"/>
              </w:rPr>
              <w:t>单位其他资金收入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0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  <w:highlight w:val="none"/>
              </w:rPr>
              <w:t>类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  <w:highlight w:val="none"/>
              </w:rPr>
              <w:t>款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  <w:highlight w:val="none"/>
              </w:rPr>
              <w:t>项</w:t>
            </w:r>
          </w:p>
        </w:tc>
        <w:tc>
          <w:tcPr>
            <w:tcW w:w="214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1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8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70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79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92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66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7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6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  <w:lang w:val="en-US" w:eastAsia="zh-CN"/>
              </w:rPr>
              <w:t>208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</w:rPr>
              <w:t>社会保障和就业支出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</w:rPr>
              <w:t>20.71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</w:rPr>
              <w:t>20.71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  <w:lang w:val="en-US" w:eastAsia="zh-CN"/>
              </w:rPr>
              <w:t>208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  <w:lang w:val="en-US" w:eastAsia="zh-CN"/>
              </w:rPr>
              <w:t>05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</w:rPr>
              <w:t>行政事业单位养老支出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</w:rPr>
              <w:t>20.71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</w:rPr>
              <w:t>20.71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  <w:lang w:val="en-US" w:eastAsia="zh-CN"/>
              </w:rPr>
              <w:t>208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  <w:lang w:val="en-US" w:eastAsia="zh-CN"/>
              </w:rPr>
              <w:t>05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  <w:lang w:val="en-US" w:eastAsia="zh-CN"/>
              </w:rPr>
              <w:t>02</w:t>
            </w: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</w:rPr>
              <w:t>事业单位离退休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  <w:lang w:val="en-US" w:eastAsia="zh-CN"/>
              </w:rPr>
              <w:t>0.5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  <w:lang w:val="en-US" w:eastAsia="zh-CN"/>
              </w:rPr>
              <w:t>0.5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  <w:lang w:val="en-US" w:eastAsia="zh-CN"/>
              </w:rPr>
              <w:t>208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  <w:lang w:val="en-US" w:eastAsia="zh-CN"/>
              </w:rPr>
              <w:t>05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  <w:lang w:val="en-US" w:eastAsia="zh-CN"/>
              </w:rPr>
              <w:t>05</w:t>
            </w: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</w:rPr>
              <w:t>机关事业单位基本养老保险缴费支出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  <w:lang w:val="en-US" w:eastAsia="zh-CN"/>
              </w:rPr>
              <w:t>20.21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  <w:lang w:val="en-US" w:eastAsia="zh-CN"/>
              </w:rPr>
              <w:t>20.21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</w:rPr>
              <w:t>210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</w:rPr>
              <w:t>卫生健康支出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  <w:lang w:val="en-US" w:eastAsia="zh-CN"/>
              </w:rPr>
              <w:t>15.9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  <w:lang w:val="en-US" w:eastAsia="zh-CN"/>
              </w:rPr>
              <w:t>15.9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  <w:lang w:val="en-US" w:eastAsia="zh-CN"/>
              </w:rPr>
              <w:t>210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  <w:lang w:val="en-US" w:eastAsia="zh-CN"/>
              </w:rPr>
              <w:t>11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</w:rPr>
              <w:t>行政事业单位医疗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  <w:lang w:val="en-US" w:eastAsia="zh-CN"/>
              </w:rPr>
              <w:t>15.9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  <w:lang w:val="en-US" w:eastAsia="zh-CN"/>
              </w:rPr>
              <w:t>15.9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  <w:lang w:val="en-US" w:eastAsia="zh-CN"/>
              </w:rPr>
              <w:t>210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  <w:lang w:val="en-US" w:eastAsia="zh-CN"/>
              </w:rPr>
              <w:t>11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  <w:lang w:val="en-US" w:eastAsia="zh-CN"/>
              </w:rPr>
              <w:t>02</w:t>
            </w: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</w:rPr>
              <w:t>事业单位医疗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  <w:lang w:val="en-US" w:eastAsia="zh-CN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  <w:lang w:val="en-US" w:eastAsia="zh-CN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  <w:lang w:val="en-US" w:eastAsia="zh-CN"/>
              </w:rPr>
              <w:t>210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  <w:lang w:val="en-US" w:eastAsia="zh-CN"/>
              </w:rPr>
              <w:t>11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  <w:lang w:val="en-US" w:eastAsia="zh-CN"/>
              </w:rPr>
              <w:t>03</w:t>
            </w: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</w:rPr>
              <w:t>公务员医疗补助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  <w:lang w:val="en-US" w:eastAsia="zh-CN"/>
              </w:rPr>
              <w:t>3.79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  <w:lang w:val="en-US" w:eastAsia="zh-CN"/>
              </w:rPr>
              <w:t>3.79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  <w:lang w:val="en-US" w:eastAsia="zh-CN"/>
              </w:rPr>
              <w:t>210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  <w:lang w:val="en-US" w:eastAsia="zh-CN"/>
              </w:rPr>
              <w:t>11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  <w:lang w:val="en-US" w:eastAsia="zh-CN"/>
              </w:rPr>
              <w:t>99</w:t>
            </w: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</w:rPr>
              <w:t>其他行政事业单位医疗支出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  <w:lang w:val="en-US" w:eastAsia="zh-CN"/>
              </w:rPr>
              <w:t>0.11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  <w:lang w:val="en-US" w:eastAsia="zh-CN"/>
              </w:rPr>
              <w:t>0.11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  <w:lang w:val="en-US" w:eastAsia="zh-CN"/>
              </w:rPr>
              <w:t>212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</w:rPr>
              <w:t>城乡社区支出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  <w:lang w:val="en-US" w:eastAsia="zh-CN"/>
              </w:rPr>
              <w:t>161.89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  <w:lang w:val="en-US" w:eastAsia="zh-CN"/>
              </w:rPr>
              <w:t>161.89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  <w:lang w:val="en-US" w:eastAsia="zh-CN"/>
              </w:rPr>
              <w:t>212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  <w:lang w:val="en-US" w:eastAsia="zh-CN"/>
              </w:rPr>
              <w:t>01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</w:rPr>
              <w:t>城乡社区管理事务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  <w:lang w:val="en-US" w:eastAsia="zh-CN"/>
              </w:rPr>
              <w:t>161.89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  <w:lang w:val="en-US" w:eastAsia="zh-CN"/>
              </w:rPr>
              <w:t>161.89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  <w:lang w:val="en-US" w:eastAsia="zh-CN"/>
              </w:rPr>
              <w:t>212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  <w:lang w:val="en-US" w:eastAsia="zh-CN"/>
              </w:rPr>
              <w:t>01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  <w:lang w:val="en-US" w:eastAsia="zh-CN"/>
              </w:rPr>
              <w:t>06</w:t>
            </w: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</w:rPr>
              <w:t>工程建设管理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  <w:lang w:val="en-US" w:eastAsia="zh-CN"/>
              </w:rPr>
              <w:t>161.89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  <w:lang w:val="en-US" w:eastAsia="zh-CN"/>
              </w:rPr>
              <w:t>161.89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  <w:lang w:val="en-US" w:eastAsia="zh-CN"/>
              </w:rPr>
              <w:t>221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</w:rPr>
              <w:t>住房保障支出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  <w:lang w:val="en-US" w:eastAsia="zh-CN"/>
              </w:rPr>
              <w:t>18.18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  <w:lang w:val="en-US" w:eastAsia="zh-CN"/>
              </w:rPr>
              <w:t>18.18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  <w:lang w:val="en-US" w:eastAsia="zh-CN"/>
              </w:rPr>
              <w:t>221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  <w:lang w:val="en-US" w:eastAsia="zh-CN"/>
              </w:rPr>
              <w:t>02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</w:rPr>
              <w:t>住房改革支出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  <w:lang w:val="en-US" w:eastAsia="zh-CN"/>
              </w:rPr>
              <w:t>18.18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  <w:lang w:val="en-US" w:eastAsia="zh-CN"/>
              </w:rPr>
              <w:t>18.18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  <w:lang w:val="en-US" w:eastAsia="zh-CN"/>
              </w:rPr>
              <w:t>221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  <w:lang w:val="en-US" w:eastAsia="zh-CN"/>
              </w:rPr>
              <w:t>02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  <w:lang w:val="en-US" w:eastAsia="zh-CN"/>
              </w:rPr>
              <w:t>01</w:t>
            </w: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</w:rPr>
              <w:t>住房公积金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  <w:lang w:val="en-US" w:eastAsia="zh-CN"/>
              </w:rPr>
              <w:t>18.18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  <w:lang w:val="en-US" w:eastAsia="zh-CN"/>
              </w:rPr>
              <w:t>18.18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b/>
                <w:bCs/>
                <w:color w:val="000000"/>
                <w:sz w:val="20"/>
                <w:szCs w:val="20"/>
                <w:highlight w:val="none"/>
              </w:rPr>
              <w:t>合  计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  <w:t>216.68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  <w:t>216.68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</w:tr>
    </w:tbl>
    <w:p>
      <w:pPr>
        <w:widowControl/>
        <w:spacing w:line="280" w:lineRule="exact"/>
        <w:outlineLvl w:val="1"/>
        <w:rPr>
          <w:rFonts w:ascii="仿宋_GB2312" w:hAnsi="宋体" w:eastAsia="仿宋_GB2312"/>
          <w:b/>
          <w:kern w:val="0"/>
          <w:sz w:val="28"/>
          <w:szCs w:val="32"/>
          <w:highlight w:val="none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  <w:highlight w:val="none"/>
        </w:rPr>
        <w:t>备注：无内容应公开空表并说明情况。</w:t>
      </w: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highlight w:val="none"/>
          <w:lang w:bidi="ar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  <w:highlight w:val="none"/>
          <w:lang w:bidi="ar"/>
        </w:rPr>
        <w:t>表3</w:t>
      </w:r>
    </w:p>
    <w:p>
      <w:pPr>
        <w:widowControl/>
        <w:spacing w:line="360" w:lineRule="exact"/>
        <w:jc w:val="center"/>
        <w:outlineLvl w:val="1"/>
        <w:rPr>
          <w:rFonts w:ascii="方正小标宋_GBK" w:hAnsi="方正小标宋_GBK" w:eastAsia="方正小标宋_GBK" w:cs="方正小标宋_GBK"/>
          <w:bCs/>
          <w:kern w:val="0"/>
          <w:sz w:val="36"/>
          <w:szCs w:val="36"/>
          <w:highlight w:val="none"/>
        </w:rPr>
      </w:pPr>
      <w:r>
        <w:rPr>
          <w:rFonts w:hint="eastAsia" w:ascii="方正小标宋_GBK" w:hAnsi="方正小标宋_GBK" w:eastAsia="方正小标宋_GBK" w:cs="方正小标宋_GBK"/>
          <w:bCs/>
          <w:kern w:val="0"/>
          <w:sz w:val="36"/>
          <w:szCs w:val="36"/>
          <w:highlight w:val="none"/>
        </w:rPr>
        <w:t>部门（单位）支出总体情况表</w:t>
      </w:r>
    </w:p>
    <w:p>
      <w:pPr>
        <w:widowControl/>
        <w:spacing w:line="28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  <w:highlight w:val="none"/>
        </w:rPr>
      </w:pPr>
    </w:p>
    <w:p>
      <w:pPr>
        <w:widowControl/>
        <w:spacing w:line="280" w:lineRule="exact"/>
        <w:jc w:val="left"/>
        <w:outlineLvl w:val="1"/>
        <w:rPr>
          <w:rFonts w:ascii="仿宋_GB2312" w:hAnsi="宋体" w:eastAsia="仿宋_GB2312"/>
          <w:kern w:val="0"/>
          <w:sz w:val="24"/>
          <w:highlight w:val="none"/>
        </w:rPr>
      </w:pPr>
      <w:r>
        <w:rPr>
          <w:rFonts w:hint="eastAsia" w:ascii="仿宋_GB2312" w:hAnsi="宋体" w:eastAsia="仿宋_GB2312"/>
          <w:kern w:val="0"/>
          <w:sz w:val="24"/>
          <w:highlight w:val="none"/>
        </w:rPr>
        <w:t>编制部门（单位）：</w:t>
      </w:r>
      <w:r>
        <w:rPr>
          <w:rFonts w:hint="eastAsia" w:ascii="仿宋_GB2312" w:hAnsi="宋体" w:eastAsia="仿宋_GB2312"/>
          <w:kern w:val="0"/>
          <w:sz w:val="24"/>
          <w:highlight w:val="none"/>
          <w:lang w:val="en-US" w:eastAsia="zh-CN"/>
        </w:rPr>
        <w:t>昌吉州建筑工程社会保险统筹总站</w:t>
      </w:r>
      <w:r>
        <w:rPr>
          <w:rFonts w:hint="eastAsia" w:ascii="仿宋_GB2312" w:hAnsi="宋体" w:eastAsia="仿宋_GB2312"/>
          <w:kern w:val="0"/>
          <w:sz w:val="24"/>
          <w:highlight w:val="none"/>
        </w:rPr>
        <w:t xml:space="preserve">               单位：万元</w:t>
      </w:r>
    </w:p>
    <w:tbl>
      <w:tblPr>
        <w:tblStyle w:val="6"/>
        <w:tblW w:w="9420" w:type="dxa"/>
        <w:tblInd w:w="-24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1"/>
        <w:gridCol w:w="400"/>
        <w:gridCol w:w="400"/>
        <w:gridCol w:w="2604"/>
        <w:gridCol w:w="1855"/>
        <w:gridCol w:w="1856"/>
        <w:gridCol w:w="190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380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项    目</w:t>
            </w:r>
          </w:p>
        </w:tc>
        <w:tc>
          <w:tcPr>
            <w:tcW w:w="561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支出预算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2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功能分类科目编码</w:t>
            </w:r>
          </w:p>
        </w:tc>
        <w:tc>
          <w:tcPr>
            <w:tcW w:w="260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功能分类科目名称</w:t>
            </w:r>
          </w:p>
        </w:tc>
        <w:tc>
          <w:tcPr>
            <w:tcW w:w="1855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合  计</w:t>
            </w:r>
          </w:p>
        </w:tc>
        <w:tc>
          <w:tcPr>
            <w:tcW w:w="185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基本支出</w:t>
            </w:r>
          </w:p>
        </w:tc>
        <w:tc>
          <w:tcPr>
            <w:tcW w:w="190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项目支出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  <w:t>类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  <w:t>款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  <w:t>项</w:t>
            </w:r>
          </w:p>
        </w:tc>
        <w:tc>
          <w:tcPr>
            <w:tcW w:w="260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85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85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90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  <w:lang w:val="en-US" w:eastAsia="zh-CN"/>
              </w:rPr>
              <w:t>208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</w:rPr>
              <w:t>社会保障和就业支出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</w:rPr>
              <w:t>20.71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</w:rPr>
              <w:t>20.71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  <w:lang w:val="en-US" w:eastAsia="zh-CN"/>
              </w:rPr>
              <w:t>208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  <w:lang w:val="en-US" w:eastAsia="zh-CN"/>
              </w:rPr>
              <w:t>05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</w:rPr>
              <w:t>行政事业单位养老支出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</w:rPr>
              <w:t>20.71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</w:rPr>
              <w:t>20.71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  <w:lang w:val="en-US" w:eastAsia="zh-CN"/>
              </w:rPr>
              <w:t>208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  <w:lang w:val="en-US" w:eastAsia="zh-CN"/>
              </w:rPr>
              <w:t>05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  <w:lang w:val="en-US" w:eastAsia="zh-CN"/>
              </w:rPr>
              <w:t>02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</w:rPr>
              <w:t>事业单位离退休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  <w:lang w:val="en-US" w:eastAsia="zh-CN"/>
              </w:rPr>
              <w:t>0.5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  <w:lang w:val="en-US" w:eastAsia="zh-CN"/>
              </w:rPr>
              <w:t>0.5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  <w:lang w:val="en-US" w:eastAsia="zh-CN"/>
              </w:rPr>
              <w:t>208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  <w:lang w:val="en-US" w:eastAsia="zh-CN"/>
              </w:rPr>
              <w:t>05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  <w:lang w:val="en-US" w:eastAsia="zh-CN"/>
              </w:rPr>
              <w:t>05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</w:rPr>
              <w:t>机关事业单位基本养老保险缴费支出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  <w:lang w:val="en-US" w:eastAsia="zh-CN"/>
              </w:rPr>
              <w:t>20.21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  <w:lang w:val="en-US" w:eastAsia="zh-CN"/>
              </w:rPr>
              <w:t>20.21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</w:rPr>
              <w:t>210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</w:rPr>
              <w:t>卫生健康支出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  <w:lang w:val="en-US" w:eastAsia="zh-CN"/>
              </w:rPr>
              <w:t>15.9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  <w:lang w:val="en-US" w:eastAsia="zh-CN"/>
              </w:rPr>
              <w:t>15.9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  <w:lang w:val="en-US" w:eastAsia="zh-CN"/>
              </w:rPr>
              <w:t>210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  <w:lang w:val="en-US" w:eastAsia="zh-CN"/>
              </w:rPr>
              <w:t>11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</w:rPr>
              <w:t>行政事业单位医疗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  <w:lang w:val="en-US" w:eastAsia="zh-CN"/>
              </w:rPr>
              <w:t>15.9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  <w:lang w:val="en-US" w:eastAsia="zh-CN"/>
              </w:rPr>
              <w:t>15.9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  <w:lang w:val="en-US" w:eastAsia="zh-CN"/>
              </w:rPr>
              <w:t>210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  <w:lang w:val="en-US" w:eastAsia="zh-CN"/>
              </w:rPr>
              <w:t>11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  <w:lang w:val="en-US" w:eastAsia="zh-CN"/>
              </w:rPr>
              <w:t>02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</w:rPr>
              <w:t>事业单位医疗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  <w:lang w:val="en-US" w:eastAsia="zh-CN"/>
              </w:rPr>
              <w:t>12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  <w:lang w:val="en-US" w:eastAsia="zh-CN"/>
              </w:rPr>
              <w:t>12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  <w:lang w:val="en-US" w:eastAsia="zh-CN"/>
              </w:rPr>
              <w:t>210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  <w:lang w:val="en-US" w:eastAsia="zh-CN"/>
              </w:rPr>
              <w:t>11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  <w:lang w:val="en-US" w:eastAsia="zh-CN"/>
              </w:rPr>
              <w:t>03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</w:rPr>
              <w:t>公务员医疗补助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  <w:lang w:val="en-US" w:eastAsia="zh-CN"/>
              </w:rPr>
              <w:t>3.79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  <w:lang w:val="en-US" w:eastAsia="zh-CN"/>
              </w:rPr>
              <w:t>3.79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  <w:lang w:val="en-US" w:eastAsia="zh-CN"/>
              </w:rPr>
              <w:t>210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  <w:lang w:val="en-US" w:eastAsia="zh-CN"/>
              </w:rPr>
              <w:t>11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  <w:lang w:val="en-US" w:eastAsia="zh-CN"/>
              </w:rPr>
              <w:t>99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</w:rPr>
              <w:t>其他行政事业单位医疗支出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  <w:lang w:val="en-US" w:eastAsia="zh-CN"/>
              </w:rPr>
              <w:t>0.11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  <w:lang w:val="en-US" w:eastAsia="zh-CN"/>
              </w:rPr>
              <w:t>0.11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  <w:lang w:val="en-US" w:eastAsia="zh-CN"/>
              </w:rPr>
              <w:t>212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</w:rPr>
              <w:t>城乡社区支出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  <w:lang w:val="en-US" w:eastAsia="zh-CN"/>
              </w:rPr>
              <w:t>161.89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  <w:lang w:val="en-US" w:eastAsia="zh-CN"/>
              </w:rPr>
              <w:t>161.89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  <w:lang w:val="en-US" w:eastAsia="zh-CN"/>
              </w:rPr>
              <w:t>212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  <w:lang w:val="en-US" w:eastAsia="zh-CN"/>
              </w:rPr>
              <w:t>01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</w:rPr>
              <w:t>城乡社区管理事务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  <w:lang w:val="en-US" w:eastAsia="zh-CN"/>
              </w:rPr>
              <w:t>161.89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  <w:lang w:val="en-US" w:eastAsia="zh-CN"/>
              </w:rPr>
              <w:t>161.89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  <w:lang w:val="en-US" w:eastAsia="zh-CN"/>
              </w:rPr>
              <w:t>212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  <w:lang w:val="en-US" w:eastAsia="zh-CN"/>
              </w:rPr>
              <w:t>01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  <w:lang w:val="en-US" w:eastAsia="zh-CN"/>
              </w:rPr>
              <w:t>06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</w:rPr>
              <w:t>工程建设管理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  <w:lang w:val="en-US" w:eastAsia="zh-CN"/>
              </w:rPr>
              <w:t>161.89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  <w:lang w:val="en-US" w:eastAsia="zh-CN"/>
              </w:rPr>
              <w:t>161.89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  <w:lang w:val="en-US" w:eastAsia="zh-CN"/>
              </w:rPr>
              <w:t>221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</w:rPr>
              <w:t>住房保障支出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  <w:lang w:val="en-US" w:eastAsia="zh-CN"/>
              </w:rPr>
              <w:t>18.18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  <w:lang w:val="en-US" w:eastAsia="zh-CN"/>
              </w:rPr>
              <w:t>18.18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  <w:lang w:val="en-US" w:eastAsia="zh-CN"/>
              </w:rPr>
              <w:t>221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  <w:lang w:val="en-US" w:eastAsia="zh-CN"/>
              </w:rPr>
              <w:t>02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</w:rPr>
              <w:t>住房改革支出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  <w:lang w:val="en-US" w:eastAsia="zh-CN"/>
              </w:rPr>
              <w:t>18.18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  <w:lang w:val="en-US" w:eastAsia="zh-CN"/>
              </w:rPr>
              <w:t>18.18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  <w:lang w:val="en-US" w:eastAsia="zh-CN"/>
              </w:rPr>
              <w:t>221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  <w:lang w:val="en-US" w:eastAsia="zh-CN"/>
              </w:rPr>
              <w:t>02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  <w:lang w:val="en-US" w:eastAsia="zh-CN"/>
              </w:rPr>
              <w:t>01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</w:rPr>
              <w:t>住房公积金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  <w:lang w:val="en-US" w:eastAsia="zh-CN"/>
              </w:rPr>
              <w:t>18.18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  <w:lang w:val="en-US" w:eastAsia="zh-CN"/>
              </w:rPr>
              <w:t>18.18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highlight w:val="non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highlight w:val="non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highlight w:val="none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highlight w:val="none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  <w:t>合  计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  <w:t>216.68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  <w:t>216.68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  <w:highlight w:val="none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  <w:highlight w:val="none"/>
        </w:rPr>
        <w:t>备注：无内容应公开空表并说明情况。</w:t>
      </w: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highlight w:val="none"/>
          <w:lang w:bidi="ar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  <w:highlight w:val="none"/>
          <w:lang w:bidi="ar"/>
        </w:rPr>
        <w:t>表4</w:t>
      </w:r>
    </w:p>
    <w:p>
      <w:pPr>
        <w:widowControl/>
        <w:spacing w:before="120" w:beforeLines="50" w:line="28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  <w:highlight w:val="none"/>
        </w:rPr>
        <w:t>财政拨款收支预算总体情况表</w:t>
      </w:r>
    </w:p>
    <w:p>
      <w:pPr>
        <w:widowControl/>
        <w:spacing w:before="120" w:beforeLines="50" w:line="280" w:lineRule="exact"/>
        <w:jc w:val="left"/>
        <w:outlineLvl w:val="1"/>
        <w:rPr>
          <w:rFonts w:ascii="仿宋_GB2312" w:hAnsi="宋体" w:eastAsia="仿宋_GB2312"/>
          <w:kern w:val="0"/>
          <w:szCs w:val="21"/>
          <w:highlight w:val="none"/>
        </w:rPr>
      </w:pPr>
      <w:r>
        <w:rPr>
          <w:rFonts w:hint="eastAsia" w:ascii="仿宋_GB2312" w:hAnsi="宋体" w:eastAsia="仿宋_GB2312"/>
          <w:kern w:val="0"/>
          <w:szCs w:val="21"/>
          <w:highlight w:val="none"/>
        </w:rPr>
        <w:t>编制部门（单位）：</w:t>
      </w:r>
      <w:r>
        <w:rPr>
          <w:rFonts w:hint="eastAsia" w:ascii="仿宋_GB2312" w:hAnsi="宋体" w:eastAsia="仿宋_GB2312" w:cs="宋体"/>
          <w:color w:val="000000"/>
          <w:kern w:val="0"/>
          <w:sz w:val="24"/>
          <w:highlight w:val="none"/>
          <w:lang w:val="en-US" w:eastAsia="zh-CN"/>
        </w:rPr>
        <w:t>昌吉州建筑工程社会保险统筹总站</w:t>
      </w:r>
      <w:r>
        <w:rPr>
          <w:rFonts w:hint="eastAsia" w:ascii="仿宋_GB2312" w:hAnsi="宋体" w:eastAsia="仿宋_GB2312"/>
          <w:kern w:val="0"/>
          <w:szCs w:val="21"/>
          <w:highlight w:val="none"/>
        </w:rPr>
        <w:t xml:space="preserve">                     单位：万元</w:t>
      </w:r>
    </w:p>
    <w:tbl>
      <w:tblPr>
        <w:tblStyle w:val="6"/>
        <w:tblW w:w="9449" w:type="dxa"/>
        <w:tblInd w:w="-24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36"/>
        <w:gridCol w:w="914"/>
        <w:gridCol w:w="2580"/>
        <w:gridCol w:w="900"/>
        <w:gridCol w:w="851"/>
        <w:gridCol w:w="1134"/>
        <w:gridCol w:w="113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highlight w:val="none"/>
              </w:rPr>
              <w:t>财政拨款收入</w:t>
            </w:r>
          </w:p>
        </w:tc>
        <w:tc>
          <w:tcPr>
            <w:tcW w:w="659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highlight w:val="none"/>
              </w:rPr>
              <w:t>财政拨款支出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  <w:highlight w:val="none"/>
              </w:rPr>
              <w:t>项    目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  <w:highlight w:val="none"/>
              </w:rPr>
              <w:t>合  计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  <w:highlight w:val="none"/>
              </w:rPr>
              <w:t>功  能  分  类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  <w:highlight w:val="none"/>
              </w:rPr>
              <w:t>合 计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  <w:highlight w:val="none"/>
              </w:rPr>
              <w:t>一般公共预算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  <w:highlight w:val="none"/>
              </w:rPr>
              <w:t>政府性基金预算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00" w:lineRule="exact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  <w:highlight w:val="none"/>
              </w:rPr>
              <w:t>国有资本经营预算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财政拨款（补助）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  <w:t>207.18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201 一般公共服务支出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  <w:t xml:space="preserve">  一般公共预算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202 外交支出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  <w:t xml:space="preserve">  政府性基金预算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203 国防支出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 xml:space="preserve">  国有资本经营预算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204 公共安全支出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205 教育支出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206 科学技术支出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207 文化旅游体育与传媒支出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208 社会保障和就业支出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  <w:lang w:val="en-US" w:eastAsia="zh-CN"/>
              </w:rPr>
              <w:t>20.71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  <w:lang w:val="en-US" w:eastAsia="zh-CN"/>
              </w:rPr>
              <w:t>20.71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 xml:space="preserve"> 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209 社会保险基金支出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210卫生健康支出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  <w:lang w:val="en-US" w:eastAsia="zh-CN"/>
              </w:rPr>
              <w:t>15.9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  <w:lang w:val="en-US" w:eastAsia="zh-CN"/>
              </w:rPr>
              <w:t>15.9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211 节能环保支出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212 城乡社区支出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  <w:lang w:val="en-US" w:eastAsia="zh-CN"/>
              </w:rPr>
              <w:t>152.38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  <w:lang w:val="en-US" w:eastAsia="zh-CN"/>
              </w:rPr>
              <w:t>152.38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213 农林水支出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214 交通运输支出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215 资源勘探信息等支出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216 商业服务业等支出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217 金融支出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219 援助其他地区支出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220 自然资源海洋气象等支出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221 住房保障支出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  <w:lang w:val="en-US" w:eastAsia="zh-CN"/>
              </w:rPr>
              <w:t>18.18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  <w:lang w:val="en-US" w:eastAsia="zh-CN"/>
              </w:rPr>
              <w:t>18.18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222 粮油物资储备支出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223 国有资本经营预算支出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224灾害防治及应急管理支出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227 预备费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229 其他支出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230转移性支出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231 债务还本支出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232 债务付息支出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233 债务发行费用支出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234 抗疫特别国债还本支出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highlight w:val="none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highlight w:val="none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highlight w:val="non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highlight w:val="none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highlight w:val="none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highlight w:val="non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highlight w:val="none"/>
              </w:rPr>
              <w:t>收  入  总  计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  <w:t>207.18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highlight w:val="none"/>
              </w:rPr>
              <w:t>支  出  总  计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  <w:lang w:val="en-US" w:eastAsia="zh-CN"/>
              </w:rPr>
              <w:t>207.18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  <w:lang w:val="en-US" w:eastAsia="zh-CN"/>
              </w:rPr>
              <w:t>207.18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</w:tr>
    </w:tbl>
    <w:p>
      <w:pPr>
        <w:widowControl/>
        <w:spacing w:line="320" w:lineRule="exact"/>
        <w:outlineLvl w:val="1"/>
        <w:rPr>
          <w:rFonts w:ascii="仿宋_GB2312" w:hAnsi="宋体" w:eastAsia="仿宋_GB2312"/>
          <w:b/>
          <w:kern w:val="0"/>
          <w:sz w:val="28"/>
          <w:szCs w:val="32"/>
          <w:highlight w:val="none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  <w:highlight w:val="none"/>
        </w:rPr>
        <w:t>备注：无内容应公开空表并说明情况。</w:t>
      </w:r>
      <w:r>
        <w:rPr>
          <w:rFonts w:ascii="仿宋_GB2312" w:hAnsi="宋体" w:eastAsia="仿宋_GB2312"/>
          <w:b/>
          <w:kern w:val="0"/>
          <w:sz w:val="28"/>
          <w:szCs w:val="32"/>
          <w:highlight w:val="none"/>
        </w:rPr>
        <w:t xml:space="preserve"> </w:t>
      </w: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highlight w:val="none"/>
          <w:lang w:bidi="ar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  <w:highlight w:val="none"/>
          <w:lang w:bidi="ar"/>
        </w:rPr>
        <w:t>表5</w:t>
      </w:r>
    </w:p>
    <w:tbl>
      <w:tblPr>
        <w:tblStyle w:val="6"/>
        <w:tblW w:w="9214" w:type="dxa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8"/>
        <w:gridCol w:w="492"/>
        <w:gridCol w:w="417"/>
        <w:gridCol w:w="2510"/>
        <w:gridCol w:w="660"/>
        <w:gridCol w:w="1024"/>
        <w:gridCol w:w="216"/>
        <w:gridCol w:w="1626"/>
        <w:gridCol w:w="170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214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方正小标宋_GBK" w:hAnsi="方正小标宋_GBK" w:eastAsia="方正小标宋_GBK" w:cs="方正小标宋_GBK"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方正小标宋_GBK" w:hAnsi="方正小标宋_GBK" w:eastAsia="方正小标宋_GBK" w:cs="方正小标宋_GBK"/>
                <w:color w:val="000000"/>
                <w:kern w:val="0"/>
                <w:sz w:val="32"/>
                <w:szCs w:val="32"/>
                <w:highlight w:val="none"/>
              </w:rPr>
              <w:t>一般公共预算支出情况表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98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highlight w:val="none"/>
              </w:rPr>
              <w:t>编制部门（单位）：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highlight w:val="none"/>
                <w:lang w:val="en-US" w:eastAsia="zh-CN"/>
              </w:rPr>
              <w:t>昌吉州建筑工程社会保险统筹总站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highlight w:val="none"/>
              </w:rPr>
              <w:t xml:space="preserve">  </w:t>
            </w:r>
          </w:p>
        </w:tc>
        <w:tc>
          <w:tcPr>
            <w:tcW w:w="33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highlight w:val="none"/>
              </w:rPr>
              <w:t>单位：万元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398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  <w:t>项   目</w:t>
            </w:r>
          </w:p>
        </w:tc>
        <w:tc>
          <w:tcPr>
            <w:tcW w:w="522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  <w:t>一般公共预算支出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4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功能分类科目编码</w:t>
            </w:r>
          </w:p>
        </w:tc>
        <w:tc>
          <w:tcPr>
            <w:tcW w:w="251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功能分类科目名称</w:t>
            </w:r>
          </w:p>
        </w:tc>
        <w:tc>
          <w:tcPr>
            <w:tcW w:w="1684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合  计</w:t>
            </w:r>
          </w:p>
        </w:tc>
        <w:tc>
          <w:tcPr>
            <w:tcW w:w="1842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基本支出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项目支出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类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款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项</w:t>
            </w:r>
          </w:p>
        </w:tc>
        <w:tc>
          <w:tcPr>
            <w:tcW w:w="251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684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842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  <w:lang w:val="en-US" w:eastAsia="zh-CN"/>
              </w:rPr>
              <w:t>208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</w:rPr>
              <w:t>社会保障和就业支出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</w:rPr>
              <w:t>20.71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</w:rPr>
              <w:t>20.71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  <w:lang w:val="en-US" w:eastAsia="zh-CN"/>
              </w:rPr>
              <w:t>208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  <w:lang w:val="en-US" w:eastAsia="zh-CN"/>
              </w:rPr>
              <w:t>05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</w:rPr>
              <w:t>行政事业单位养老支出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</w:rPr>
              <w:t>20.71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</w:rPr>
              <w:t>20.71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  <w:lang w:val="en-US" w:eastAsia="zh-CN"/>
              </w:rPr>
              <w:t>208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  <w:lang w:val="en-US" w:eastAsia="zh-CN"/>
              </w:rPr>
              <w:t>05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  <w:lang w:val="en-US" w:eastAsia="zh-CN"/>
              </w:rPr>
              <w:t>02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</w:rPr>
              <w:t>事业单位离退休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  <w:lang w:val="en-US" w:eastAsia="zh-CN"/>
              </w:rPr>
              <w:t>0.5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  <w:lang w:val="en-US" w:eastAsia="zh-CN"/>
              </w:rPr>
              <w:t>0.5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  <w:lang w:val="en-US" w:eastAsia="zh-CN"/>
              </w:rPr>
              <w:t>208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  <w:lang w:val="en-US" w:eastAsia="zh-CN"/>
              </w:rPr>
              <w:t>05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  <w:lang w:val="en-US" w:eastAsia="zh-CN"/>
              </w:rPr>
              <w:t>05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</w:rPr>
              <w:t>机关事业单位基本养老保险缴费支出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  <w:lang w:val="en-US" w:eastAsia="zh-CN"/>
              </w:rPr>
              <w:t>20.21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  <w:lang w:val="en-US" w:eastAsia="zh-CN"/>
              </w:rPr>
              <w:t>20.21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</w:rPr>
              <w:t>卫生健康支出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  <w:lang w:val="en-US" w:eastAsia="zh-CN"/>
              </w:rPr>
              <w:t>15.9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  <w:lang w:val="en-US" w:eastAsia="zh-CN"/>
              </w:rPr>
              <w:t>15.9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  <w:lang w:val="en-US" w:eastAsia="zh-CN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  <w:lang w:val="en-US" w:eastAsia="zh-CN"/>
              </w:rPr>
              <w:t>11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</w:rPr>
              <w:t>行政事业单位医疗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  <w:lang w:val="en-US" w:eastAsia="zh-CN"/>
              </w:rPr>
              <w:t>15.9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  <w:lang w:val="en-US" w:eastAsia="zh-CN"/>
              </w:rPr>
              <w:t>15.9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  <w:lang w:val="en-US" w:eastAsia="zh-CN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  <w:lang w:val="en-US" w:eastAsia="zh-CN"/>
              </w:rPr>
              <w:t>11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  <w:lang w:val="en-US" w:eastAsia="zh-CN"/>
              </w:rPr>
              <w:t>02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</w:rPr>
              <w:t>事业单位医疗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  <w:lang w:val="en-US" w:eastAsia="zh-CN"/>
              </w:rPr>
              <w:t>12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  <w:lang w:val="en-US" w:eastAsia="zh-CN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  <w:lang w:val="en-US" w:eastAsia="zh-CN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  <w:lang w:val="en-US" w:eastAsia="zh-CN"/>
              </w:rPr>
              <w:t>11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  <w:lang w:val="en-US" w:eastAsia="zh-CN"/>
              </w:rPr>
              <w:t>03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</w:rPr>
              <w:t>公务员医疗补助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  <w:lang w:val="en-US" w:eastAsia="zh-CN"/>
              </w:rPr>
              <w:t>3.79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  <w:lang w:val="en-US" w:eastAsia="zh-CN"/>
              </w:rPr>
              <w:t>3.79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  <w:lang w:val="en-US" w:eastAsia="zh-CN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  <w:lang w:val="en-US" w:eastAsia="zh-CN"/>
              </w:rPr>
              <w:t>11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  <w:lang w:val="en-US" w:eastAsia="zh-CN"/>
              </w:rPr>
              <w:t>99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</w:rPr>
              <w:t>其他行政事业单位医疗支出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  <w:lang w:val="en-US" w:eastAsia="zh-CN"/>
              </w:rPr>
              <w:t>0.11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  <w:lang w:val="en-US" w:eastAsia="zh-CN"/>
              </w:rPr>
              <w:t>0.11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  <w:lang w:val="en-US" w:eastAsia="zh-CN"/>
              </w:rPr>
              <w:t>212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</w:rPr>
              <w:t>城乡社区支出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  <w:lang w:val="en-US" w:eastAsia="zh-CN"/>
              </w:rPr>
              <w:t>161.89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  <w:lang w:val="en-US" w:eastAsia="zh-CN"/>
              </w:rPr>
              <w:t>161.89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  <w:lang w:val="en-US" w:eastAsia="zh-CN"/>
              </w:rPr>
              <w:t>212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  <w:lang w:val="en-US" w:eastAsia="zh-CN"/>
              </w:rPr>
              <w:t>01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</w:rPr>
              <w:t>城乡社区管理事务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  <w:lang w:val="en-US" w:eastAsia="zh-CN"/>
              </w:rPr>
              <w:t>161.89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  <w:lang w:val="en-US" w:eastAsia="zh-CN"/>
              </w:rPr>
              <w:t>161.89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  <w:lang w:val="en-US" w:eastAsia="zh-CN"/>
              </w:rPr>
              <w:t>212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  <w:lang w:val="en-US" w:eastAsia="zh-CN"/>
              </w:rPr>
              <w:t>01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  <w:lang w:val="en-US" w:eastAsia="zh-CN"/>
              </w:rPr>
              <w:t>06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</w:rPr>
              <w:t>工程建设管理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  <w:lang w:val="en-US" w:eastAsia="zh-CN"/>
              </w:rPr>
              <w:t>161.89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  <w:lang w:val="en-US" w:eastAsia="zh-CN"/>
              </w:rPr>
              <w:t>161.89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  <w:lang w:val="en-US" w:eastAsia="zh-CN"/>
              </w:rPr>
              <w:t>221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</w:rPr>
              <w:t>住房保障支出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  <w:lang w:val="en-US" w:eastAsia="zh-CN"/>
              </w:rPr>
              <w:t>18.18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  <w:lang w:val="en-US" w:eastAsia="zh-CN"/>
              </w:rPr>
              <w:t>18.18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  <w:lang w:val="en-US" w:eastAsia="zh-CN"/>
              </w:rPr>
              <w:t>221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  <w:lang w:val="en-US" w:eastAsia="zh-CN"/>
              </w:rPr>
              <w:t>02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</w:rPr>
              <w:t>住房改革支出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  <w:lang w:val="en-US" w:eastAsia="zh-CN"/>
              </w:rPr>
              <w:t>18.18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  <w:lang w:val="en-US" w:eastAsia="zh-CN"/>
              </w:rPr>
              <w:t>18.18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  <w:lang w:val="en-US" w:eastAsia="zh-CN"/>
              </w:rPr>
              <w:t>221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  <w:lang w:val="en-US" w:eastAsia="zh-CN"/>
              </w:rPr>
              <w:t>02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  <w:lang w:val="en-US" w:eastAsia="zh-CN"/>
              </w:rPr>
              <w:t>01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</w:rPr>
              <w:t>住房公积金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  <w:lang w:val="en-US" w:eastAsia="zh-CN"/>
              </w:rPr>
              <w:t>18.18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  <w:lang w:val="en-US" w:eastAsia="zh-CN"/>
              </w:rPr>
              <w:t>18.18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合  计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216.68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216.68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  <w:highlight w:val="none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  <w:highlight w:val="none"/>
        </w:rPr>
        <w:t>备注：无内容应公开空表并说明情况。</w:t>
      </w:r>
    </w:p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  <w:highlight w:val="none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highlight w:val="none"/>
          <w:lang w:bidi="ar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  <w:highlight w:val="none"/>
          <w:lang w:bidi="ar"/>
        </w:rPr>
        <w:t>表6</w:t>
      </w:r>
    </w:p>
    <w:tbl>
      <w:tblPr>
        <w:tblStyle w:val="6"/>
        <w:tblW w:w="9328" w:type="dxa"/>
        <w:tblInd w:w="-14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7"/>
        <w:gridCol w:w="577"/>
        <w:gridCol w:w="2891"/>
        <w:gridCol w:w="995"/>
        <w:gridCol w:w="706"/>
        <w:gridCol w:w="976"/>
        <w:gridCol w:w="725"/>
        <w:gridCol w:w="170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328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方正小标宋_GBK" w:hAnsi="方正小标宋_GBK" w:eastAsia="方正小标宋_GBK" w:cs="方正小标宋_GBK"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方正小标宋_GBK" w:hAnsi="方正小标宋_GBK" w:eastAsia="方正小标宋_GBK" w:cs="方正小标宋_GBK"/>
                <w:color w:val="000000"/>
                <w:kern w:val="0"/>
                <w:sz w:val="32"/>
                <w:szCs w:val="32"/>
                <w:highlight w:val="none"/>
              </w:rPr>
              <w:t>一般公共预算基本支出情况表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22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hint="default" w:ascii="仿宋_GB2312" w:hAnsi="宋体" w:eastAsia="仿宋_GB2312" w:cs="宋体"/>
                <w:color w:val="000000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highlight w:val="none"/>
              </w:rPr>
              <w:t>编制部门（单位）：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highlight w:val="none"/>
                <w:lang w:val="en-US" w:eastAsia="zh-CN"/>
              </w:rPr>
              <w:t>昌吉州建筑工程社会保险统筹总站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16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highlight w:val="none"/>
              </w:rPr>
              <w:t xml:space="preserve">          </w:t>
            </w:r>
          </w:p>
        </w:tc>
        <w:tc>
          <w:tcPr>
            <w:tcW w:w="24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ind w:firstLine="720" w:firstLineChars="300"/>
              <w:rPr>
                <w:rFonts w:ascii="仿宋_GB2312" w:hAnsi="宋体" w:eastAsia="仿宋_GB2312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highlight w:val="none"/>
              </w:rPr>
              <w:t xml:space="preserve">  单位：万元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42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  <w:highlight w:val="none"/>
              </w:rPr>
              <w:t>项目</w:t>
            </w:r>
          </w:p>
        </w:tc>
        <w:tc>
          <w:tcPr>
            <w:tcW w:w="510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  <w:highlight w:val="none"/>
              </w:rPr>
              <w:t>一般公共预算基本支出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3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  <w:highlight w:val="none"/>
              </w:rPr>
              <w:t>经济分类科目编码</w:t>
            </w:r>
          </w:p>
        </w:tc>
        <w:tc>
          <w:tcPr>
            <w:tcW w:w="289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  <w:highlight w:val="none"/>
              </w:rPr>
              <w:t>经济分类科目名称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  <w:highlight w:val="none"/>
              </w:rPr>
              <w:t>合  计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  <w:highlight w:val="none"/>
              </w:rPr>
              <w:t>人员经费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  <w:highlight w:val="none"/>
              </w:rPr>
              <w:t>公用经费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类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款</w:t>
            </w:r>
          </w:p>
        </w:tc>
        <w:tc>
          <w:tcPr>
            <w:tcW w:w="289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highlight w:val="none"/>
              </w:rPr>
              <w:t>工资福利支出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182.55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182.55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01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highlight w:val="none"/>
              </w:rPr>
              <w:t>基本工资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  <w:t>61.79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  <w:t>61.79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cs="宋体"/>
                <w:color w:val="000000"/>
                <w:kern w:val="0"/>
                <w:sz w:val="20"/>
                <w:szCs w:val="20"/>
                <w:highlight w:val="none"/>
                <w:lang w:val="en-US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02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  <w:t>津贴补贴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  <w:t>13.52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  <w:t>13.52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cs="宋体"/>
                <w:color w:val="000000"/>
                <w:kern w:val="0"/>
                <w:sz w:val="20"/>
                <w:szCs w:val="20"/>
                <w:highlight w:val="none"/>
                <w:lang w:val="en-US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03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  <w:t>奖金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  <w:t>5.05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  <w:t>5.05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cs="宋体"/>
                <w:color w:val="000000"/>
                <w:kern w:val="0"/>
                <w:sz w:val="20"/>
                <w:szCs w:val="20"/>
                <w:highlight w:val="none"/>
                <w:lang w:val="en-US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07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  <w:t>绩效工资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  <w:t>47.35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  <w:t>47.35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cs="宋体"/>
                <w:color w:val="000000"/>
                <w:kern w:val="0"/>
                <w:sz w:val="20"/>
                <w:szCs w:val="20"/>
                <w:highlight w:val="none"/>
                <w:lang w:val="en-US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08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  <w:t>机关事业单位基本养老保险缴费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  <w:t>20.21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  <w:t>20.21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cs="宋体"/>
                <w:color w:val="000000"/>
                <w:kern w:val="0"/>
                <w:sz w:val="20"/>
                <w:szCs w:val="20"/>
                <w:highlight w:val="none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  <w:t>城镇职工基本医疗保险缴费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  <w:t>12.00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  <w:t>12.00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11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  <w:t>公务员医疗补助缴费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  <w:t>3.79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  <w:t>3.79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12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  <w:t>其他社会保障缴费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0.66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0.66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  <w:t>13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  <w:t>住房公积金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18.18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18.18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  <w:t>商品和服务支出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18.72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18.72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  <w:t>01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  <w:t>办公费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  <w:t>3.00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  <w:t>3.00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  <w:t>02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  <w:t>印刷费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0.4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0.4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  <w:t>05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0.03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0.03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06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电费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0.3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0.3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07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邮电费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0.4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0.4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  <w:t>08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取暖费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0.54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0.54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09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  <w:t>物业管理费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1.4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1.4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11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  <w:t>差旅费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1.6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1.6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13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  <w:t>维修(护)费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0.6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0.6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16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  <w:t>培训费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0.2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0.2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  <w:t>27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  <w:t>委托业务费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  <w:t>1.58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  <w:t>1.58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28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  <w:t>工会经费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2.38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2.38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29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  <w:t>福利费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2.14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2.14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31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  <w:t>公务用车运行维护费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39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  <w:t>其他交通费用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0.11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0.11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99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  <w:t>其他商品和服务支出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2.04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2.04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  <w:t>对个人和家庭的补助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5.91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5.91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01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  <w:t>离休费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0.5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0.5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07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  <w:t>医疗费补助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4.88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4.88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09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  <w:t>奖励金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0.53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0.53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合  计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188.46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  <w:highlight w:val="none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  <w:highlight w:val="none"/>
        </w:rPr>
        <w:t>备注：无内容应公开空表并说明情况。</w:t>
      </w: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highlight w:val="none"/>
          <w:lang w:bidi="ar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  <w:highlight w:val="none"/>
          <w:lang w:bidi="ar"/>
        </w:rPr>
        <w:t>表7</w:t>
      </w:r>
    </w:p>
    <w:tbl>
      <w:tblPr>
        <w:tblStyle w:val="6"/>
        <w:tblW w:w="9540" w:type="dxa"/>
        <w:tblInd w:w="-36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"/>
        <w:gridCol w:w="389"/>
        <w:gridCol w:w="397"/>
        <w:gridCol w:w="397"/>
        <w:gridCol w:w="851"/>
        <w:gridCol w:w="1456"/>
        <w:gridCol w:w="750"/>
        <w:gridCol w:w="110"/>
        <w:gridCol w:w="459"/>
        <w:gridCol w:w="536"/>
        <w:gridCol w:w="652"/>
        <w:gridCol w:w="652"/>
        <w:gridCol w:w="378"/>
        <w:gridCol w:w="200"/>
        <w:gridCol w:w="419"/>
        <w:gridCol w:w="578"/>
        <w:gridCol w:w="420"/>
        <w:gridCol w:w="420"/>
        <w:gridCol w:w="389"/>
        <w:gridCol w:w="7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8" w:type="dxa"/>
          <w:wAfter w:w="79" w:type="dxa"/>
          <w:trHeight w:val="375" w:hRule="atLeast"/>
        </w:trPr>
        <w:tc>
          <w:tcPr>
            <w:tcW w:w="9453" w:type="dxa"/>
            <w:gridSpan w:val="18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方正小标宋_GBK" w:hAnsi="方正小标宋_GBK" w:eastAsia="方正小标宋_GBK" w:cs="方正小标宋_GBK"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方正小标宋_GBK" w:hAnsi="方正小标宋_GBK" w:eastAsia="方正小标宋_GBK" w:cs="方正小标宋_GBK"/>
                <w:color w:val="000000"/>
                <w:kern w:val="0"/>
                <w:sz w:val="32"/>
                <w:szCs w:val="32"/>
                <w:highlight w:val="none"/>
              </w:rPr>
              <w:t>一般公共预算项目支出情况表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8" w:type="dxa"/>
          <w:wAfter w:w="79" w:type="dxa"/>
          <w:trHeight w:val="405" w:hRule="atLeast"/>
        </w:trPr>
        <w:tc>
          <w:tcPr>
            <w:tcW w:w="435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hint="default" w:ascii="仿宋_GB2312" w:hAnsi="宋体" w:eastAsia="仿宋_GB2312" w:cs="宋体"/>
                <w:color w:val="000000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highlight w:val="none"/>
              </w:rPr>
              <w:t>编制部门（单位）：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highlight w:val="none"/>
                <w:lang w:val="en-US" w:eastAsia="zh-CN"/>
              </w:rPr>
              <w:t>昌吉州建筑工程社会保险统筹总站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168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highlight w:val="none"/>
              </w:rPr>
              <w:t xml:space="preserve">      </w:t>
            </w:r>
          </w:p>
        </w:tc>
        <w:tc>
          <w:tcPr>
            <w:tcW w:w="2426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ind w:firstLine="960" w:firstLineChars="400"/>
              <w:rPr>
                <w:rFonts w:ascii="仿宋_GB2312" w:hAnsi="宋体" w:eastAsia="仿宋_GB2312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highlight w:val="none"/>
              </w:rPr>
              <w:t>单位：万元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191" w:type="dxa"/>
            <w:gridSpan w:val="4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  <w:t>科 目 编 码</w:t>
            </w:r>
          </w:p>
        </w:tc>
        <w:tc>
          <w:tcPr>
            <w:tcW w:w="851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  <w:t>科目</w:t>
            </w:r>
          </w:p>
        </w:tc>
        <w:tc>
          <w:tcPr>
            <w:tcW w:w="1456" w:type="dxa"/>
            <w:vMerge w:val="restart"/>
            <w:vAlign w:val="center"/>
          </w:tcPr>
          <w:p>
            <w:pPr>
              <w:jc w:val="center"/>
              <w:rPr>
                <w:rFonts w:ascii="Calibri" w:hAnsi="Calibri"/>
                <w:sz w:val="24"/>
                <w:highlight w:val="none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24"/>
                <w:highlight w:val="none"/>
              </w:rPr>
              <w:t>项目名称</w:t>
            </w:r>
          </w:p>
        </w:tc>
        <w:tc>
          <w:tcPr>
            <w:tcW w:w="750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  <w:t>项目支出合计</w:t>
            </w:r>
          </w:p>
        </w:tc>
        <w:tc>
          <w:tcPr>
            <w:tcW w:w="569" w:type="dxa"/>
            <w:gridSpan w:val="2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  <w:t>工资福利支出</w:t>
            </w:r>
          </w:p>
        </w:tc>
        <w:tc>
          <w:tcPr>
            <w:tcW w:w="536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  <w:t>商品和服务支出</w:t>
            </w:r>
          </w:p>
        </w:tc>
        <w:tc>
          <w:tcPr>
            <w:tcW w:w="652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  <w:t>对个人和家庭的补助</w:t>
            </w:r>
          </w:p>
        </w:tc>
        <w:tc>
          <w:tcPr>
            <w:tcW w:w="652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  <w:t>债务利息及费用支出</w:t>
            </w:r>
          </w:p>
        </w:tc>
        <w:tc>
          <w:tcPr>
            <w:tcW w:w="578" w:type="dxa"/>
            <w:gridSpan w:val="2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  <w:t>资本性支出（基本建设）</w:t>
            </w:r>
          </w:p>
        </w:tc>
        <w:tc>
          <w:tcPr>
            <w:tcW w:w="419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  <w:t>资本性支出</w:t>
            </w:r>
          </w:p>
        </w:tc>
        <w:tc>
          <w:tcPr>
            <w:tcW w:w="578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  <w:t>对企业补助（基本建设）</w:t>
            </w:r>
          </w:p>
        </w:tc>
        <w:tc>
          <w:tcPr>
            <w:tcW w:w="420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  <w:t>对企业补助</w:t>
            </w:r>
          </w:p>
        </w:tc>
        <w:tc>
          <w:tcPr>
            <w:tcW w:w="420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  <w:t>对社会保障基金补助</w:t>
            </w:r>
          </w:p>
        </w:tc>
        <w:tc>
          <w:tcPr>
            <w:tcW w:w="468" w:type="dxa"/>
            <w:gridSpan w:val="2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  <w:t>其他支出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7" w:hRule="atLeast"/>
        </w:trPr>
        <w:tc>
          <w:tcPr>
            <w:tcW w:w="397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  <w:t>类</w:t>
            </w:r>
          </w:p>
        </w:tc>
        <w:tc>
          <w:tcPr>
            <w:tcW w:w="397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  <w:t>款</w:t>
            </w:r>
          </w:p>
        </w:tc>
        <w:tc>
          <w:tcPr>
            <w:tcW w:w="397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  <w:t>项</w:t>
            </w:r>
          </w:p>
        </w:tc>
        <w:tc>
          <w:tcPr>
            <w:tcW w:w="851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456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750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569" w:type="dxa"/>
            <w:gridSpan w:val="2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536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652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652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578" w:type="dxa"/>
            <w:gridSpan w:val="2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19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578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20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20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68" w:type="dxa"/>
            <w:gridSpan w:val="2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851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1456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75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569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536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652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652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57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41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578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42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42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46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851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1456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75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569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536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652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652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57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41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578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42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42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46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851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1456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75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569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536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652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652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57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41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578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42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42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46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851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1456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75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569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536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652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652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57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41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578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42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42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46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851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1456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75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569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536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652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652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57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41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578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42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42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46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851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1456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75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569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536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652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652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57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41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578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42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42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46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851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1456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75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569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536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652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652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57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41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578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42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42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46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851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1456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75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569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536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652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652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57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41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578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42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42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46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851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1456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75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569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536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652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652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57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41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578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42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42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46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851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1456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75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569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536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652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652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57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41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578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42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42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46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851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1456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75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569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536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652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652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57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41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578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42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42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46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851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1456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75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569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536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652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652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57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41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578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42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42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46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851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1456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75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569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536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652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652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57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41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578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42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42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46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851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1456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75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569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536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652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652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57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41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578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42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42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46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851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145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b/>
                <w:bCs/>
                <w:kern w:val="0"/>
                <w:szCs w:val="21"/>
                <w:highlight w:val="none"/>
              </w:rPr>
              <w:t>合 计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Cs w:val="21"/>
                <w:highlight w:val="none"/>
              </w:rPr>
            </w:pPr>
          </w:p>
        </w:tc>
        <w:tc>
          <w:tcPr>
            <w:tcW w:w="569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536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652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652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57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41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578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42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42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46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  <w:highlight w:val="none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  <w:highlight w:val="none"/>
        </w:rPr>
        <w:t>备注：</w:t>
      </w:r>
      <w:r>
        <w:rPr>
          <w:rFonts w:ascii="仿宋_GB2312" w:hAnsi="宋体" w:eastAsia="仿宋_GB2312"/>
          <w:b/>
          <w:kern w:val="0"/>
          <w:sz w:val="28"/>
          <w:szCs w:val="32"/>
          <w:highlight w:val="none"/>
        </w:rPr>
        <w:t>我单位无政府性基金预算，此表为空表</w:t>
      </w:r>
      <w:r>
        <w:rPr>
          <w:rFonts w:hint="eastAsia" w:ascii="仿宋_GB2312" w:hAnsi="宋体" w:eastAsia="仿宋_GB2312"/>
          <w:b/>
          <w:kern w:val="0"/>
          <w:sz w:val="28"/>
          <w:szCs w:val="32"/>
          <w:highlight w:val="none"/>
        </w:rPr>
        <w:t>。</w:t>
      </w: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highlight w:val="none"/>
          <w:lang w:bidi="ar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  <w:highlight w:val="none"/>
          <w:lang w:bidi="ar"/>
        </w:rPr>
        <w:t>表8</w:t>
      </w:r>
    </w:p>
    <w:p>
      <w:pPr>
        <w:widowControl/>
        <w:jc w:val="center"/>
        <w:outlineLvl w:val="1"/>
        <w:rPr>
          <w:rFonts w:ascii="方正小标宋_GBK" w:hAnsi="方正小标宋_GBK" w:eastAsia="方正小标宋_GBK" w:cs="方正小标宋_GBK"/>
          <w:bCs/>
          <w:kern w:val="0"/>
          <w:sz w:val="32"/>
          <w:szCs w:val="32"/>
          <w:highlight w:val="none"/>
        </w:rPr>
      </w:pPr>
      <w:r>
        <w:rPr>
          <w:rFonts w:hint="eastAsia" w:ascii="方正小标宋_GBK" w:hAnsi="方正小标宋_GBK" w:eastAsia="方正小标宋_GBK" w:cs="方正小标宋_GBK"/>
          <w:bCs/>
          <w:kern w:val="0"/>
          <w:sz w:val="32"/>
          <w:szCs w:val="32"/>
          <w:highlight w:val="none"/>
        </w:rPr>
        <w:t>一般公共预算“三公”经费支出情况表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  <w:highlight w:val="none"/>
        </w:rPr>
      </w:pP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  <w:highlight w:val="none"/>
        </w:rPr>
      </w:pPr>
      <w:r>
        <w:rPr>
          <w:rFonts w:hint="eastAsia" w:ascii="仿宋_GB2312" w:hAnsi="宋体" w:eastAsia="仿宋_GB2312"/>
          <w:kern w:val="0"/>
          <w:sz w:val="24"/>
          <w:highlight w:val="none"/>
        </w:rPr>
        <w:t xml:space="preserve">编制部门（单位）：  </w:t>
      </w:r>
      <w:r>
        <w:rPr>
          <w:rFonts w:hint="eastAsia" w:ascii="仿宋_GB2312" w:hAnsi="宋体" w:eastAsia="仿宋_GB2312"/>
          <w:kern w:val="0"/>
          <w:sz w:val="24"/>
          <w:highlight w:val="none"/>
          <w:lang w:val="en-US" w:eastAsia="zh-CN"/>
        </w:rPr>
        <w:t>昌吉州建筑工程社会保险统筹总站</w:t>
      </w:r>
      <w:r>
        <w:rPr>
          <w:rFonts w:hint="eastAsia" w:ascii="仿宋_GB2312" w:hAnsi="宋体" w:eastAsia="仿宋_GB2312"/>
          <w:kern w:val="0"/>
          <w:sz w:val="24"/>
          <w:highlight w:val="none"/>
        </w:rPr>
        <w:t xml:space="preserve">             单位：万元</w:t>
      </w:r>
    </w:p>
    <w:tbl>
      <w:tblPr>
        <w:tblStyle w:val="6"/>
        <w:tblW w:w="9240" w:type="dxa"/>
        <w:tblInd w:w="-17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5"/>
        <w:gridCol w:w="1417"/>
        <w:gridCol w:w="1559"/>
        <w:gridCol w:w="1418"/>
        <w:gridCol w:w="1559"/>
        <w:gridCol w:w="171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15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  <w:t>合  计</w:t>
            </w:r>
          </w:p>
        </w:tc>
        <w:tc>
          <w:tcPr>
            <w:tcW w:w="14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  <w:t>因公出国（境）费</w:t>
            </w:r>
          </w:p>
        </w:tc>
        <w:tc>
          <w:tcPr>
            <w:tcW w:w="453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  <w:t>公务用车购置及运行费</w:t>
            </w:r>
          </w:p>
        </w:tc>
        <w:tc>
          <w:tcPr>
            <w:tcW w:w="171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  <w:t>公务接待费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5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4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  <w:t>合计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  <w:t>合  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  <w:t>公务用车购置费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  <w:t>公务用车运行费</w:t>
            </w:r>
          </w:p>
        </w:tc>
        <w:tc>
          <w:tcPr>
            <w:tcW w:w="17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  <w:lang w:val="en-US" w:eastAsia="zh-CN"/>
              </w:rPr>
              <w:t>2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  <w:lang w:val="en-US" w:eastAsia="zh-CN"/>
              </w:rPr>
              <w:t>2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  <w:lang w:val="en-US" w:eastAsia="zh-CN"/>
              </w:rPr>
              <w:t>2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</w:rPr>
              <w:t>　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  <w:highlight w:val="none"/>
        </w:rPr>
        <w:t>备注：无内容应公开空表并说明情况。</w:t>
      </w: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highlight w:val="none"/>
          <w:lang w:bidi="ar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highlight w:val="none"/>
          <w:lang w:bidi="ar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highlight w:val="none"/>
          <w:lang w:bidi="ar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highlight w:val="none"/>
          <w:lang w:bidi="ar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  <w:highlight w:val="none"/>
          <w:lang w:bidi="ar"/>
        </w:rPr>
        <w:t>表9</w:t>
      </w:r>
    </w:p>
    <w:p>
      <w:pPr>
        <w:widowControl/>
        <w:spacing w:line="360" w:lineRule="exact"/>
        <w:jc w:val="center"/>
        <w:outlineLvl w:val="1"/>
        <w:rPr>
          <w:rFonts w:ascii="方正小标宋_GBK" w:hAnsi="方正小标宋_GBK" w:eastAsia="方正小标宋_GBK" w:cs="方正小标宋_GBK"/>
          <w:bCs/>
          <w:kern w:val="0"/>
          <w:sz w:val="32"/>
          <w:szCs w:val="32"/>
          <w:highlight w:val="none"/>
        </w:rPr>
      </w:pPr>
      <w:r>
        <w:rPr>
          <w:rFonts w:hint="eastAsia" w:ascii="方正小标宋_GBK" w:hAnsi="方正小标宋_GBK" w:eastAsia="方正小标宋_GBK" w:cs="方正小标宋_GBK"/>
          <w:bCs/>
          <w:kern w:val="0"/>
          <w:sz w:val="32"/>
          <w:szCs w:val="32"/>
          <w:highlight w:val="none"/>
        </w:rPr>
        <w:t>政府性基金预算支出情况表</w:t>
      </w:r>
    </w:p>
    <w:p>
      <w:pPr>
        <w:widowControl/>
        <w:spacing w:line="280" w:lineRule="exact"/>
        <w:jc w:val="left"/>
        <w:outlineLvl w:val="1"/>
        <w:rPr>
          <w:rFonts w:ascii="仿宋_GB2312" w:hAnsi="宋体" w:eastAsia="仿宋_GB2312"/>
          <w:kern w:val="0"/>
          <w:sz w:val="24"/>
          <w:highlight w:val="none"/>
        </w:rPr>
      </w:pPr>
      <w:r>
        <w:rPr>
          <w:rFonts w:hint="eastAsia" w:ascii="仿宋_GB2312" w:hAnsi="宋体" w:eastAsia="仿宋_GB2312"/>
          <w:kern w:val="0"/>
          <w:sz w:val="24"/>
          <w:highlight w:val="none"/>
        </w:rPr>
        <w:t>编制部门（单位）：</w:t>
      </w:r>
      <w:r>
        <w:rPr>
          <w:rFonts w:hint="eastAsia" w:ascii="仿宋_GB2312" w:hAnsi="宋体" w:eastAsia="仿宋_GB2312"/>
          <w:kern w:val="0"/>
          <w:sz w:val="24"/>
          <w:highlight w:val="none"/>
          <w:lang w:val="en-US" w:eastAsia="zh-CN"/>
        </w:rPr>
        <w:t>昌吉州建筑工程社会保险统筹总站</w:t>
      </w:r>
      <w:r>
        <w:rPr>
          <w:rFonts w:hint="eastAsia" w:ascii="仿宋_GB2312" w:hAnsi="宋体" w:eastAsia="仿宋_GB2312"/>
          <w:kern w:val="0"/>
          <w:sz w:val="24"/>
          <w:highlight w:val="none"/>
        </w:rPr>
        <w:t xml:space="preserve">                单位：万元</w:t>
      </w:r>
    </w:p>
    <w:tbl>
      <w:tblPr>
        <w:tblStyle w:val="6"/>
        <w:tblW w:w="9214" w:type="dxa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5"/>
        <w:gridCol w:w="457"/>
        <w:gridCol w:w="699"/>
        <w:gridCol w:w="2544"/>
        <w:gridCol w:w="1669"/>
        <w:gridCol w:w="1701"/>
        <w:gridCol w:w="155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2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highlight w:val="none"/>
              </w:rPr>
              <w:t>项  目</w:t>
            </w:r>
          </w:p>
        </w:tc>
        <w:tc>
          <w:tcPr>
            <w:tcW w:w="492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highlight w:val="none"/>
              </w:rPr>
              <w:t>政府性基金预算支出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7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  <w:t>功能分类科目编码</w:t>
            </w:r>
          </w:p>
        </w:tc>
        <w:tc>
          <w:tcPr>
            <w:tcW w:w="254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highlight w:val="none"/>
              </w:rPr>
              <w:t>功能分类科目名称</w:t>
            </w:r>
          </w:p>
        </w:tc>
        <w:tc>
          <w:tcPr>
            <w:tcW w:w="166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highlight w:val="none"/>
              </w:rPr>
              <w:t>合 计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highlight w:val="none"/>
              </w:rPr>
              <w:t>基本支出</w:t>
            </w:r>
          </w:p>
        </w:tc>
        <w:tc>
          <w:tcPr>
            <w:tcW w:w="155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highlight w:val="none"/>
              </w:rPr>
              <w:t>项目支出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highlight w:val="none"/>
              </w:rPr>
              <w:t>类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highlight w:val="none"/>
              </w:rPr>
              <w:t>款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highlight w:val="none"/>
              </w:rPr>
              <w:t>项</w:t>
            </w:r>
          </w:p>
        </w:tc>
        <w:tc>
          <w:tcPr>
            <w:tcW w:w="254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166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highlight w:val="none"/>
              </w:rPr>
              <w:t>合  计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</w:tr>
    </w:tbl>
    <w:p>
      <w:pPr>
        <w:widowControl/>
        <w:spacing w:line="280" w:lineRule="exact"/>
        <w:outlineLvl w:val="1"/>
        <w:rPr>
          <w:rFonts w:ascii="仿宋_GB2312" w:hAnsi="宋体" w:eastAsia="仿宋_GB2312"/>
          <w:b/>
          <w:kern w:val="0"/>
          <w:sz w:val="28"/>
          <w:szCs w:val="32"/>
          <w:highlight w:val="none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  <w:highlight w:val="none"/>
        </w:rPr>
        <w:t>备注：</w:t>
      </w:r>
      <w:r>
        <w:rPr>
          <w:rFonts w:ascii="仿宋_GB2312" w:hAnsi="宋体" w:eastAsia="仿宋_GB2312"/>
          <w:b/>
          <w:kern w:val="0"/>
          <w:sz w:val="28"/>
          <w:szCs w:val="32"/>
          <w:highlight w:val="none"/>
        </w:rPr>
        <w:t>我单位无政府性基金预算，此表为空表</w:t>
      </w:r>
      <w:r>
        <w:rPr>
          <w:rFonts w:hint="eastAsia" w:ascii="仿宋_GB2312" w:hAnsi="宋体" w:eastAsia="仿宋_GB2312"/>
          <w:b/>
          <w:kern w:val="0"/>
          <w:sz w:val="28"/>
          <w:szCs w:val="32"/>
          <w:highlight w:val="none"/>
        </w:rPr>
        <w:t>。</w:t>
      </w:r>
    </w:p>
    <w:p>
      <w:pPr>
        <w:widowControl/>
        <w:spacing w:line="280" w:lineRule="exact"/>
        <w:jc w:val="left"/>
        <w:outlineLvl w:val="1"/>
        <w:rPr>
          <w:rFonts w:ascii="仿宋_GB2312" w:hAnsi="宋体" w:eastAsia="仿宋_GB2312"/>
          <w:kern w:val="0"/>
          <w:sz w:val="32"/>
          <w:szCs w:val="32"/>
          <w:highlight w:val="none"/>
        </w:rPr>
        <w:sectPr>
          <w:footerReference r:id="rId6" w:type="default"/>
          <w:pgSz w:w="11906" w:h="16838"/>
          <w:pgMar w:top="2098" w:right="1531" w:bottom="1984" w:left="1531" w:header="851" w:footer="992" w:gutter="0"/>
          <w:pgNumType w:fmt="numberInDash" w:start="56"/>
          <w:cols w:space="720" w:num="1"/>
          <w:docGrid w:linePitch="312" w:charSpace="0"/>
        </w:sectPr>
      </w:pPr>
    </w:p>
    <w:p>
      <w:pPr>
        <w:spacing w:line="560" w:lineRule="exact"/>
        <w:jc w:val="center"/>
        <w:rPr>
          <w:rFonts w:ascii="黑体" w:hAnsi="黑体" w:eastAsia="黑体"/>
          <w:kern w:val="0"/>
          <w:sz w:val="32"/>
          <w:szCs w:val="32"/>
          <w:highlight w:val="none"/>
        </w:rPr>
      </w:pPr>
      <w:r>
        <w:rPr>
          <w:rFonts w:hint="eastAsia" w:ascii="黑体" w:hAnsi="黑体" w:eastAsia="黑体"/>
          <w:kern w:val="0"/>
          <w:sz w:val="32"/>
          <w:szCs w:val="32"/>
          <w:highlight w:val="none"/>
        </w:rPr>
        <w:t>第三部分  2022年部门（单位）预算情况说明</w:t>
      </w:r>
    </w:p>
    <w:p>
      <w:pPr>
        <w:spacing w:line="560" w:lineRule="exact"/>
        <w:ind w:firstLine="640" w:firstLineChars="200"/>
        <w:rPr>
          <w:rFonts w:ascii="黑体" w:hAnsi="黑体" w:eastAsia="黑体"/>
          <w:kern w:val="0"/>
          <w:sz w:val="32"/>
          <w:szCs w:val="32"/>
          <w:highlight w:val="none"/>
        </w:rPr>
      </w:pPr>
    </w:p>
    <w:p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kern w:val="0"/>
          <w:sz w:val="32"/>
          <w:szCs w:val="32"/>
          <w:highlight w:val="none"/>
        </w:rPr>
      </w:pPr>
      <w:r>
        <w:rPr>
          <w:rFonts w:hint="eastAsia" w:ascii="楷体_GB2312" w:hAnsi="楷体_GB2312" w:eastAsia="楷体_GB2312" w:cs="楷体_GB2312"/>
          <w:b/>
          <w:kern w:val="0"/>
          <w:sz w:val="32"/>
          <w:szCs w:val="32"/>
          <w:highlight w:val="none"/>
        </w:rPr>
        <w:t>一、关于</w:t>
      </w:r>
      <w:r>
        <w:rPr>
          <w:rFonts w:hint="eastAsia" w:ascii="楷体_GB2312" w:hAnsi="楷体_GB2312" w:eastAsia="楷体_GB2312" w:cs="楷体_GB2312"/>
          <w:b/>
          <w:kern w:val="0"/>
          <w:sz w:val="32"/>
          <w:szCs w:val="32"/>
          <w:highlight w:val="none"/>
          <w:lang w:val="en-US" w:eastAsia="zh-CN"/>
        </w:rPr>
        <w:t>昌吉州建筑工程社会保险统筹总站</w:t>
      </w:r>
      <w:r>
        <w:rPr>
          <w:rFonts w:hint="eastAsia" w:ascii="楷体_GB2312" w:hAnsi="楷体_GB2312" w:eastAsia="楷体_GB2312" w:cs="楷体_GB2312"/>
          <w:b/>
          <w:kern w:val="0"/>
          <w:sz w:val="32"/>
          <w:szCs w:val="32"/>
          <w:highlight w:val="none"/>
        </w:rPr>
        <w:t>2022年收支预算情况的总体说明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按照全口径预算的原则，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昌吉州建筑工程社会保险统筹总站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2022年所有收入和支出均纳入部门（单位）预算管理。收支总预算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216.68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收入预算包括：一般公共预算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216.68万元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。</w:t>
      </w:r>
    </w:p>
    <w:p>
      <w:pPr>
        <w:spacing w:line="560" w:lineRule="exact"/>
        <w:ind w:firstLine="640" w:firstLineChars="200"/>
        <w:rPr>
          <w:rFonts w:hint="default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支出预算包括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社会保障和就业支出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20.71万元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、医疗卫生健康支出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15.9万元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、城乡社区支出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161.89万元、住房保障支出18.18万元。</w:t>
      </w:r>
    </w:p>
    <w:p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kern w:val="0"/>
          <w:sz w:val="32"/>
          <w:szCs w:val="32"/>
          <w:highlight w:val="none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  <w:highlight w:val="none"/>
        </w:rPr>
        <w:t>二、关于</w:t>
      </w:r>
      <w:r>
        <w:rPr>
          <w:rFonts w:hint="eastAsia" w:ascii="楷体_GB2312" w:hAnsi="楷体_GB2312" w:eastAsia="楷体_GB2312" w:cs="楷体_GB2312"/>
          <w:b/>
          <w:kern w:val="0"/>
          <w:sz w:val="32"/>
          <w:szCs w:val="32"/>
          <w:highlight w:val="none"/>
          <w:lang w:val="en-US" w:eastAsia="zh-CN"/>
        </w:rPr>
        <w:t>昌吉州建筑工程社会保险统筹总站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  <w:highlight w:val="none"/>
        </w:rPr>
        <w:t>2022年收入预算情况说明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昌吉州建筑工程社会保险统筹总站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收入预算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216.68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万元，其中：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一般公共预算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216.68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万元，占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100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%，比上年预算增加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14.47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万元，增长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6.68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%，主要原因是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人员工资增长。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 xml:space="preserve">    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政府性基金预算未安排。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国有资本经营预算未安排。</w:t>
      </w:r>
    </w:p>
    <w:p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kern w:val="0"/>
          <w:sz w:val="32"/>
          <w:szCs w:val="32"/>
          <w:highlight w:val="none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  <w:highlight w:val="none"/>
        </w:rPr>
        <w:t>三、关于</w:t>
      </w:r>
      <w:r>
        <w:rPr>
          <w:rFonts w:hint="eastAsia" w:ascii="楷体_GB2312" w:hAnsi="楷体_GB2312" w:eastAsia="楷体_GB2312" w:cs="楷体_GB2312"/>
          <w:b/>
          <w:kern w:val="0"/>
          <w:sz w:val="32"/>
          <w:szCs w:val="32"/>
          <w:highlight w:val="none"/>
          <w:lang w:val="en-US" w:eastAsia="zh-CN"/>
        </w:rPr>
        <w:t>昌吉州建筑工程社会保险统筹总站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  <w:highlight w:val="none"/>
        </w:rPr>
        <w:t>2022年支出预算情况说明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昌吉州建筑工程社会保险统筹总站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2022年支出预算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216.68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元，其中：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b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基本支出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216.68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万元，占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100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%，比上年预算增加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14.47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万元，增长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6.68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%，主要原因是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人员工资增长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项目支出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万元，占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%，比上年预算增加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万元，增长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%，主要原因是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本年度无项目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。</w:t>
      </w:r>
    </w:p>
    <w:p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kern w:val="0"/>
          <w:sz w:val="32"/>
          <w:szCs w:val="32"/>
          <w:highlight w:val="none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  <w:highlight w:val="none"/>
        </w:rPr>
        <w:t>四、关于</w:t>
      </w:r>
      <w:r>
        <w:rPr>
          <w:rFonts w:hint="eastAsia" w:ascii="楷体_GB2312" w:hAnsi="楷体_GB2312" w:eastAsia="楷体_GB2312" w:cs="楷体_GB2312"/>
          <w:b/>
          <w:kern w:val="0"/>
          <w:sz w:val="32"/>
          <w:szCs w:val="32"/>
          <w:highlight w:val="none"/>
          <w:lang w:val="en-US" w:eastAsia="zh-CN"/>
        </w:rPr>
        <w:t>昌吉州建筑工程社会保险统筹总站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  <w:highlight w:val="none"/>
        </w:rPr>
        <w:t>2022年财政拨款收支预算情况的总体说明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2022年财政拨款收支总预算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207.18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万元。</w:t>
      </w:r>
    </w:p>
    <w:p>
      <w:pPr>
        <w:spacing w:line="560" w:lineRule="exact"/>
        <w:ind w:firstLine="616" w:firstLineChars="200"/>
        <w:rPr>
          <w:rFonts w:ascii="仿宋_GB2312" w:hAnsi="宋体" w:eastAsia="仿宋_GB2312" w:cs="宋体"/>
          <w:spacing w:val="-6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highlight w:val="none"/>
        </w:rPr>
        <w:t>收入预算包括：一般公共预算拨款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highlight w:val="none"/>
          <w:lang w:val="en-US" w:eastAsia="zh-CN"/>
        </w:rPr>
        <w:t>207.18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highlight w:val="none"/>
        </w:rPr>
        <w:t>万元。</w:t>
      </w:r>
    </w:p>
    <w:p>
      <w:pPr>
        <w:spacing w:line="560" w:lineRule="exact"/>
        <w:ind w:firstLine="616" w:firstLineChars="200"/>
        <w:rPr>
          <w:rFonts w:hint="default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highlight w:val="none"/>
        </w:rPr>
        <w:t>一般公共预算支出包括： 社会保障和就业支出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highlight w:val="none"/>
          <w:lang w:val="en-US" w:eastAsia="zh-CN"/>
        </w:rPr>
        <w:t>20.71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highlight w:val="none"/>
        </w:rPr>
        <w:t>万元，主要用于</w:t>
      </w:r>
      <w:r>
        <w:rPr>
          <w:rFonts w:ascii="仿宋_GB2312" w:hAnsi="宋体" w:eastAsia="仿宋_GB2312" w:cs="宋体"/>
          <w:spacing w:val="-6"/>
          <w:kern w:val="0"/>
          <w:sz w:val="32"/>
          <w:szCs w:val="32"/>
          <w:highlight w:val="none"/>
        </w:rPr>
        <w:t>机关事业单位基本养老保险缴费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highlight w:val="none"/>
        </w:rPr>
        <w:t>；卫生健康支出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highlight w:val="none"/>
          <w:lang w:val="en-US" w:eastAsia="zh-CN"/>
        </w:rPr>
        <w:t>15.9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highlight w:val="none"/>
        </w:rPr>
        <w:t>万元，主要用于行政事业单位医疗和公务员医疗补助；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highlight w:val="none"/>
          <w:lang w:val="en-US" w:eastAsia="zh-CN"/>
        </w:rPr>
        <w:t>城乡社区支出152.39万元，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highlight w:val="none"/>
        </w:rPr>
        <w:t>主要用于人员经费、日常公用经费及项目支出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highlight w:val="none"/>
          <w:lang w:eastAsia="zh-CN"/>
        </w:rPr>
        <w:t>；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highlight w:val="none"/>
          <w:lang w:val="en-US" w:eastAsia="zh-CN"/>
        </w:rPr>
        <w:t>住房保障支出18.18万元，主要用于职工住房公积金。</w:t>
      </w:r>
    </w:p>
    <w:p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spacing w:val="-6"/>
          <w:kern w:val="0"/>
          <w:sz w:val="32"/>
          <w:szCs w:val="32"/>
          <w:highlight w:val="none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  <w:highlight w:val="none"/>
        </w:rPr>
        <w:t>五、</w:t>
      </w:r>
      <w:r>
        <w:rPr>
          <w:rFonts w:hint="eastAsia" w:ascii="楷体_GB2312" w:hAnsi="楷体_GB2312" w:eastAsia="楷体_GB2312" w:cs="楷体_GB2312"/>
          <w:b/>
          <w:bCs/>
          <w:spacing w:val="-6"/>
          <w:kern w:val="0"/>
          <w:sz w:val="32"/>
          <w:szCs w:val="32"/>
          <w:highlight w:val="none"/>
        </w:rPr>
        <w:t>关于</w:t>
      </w:r>
      <w:r>
        <w:rPr>
          <w:rFonts w:hint="eastAsia" w:ascii="楷体_GB2312" w:hAnsi="楷体_GB2312" w:eastAsia="楷体_GB2312" w:cs="楷体_GB2312"/>
          <w:b/>
          <w:kern w:val="0"/>
          <w:sz w:val="32"/>
          <w:szCs w:val="32"/>
          <w:highlight w:val="none"/>
          <w:lang w:val="en-US" w:eastAsia="zh-CN"/>
        </w:rPr>
        <w:t>昌吉州建筑工程社会保险统筹总站</w:t>
      </w:r>
      <w:r>
        <w:rPr>
          <w:rFonts w:hint="eastAsia" w:ascii="楷体_GB2312" w:hAnsi="楷体_GB2312" w:eastAsia="楷体_GB2312" w:cs="楷体_GB2312"/>
          <w:b/>
          <w:bCs/>
          <w:spacing w:val="-6"/>
          <w:kern w:val="0"/>
          <w:sz w:val="32"/>
          <w:szCs w:val="32"/>
          <w:highlight w:val="none"/>
        </w:rPr>
        <w:t>2022年一般公共预算当年拨款情况说明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  <w:highlight w:val="none"/>
        </w:rPr>
        <w:t>（一）一般公共预算当年拨款规模变化情况</w:t>
      </w:r>
    </w:p>
    <w:p>
      <w:pPr>
        <w:spacing w:line="560" w:lineRule="exact"/>
        <w:ind w:firstLine="616" w:firstLineChars="200"/>
        <w:rPr>
          <w:rFonts w:ascii="仿宋_GB2312" w:hAnsi="仿宋_GB2312" w:eastAsia="仿宋_GB2312" w:cs="仿宋_GB2312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highlight w:val="none"/>
          <w:lang w:val="en-US" w:eastAsia="zh-CN"/>
        </w:rPr>
        <w:t>昌吉州建筑工程社会保险统筹总站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highlight w:val="none"/>
        </w:rPr>
        <w:t>2022年一般公共预算拨款合计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highlight w:val="none"/>
          <w:lang w:val="en-US" w:eastAsia="zh-CN"/>
        </w:rPr>
        <w:t>207.18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highlight w:val="none"/>
        </w:rPr>
        <w:t>万元，其中：基本支出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highlight w:val="none"/>
          <w:lang w:val="en-US" w:eastAsia="zh-CN"/>
        </w:rPr>
        <w:t>207.18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highlight w:val="none"/>
        </w:rPr>
        <w:t>万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元，比上年预算增加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4.97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万元，增长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2.4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%。主要原因是：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人员工资增加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。项目支出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万元，比上年预算增加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万元，增长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%。主要原因是：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本年度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无项目支出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。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  <w:highlight w:val="none"/>
        </w:rPr>
        <w:t>（二）一般公共预算当年拨款结构情况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  <w:highlight w:val="none"/>
        </w:rPr>
      </w:pPr>
      <w:r>
        <w:rPr>
          <w:rFonts w:hint="eastAsia" w:ascii="仿宋_GB2312" w:eastAsia="仿宋_GB2312"/>
          <w:sz w:val="32"/>
          <w:szCs w:val="32"/>
          <w:highlight w:val="none"/>
        </w:rPr>
        <w:t>1.社会保障和就业支出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20.71</w:t>
      </w:r>
      <w:r>
        <w:rPr>
          <w:rFonts w:hint="eastAsia" w:ascii="仿宋_GB2312" w:eastAsia="仿宋_GB2312"/>
          <w:sz w:val="32"/>
          <w:szCs w:val="32"/>
          <w:highlight w:val="none"/>
        </w:rPr>
        <w:t>万元，占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9.99</w:t>
      </w:r>
      <w:r>
        <w:rPr>
          <w:rFonts w:hint="eastAsia" w:ascii="仿宋_GB2312" w:eastAsia="仿宋_GB2312"/>
          <w:sz w:val="32"/>
          <w:szCs w:val="32"/>
          <w:highlight w:val="none"/>
        </w:rPr>
        <w:t>%；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2.</w:t>
      </w:r>
      <w:r>
        <w:rPr>
          <w:rFonts w:hint="eastAsia" w:ascii="仿宋_GB2312" w:eastAsia="仿宋_GB2312"/>
          <w:sz w:val="32"/>
          <w:szCs w:val="32"/>
          <w:highlight w:val="none"/>
        </w:rPr>
        <w:t>卫生健康支出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15.9</w:t>
      </w:r>
      <w:r>
        <w:rPr>
          <w:rFonts w:hint="eastAsia" w:ascii="仿宋_GB2312" w:eastAsia="仿宋_GB2312"/>
          <w:sz w:val="32"/>
          <w:szCs w:val="32"/>
          <w:highlight w:val="none"/>
        </w:rPr>
        <w:t>万元，占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7.67</w:t>
      </w:r>
      <w:r>
        <w:rPr>
          <w:rFonts w:hint="eastAsia" w:ascii="仿宋_GB2312" w:eastAsia="仿宋_GB2312"/>
          <w:sz w:val="32"/>
          <w:szCs w:val="32"/>
          <w:highlight w:val="none"/>
        </w:rPr>
        <w:t>%。</w:t>
      </w:r>
    </w:p>
    <w:p>
      <w:pPr>
        <w:spacing w:line="560" w:lineRule="exact"/>
        <w:ind w:firstLine="640" w:firstLineChars="200"/>
        <w:rPr>
          <w:rFonts w:hint="eastAsia" w:ascii="仿宋_GB2312" w:eastAsia="仿宋_GB2312"/>
          <w:sz w:val="32"/>
          <w:szCs w:val="32"/>
          <w:highlight w:val="none"/>
        </w:rPr>
      </w:pPr>
      <w:r>
        <w:rPr>
          <w:rFonts w:hint="eastAsia" w:ascii="仿宋_GB2312" w:eastAsia="仿宋_GB2312"/>
          <w:sz w:val="32"/>
          <w:szCs w:val="32"/>
          <w:highlight w:val="none"/>
        </w:rPr>
        <w:t>3.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highlight w:val="none"/>
          <w:lang w:val="en-US" w:eastAsia="zh-CN"/>
        </w:rPr>
        <w:t>城乡社区支出152.39</w:t>
      </w:r>
      <w:r>
        <w:rPr>
          <w:rFonts w:hint="eastAsia" w:ascii="仿宋_GB2312" w:eastAsia="仿宋_GB2312"/>
          <w:sz w:val="32"/>
          <w:szCs w:val="32"/>
          <w:highlight w:val="none"/>
        </w:rPr>
        <w:t>万元，占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highlight w:val="none"/>
          <w:lang w:val="en-US" w:eastAsia="zh-CN"/>
        </w:rPr>
        <w:t>73.55</w:t>
      </w:r>
      <w:r>
        <w:rPr>
          <w:rFonts w:hint="eastAsia" w:ascii="仿宋_GB2312" w:eastAsia="仿宋_GB2312"/>
          <w:sz w:val="32"/>
          <w:szCs w:val="32"/>
          <w:highlight w:val="none"/>
        </w:rPr>
        <w:t>%；</w:t>
      </w:r>
    </w:p>
    <w:p>
      <w:pPr>
        <w:spacing w:line="560" w:lineRule="exact"/>
        <w:ind w:firstLine="640" w:firstLineChars="200"/>
        <w:rPr>
          <w:rFonts w:hint="default" w:ascii="仿宋_GB2312" w:eastAsia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4.住房保障支出18.19万元，占8.78%。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  <w:highlight w:val="none"/>
        </w:rPr>
        <w:t>（三）一般公共预算当年拨款具体使用情况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1.社会保障和就业支出（类）行政事业单位养老支出（款）机关事业单位基本养老保险缴费支出（项）：2022年预算数为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20.21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万元，比上年预算增加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2.15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万元，增长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10.64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%，主要原因是本年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机关事业单位基本养老保险缴费基数增加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2.社会保障和就业支出（类）行政事业单位养老支出（款）事业单位离退休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（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项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）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：2022年预算数为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0.5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万元，比上年预算增加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0.5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万元，增长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100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%，主要原因是本年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将事业单位离退休支出单列此款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3.医疗卫生健康支出（类）行政事业单位医疗（款）公务员医疗补助（项）：2022年预算数为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3.79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万元，比上年预算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减少0.6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万元，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下降15.83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%，主要原因是本年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人员减少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4.医疗卫生健康支出（类）行政事业单位医疗（款）其他行政事业单位医疗支出（项）：2022年预算数为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0.11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万元，比上年预算减少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0.39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万元，降低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78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%，主要原因是本年机关事业单位医疗保险比例降低。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5.医疗卫生健康支出（类）行政事业单位医疗（款）其事业单位医疗（项）：2022年预算数为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12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万元，比上年预算减少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1.74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万元，降低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14.5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%，主要原因是本年机关事业单位医疗保险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缴费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比例降低。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6.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住房保障支出（类）住房改革支出（款）住房公积金（项）：2022年预算数为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18.18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万元，比上年预算增加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18.18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万元，增长100%，主要原因是上年度住房公积金未列入此款类项中。</w:t>
      </w:r>
    </w:p>
    <w:p>
      <w:pPr>
        <w:spacing w:line="560" w:lineRule="exact"/>
        <w:ind w:firstLine="640" w:firstLineChars="200"/>
        <w:rPr>
          <w:rFonts w:hint="default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7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.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2120106工程建设管理：2022年预算数为152.39万元，比上年预算减少13.1万元，下降8.6%，主要原因是：2021年人员工资增长。</w:t>
      </w:r>
    </w:p>
    <w:p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spacing w:val="-6"/>
          <w:kern w:val="0"/>
          <w:sz w:val="32"/>
          <w:szCs w:val="32"/>
          <w:highlight w:val="none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  <w:highlight w:val="none"/>
        </w:rPr>
        <w:t>六、</w:t>
      </w:r>
      <w:r>
        <w:rPr>
          <w:rFonts w:hint="eastAsia" w:ascii="楷体_GB2312" w:hAnsi="楷体_GB2312" w:eastAsia="楷体_GB2312" w:cs="楷体_GB2312"/>
          <w:b/>
          <w:bCs/>
          <w:spacing w:val="-6"/>
          <w:kern w:val="0"/>
          <w:sz w:val="32"/>
          <w:szCs w:val="32"/>
          <w:highlight w:val="none"/>
        </w:rPr>
        <w:t>关于</w:t>
      </w:r>
      <w:r>
        <w:rPr>
          <w:rFonts w:hint="eastAsia" w:ascii="楷体_GB2312" w:hAnsi="楷体_GB2312" w:eastAsia="楷体_GB2312" w:cs="楷体_GB2312"/>
          <w:b/>
          <w:bCs/>
          <w:spacing w:val="-6"/>
          <w:kern w:val="0"/>
          <w:sz w:val="32"/>
          <w:szCs w:val="32"/>
          <w:highlight w:val="none"/>
          <w:lang w:val="en-US" w:eastAsia="zh-CN"/>
        </w:rPr>
        <w:t>昌吉州建筑工程社会保险统筹总站</w:t>
      </w:r>
      <w:r>
        <w:rPr>
          <w:rFonts w:hint="eastAsia" w:ascii="楷体_GB2312" w:hAnsi="楷体_GB2312" w:eastAsia="楷体_GB2312" w:cs="楷体_GB2312"/>
          <w:b/>
          <w:bCs/>
          <w:spacing w:val="-6"/>
          <w:kern w:val="0"/>
          <w:sz w:val="32"/>
          <w:szCs w:val="32"/>
          <w:highlight w:val="none"/>
        </w:rPr>
        <w:t>2022年一般公共预算基本支出情况说明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spacing w:val="-6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昌吉州建筑工程社会保险统筹总站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highlight w:val="none"/>
        </w:rPr>
        <w:t>2022年一般公共预算基本支出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216.68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highlight w:val="none"/>
        </w:rPr>
        <w:t>万元， 其中：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人员经费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188.46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万元，主要包括：基本工资、津贴补贴、奖金、绩效工资、机关事业单位基本养老保险缴费、职工基本医疗保险缴费、公务员医疗补助缴费、其他社会保障缴费、住房公积金、离休费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、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医疗费补助、奖励金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公用经费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28.22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万元，主要包括：办公费、印刷费、水费、电费、邮电费、取暖费、物业管理费、差旅费、维修（护）费、培训费、委托业务费、工会经费、福利费、公务用车运行维护费、其他交通费用、其他商品和服务支出等。</w:t>
      </w:r>
    </w:p>
    <w:p>
      <w:pPr>
        <w:numPr>
          <w:ilvl w:val="0"/>
          <w:numId w:val="1"/>
        </w:numPr>
        <w:spacing w:line="560" w:lineRule="exact"/>
        <w:ind w:firstLine="619" w:firstLineChars="200"/>
        <w:rPr>
          <w:rFonts w:hint="eastAsia" w:ascii="楷体_GB2312" w:hAnsi="楷体_GB2312" w:eastAsia="楷体_GB2312" w:cs="楷体_GB2312"/>
          <w:b/>
          <w:bCs/>
          <w:spacing w:val="-6"/>
          <w:kern w:val="0"/>
          <w:sz w:val="32"/>
          <w:szCs w:val="32"/>
          <w:highlight w:val="none"/>
        </w:rPr>
      </w:pPr>
      <w:r>
        <w:rPr>
          <w:rFonts w:hint="eastAsia" w:ascii="楷体_GB2312" w:hAnsi="楷体_GB2312" w:eastAsia="楷体_GB2312" w:cs="楷体_GB2312"/>
          <w:b/>
          <w:bCs/>
          <w:spacing w:val="-6"/>
          <w:kern w:val="0"/>
          <w:sz w:val="32"/>
          <w:szCs w:val="32"/>
          <w:highlight w:val="none"/>
        </w:rPr>
        <w:t>关于</w:t>
      </w:r>
      <w:r>
        <w:rPr>
          <w:rFonts w:hint="eastAsia" w:ascii="楷体_GB2312" w:hAnsi="楷体_GB2312" w:eastAsia="楷体_GB2312" w:cs="楷体_GB2312"/>
          <w:b/>
          <w:kern w:val="0"/>
          <w:sz w:val="32"/>
          <w:szCs w:val="32"/>
          <w:highlight w:val="none"/>
          <w:lang w:val="en-US" w:eastAsia="zh-CN"/>
        </w:rPr>
        <w:t>昌吉州建筑工程社会保险统筹总站</w:t>
      </w:r>
      <w:r>
        <w:rPr>
          <w:rFonts w:hint="eastAsia" w:ascii="楷体_GB2312" w:hAnsi="楷体_GB2312" w:eastAsia="楷体_GB2312" w:cs="楷体_GB2312"/>
          <w:b/>
          <w:bCs/>
          <w:spacing w:val="-6"/>
          <w:kern w:val="0"/>
          <w:sz w:val="32"/>
          <w:szCs w:val="32"/>
          <w:highlight w:val="none"/>
        </w:rPr>
        <w:t>2022年一般公共预算项目支出情况说明</w:t>
      </w:r>
    </w:p>
    <w:p>
      <w:pPr>
        <w:numPr>
          <w:ilvl w:val="0"/>
          <w:numId w:val="0"/>
        </w:numPr>
        <w:spacing w:line="560" w:lineRule="exact"/>
        <w:ind w:firstLine="640" w:firstLineChars="200"/>
        <w:rPr>
          <w:rFonts w:ascii="楷体_GB2312" w:hAnsi="楷体_GB2312" w:eastAsia="楷体_GB2312" w:cs="楷体_GB2312"/>
          <w:b/>
          <w:bCs/>
          <w:spacing w:val="-6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昌吉州建筑工程社会保险统筹总站202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年无项目支出</w:t>
      </w:r>
    </w:p>
    <w:p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kern w:val="0"/>
          <w:sz w:val="32"/>
          <w:szCs w:val="32"/>
          <w:highlight w:val="none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  <w:highlight w:val="none"/>
        </w:rPr>
        <w:t>八、关于</w:t>
      </w:r>
      <w:r>
        <w:rPr>
          <w:rFonts w:hint="eastAsia" w:ascii="楷体_GB2312" w:hAnsi="楷体_GB2312" w:eastAsia="楷体_GB2312" w:cs="楷体_GB2312"/>
          <w:b/>
          <w:kern w:val="0"/>
          <w:sz w:val="32"/>
          <w:szCs w:val="32"/>
          <w:highlight w:val="none"/>
          <w:lang w:val="en-US" w:eastAsia="zh-CN"/>
        </w:rPr>
        <w:t>昌吉州建筑工程社会保险统筹总站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  <w:highlight w:val="none"/>
        </w:rPr>
        <w:t>2022年一般公共预算“三公”经费预算情况说明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昌吉州建筑工程社会保险统筹总站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2022年一般公共预算“三公”经费数为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2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万元，其中：因公出国（境）费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万元，公务用车购置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万元，公务用车运行费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2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万元，公务接待费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2022年一般公共预算“三公”经费比上年增加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0.32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万元，增长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16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%，其中：因公出国（境）费增加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万元，增长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%，主要原因是未安排预算；公务用车购置费增加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万元，增长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%，主要原因是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未安排预算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；公务用车运行费增加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0.32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万元，增长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16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%，主要原因是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本年度到县市服务指导次数因单位职能改变、工作任务增加而增加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；公务接待费增加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万元，增长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%，主要原因是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>主要原因是我单位严格执行中央八项规定和自治区十条规定，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未安排公务接待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。</w:t>
      </w:r>
    </w:p>
    <w:p>
      <w:pPr>
        <w:spacing w:line="560" w:lineRule="exact"/>
        <w:ind w:firstLine="643" w:firstLineChars="200"/>
        <w:rPr>
          <w:rFonts w:ascii="黑体" w:hAnsi="宋体" w:eastAsia="黑体" w:cs="宋体"/>
          <w:kern w:val="0"/>
          <w:sz w:val="32"/>
          <w:szCs w:val="32"/>
          <w:highlight w:val="none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  <w:highlight w:val="none"/>
        </w:rPr>
        <w:t>九、</w:t>
      </w:r>
      <w:r>
        <w:rPr>
          <w:rFonts w:hint="eastAsia" w:ascii="黑体" w:hAnsi="宋体" w:eastAsia="黑体" w:cs="宋体"/>
          <w:kern w:val="0"/>
          <w:sz w:val="32"/>
          <w:szCs w:val="32"/>
          <w:highlight w:val="none"/>
        </w:rPr>
        <w:t>关于昌吉州</w:t>
      </w:r>
      <w:r>
        <w:rPr>
          <w:rFonts w:hint="eastAsia" w:ascii="黑体" w:hAnsi="黑体" w:eastAsia="黑体" w:cs="黑体"/>
          <w:kern w:val="0"/>
          <w:sz w:val="32"/>
          <w:szCs w:val="32"/>
          <w:highlight w:val="none"/>
        </w:rPr>
        <w:t>建筑工程社会保险统筹总站</w:t>
      </w:r>
      <w:r>
        <w:rPr>
          <w:rFonts w:hint="eastAsia" w:ascii="黑体" w:hAnsi="宋体" w:eastAsia="黑体" w:cs="宋体"/>
          <w:kern w:val="0"/>
          <w:sz w:val="32"/>
          <w:szCs w:val="32"/>
          <w:highlight w:val="none"/>
        </w:rPr>
        <w:t>2021年政府性基金预算拨款情况说明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昌吉州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</w:rPr>
        <w:t>建筑工程社会保险统筹总站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202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2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年没有使用政府性基金预算拨款安排的支出，政府性基金预算支出情况表为空表。</w:t>
      </w:r>
    </w:p>
    <w:p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kern w:val="0"/>
          <w:sz w:val="32"/>
          <w:szCs w:val="32"/>
          <w:highlight w:val="none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  <w:highlight w:val="none"/>
        </w:rPr>
        <w:t>十、其他重要事项的情况说明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  <w:highlight w:val="none"/>
        </w:rPr>
        <w:t>（一）机关运行经费情况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2022年，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昌吉州建筑工程社会保险统筹总站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机关运行经费财政拨款预算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18.72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万元，比上年预算减少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0.25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万元，下降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1.34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%。主要原因是主要原因是我单位认真贯彻落实必须真正过“紧日子”要求，大力压减非急需非刚性支出的要求，继续深入贯彻落实《党政机关厉行节约反对浪费条例》以及中央、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、州相关制度规定精神，严格控制机关运行经费规模。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。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  <w:highlight w:val="none"/>
        </w:rPr>
        <w:t>（二）政府采购情况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2022年，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昌吉州建筑工程社会保险统筹总站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政府采购预算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9.66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万元，其中：政府采购货物预算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6.89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万元，政府采购工程预算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万元，政府采购服务预算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2.77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万元。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highlight w:val="none"/>
        </w:rPr>
        <w:t>2022年度本部门（单位）面向中小企业预留政府采购项目预算金额</w:t>
      </w:r>
      <w:r>
        <w:rPr>
          <w:rFonts w:hint="eastAsia" w:ascii="仿宋_GB2312" w:hAnsi="仿宋_GB2312" w:eastAsia="仿宋_GB2312" w:cs="仿宋_GB2312"/>
          <w:sz w:val="32"/>
          <w:highlight w:val="none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万元，其中：面向小微企业预留政府采购项目预算金额</w:t>
      </w:r>
      <w:r>
        <w:rPr>
          <w:rFonts w:hint="eastAsia" w:ascii="仿宋_GB2312" w:hAnsi="仿宋_GB2312" w:eastAsia="仿宋_GB2312" w:cs="仿宋_GB2312"/>
          <w:sz w:val="32"/>
          <w:highlight w:val="none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万元。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  <w:highlight w:val="none"/>
        </w:rPr>
        <w:t>（三）国有资产占用使用情况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截至2021年底，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昌吉州建筑工程社会保险统筹总站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及占用使用国有资产总体情况为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1.房屋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697.05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平方米，价值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70.02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万元。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2.车辆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辆，价值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114.13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万元；其中：一般公务用车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辆，价值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114.13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万元；执法执勤用车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辆，价值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万元；其他车辆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辆，价值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万元。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3.办公家具价值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万元。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4.其他资产价值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66.8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万元。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单位价值50万元以上大型设备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台（套），单位价值100万元以上大型设备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台（套）。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2022年部门（单位）预算未安排购置车辆经费，安排购置50万元以上大型设备0台（套），单位价值100万元以上大型设备0台（套）。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  <w:highlight w:val="none"/>
        </w:rPr>
        <w:t>（四）预算绩效情况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2022年，本年度预算绩效管理的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Hans"/>
        </w:rPr>
        <w:t>财政拨款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项目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个，涉及预算金额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万元。具体情况见下表（按项目分别填报）：</w:t>
      </w:r>
    </w:p>
    <w:tbl>
      <w:tblPr>
        <w:tblStyle w:val="6"/>
        <w:tblpPr w:leftFromText="180" w:rightFromText="180" w:vertAnchor="text" w:horzAnchor="page" w:tblpX="1384" w:tblpY="449"/>
        <w:tblOverlap w:val="never"/>
        <w:tblW w:w="8980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15"/>
        <w:gridCol w:w="1062"/>
        <w:gridCol w:w="318"/>
        <w:gridCol w:w="906"/>
        <w:gridCol w:w="1476"/>
        <w:gridCol w:w="1039"/>
        <w:gridCol w:w="1481"/>
        <w:gridCol w:w="1183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8980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pacing w:line="480" w:lineRule="exact"/>
              <w:jc w:val="center"/>
              <w:textAlignment w:val="bottom"/>
              <w:rPr>
                <w:rFonts w:ascii="仿宋_GB2312" w:hAnsi="宋体" w:eastAsia="仿宋_GB2312" w:cs="仿宋_GB2312"/>
                <w:b/>
                <w:color w:val="00000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highlight w:val="none"/>
                <w:lang w:bidi="ar"/>
              </w:rPr>
              <w:t>项  目  支  出  绩  效  目  标  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8980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pacing w:line="480" w:lineRule="exact"/>
              <w:jc w:val="center"/>
              <w:textAlignment w:val="bottom"/>
              <w:rPr>
                <w:rFonts w:ascii="宋体" w:hAnsi="宋体" w:cs="宋体"/>
                <w:color w:val="00000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highlight w:val="none"/>
                <w:lang w:bidi="ar"/>
              </w:rPr>
              <w:t>（202</w:t>
            </w: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  <w:highlight w:val="none"/>
                <w:lang w:bidi="ar"/>
              </w:rPr>
              <w:t>2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highlight w:val="none"/>
                <w:lang w:bidi="ar"/>
              </w:rPr>
              <w:t>年）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highlight w:val="none"/>
                <w:lang w:bidi="ar"/>
              </w:rPr>
              <w:t>预算单位</w:t>
            </w:r>
          </w:p>
        </w:tc>
        <w:tc>
          <w:tcPr>
            <w:tcW w:w="376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bidi="ar"/>
              </w:rPr>
              <w:t>XX单位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highlight w:val="none"/>
                <w:lang w:bidi="ar"/>
              </w:rPr>
              <w:t>项目名称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bidi="ar"/>
              </w:rPr>
              <w:t>XXXXX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highlight w:val="none"/>
                <w:lang w:bidi="ar"/>
              </w:rPr>
              <w:t>项目资金（万元）</w:t>
            </w:r>
          </w:p>
        </w:tc>
        <w:tc>
          <w:tcPr>
            <w:tcW w:w="13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bidi="ar"/>
              </w:rPr>
              <w:t>年度资金总额：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bidi="ar"/>
              </w:rPr>
              <w:t>其中：财政拨款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rPr>
                <w:rFonts w:ascii="宋体" w:hAnsi="宋体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148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bidi="ar"/>
              </w:rPr>
              <w:t>其他资金</w:t>
            </w:r>
          </w:p>
        </w:tc>
        <w:tc>
          <w:tcPr>
            <w:tcW w:w="118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rPr>
                <w:rFonts w:ascii="宋体" w:hAnsi="宋体" w:cs="宋体"/>
                <w:color w:val="000000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2" w:hRule="atLeast"/>
        </w:trPr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highlight w:val="none"/>
                <w:lang w:bidi="ar"/>
              </w:rPr>
              <w:t>项目总体目标</w:t>
            </w:r>
          </w:p>
        </w:tc>
        <w:tc>
          <w:tcPr>
            <w:tcW w:w="746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</w:tcPr>
          <w:p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highlight w:val="none"/>
                <w:lang w:bidi="ar"/>
              </w:rPr>
              <w:t>一级指标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highlight w:val="none"/>
                <w:lang w:bidi="ar"/>
              </w:rPr>
              <w:t>二级指标</w:t>
            </w: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highlight w:val="none"/>
                <w:lang w:bidi="ar"/>
              </w:rPr>
              <w:t>三级指标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highlight w:val="none"/>
                <w:lang w:bidi="ar"/>
              </w:rPr>
              <w:t>指标值（包含数字及文字描述）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5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bidi="ar"/>
              </w:rPr>
              <w:t>产出指标</w:t>
            </w:r>
          </w:p>
        </w:tc>
        <w:tc>
          <w:tcPr>
            <w:tcW w:w="10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bidi="ar"/>
              </w:rPr>
              <w:t>数量指标</w:t>
            </w: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10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10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bidi="ar"/>
              </w:rPr>
              <w:t>质量指标</w:t>
            </w: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10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10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bidi="ar"/>
              </w:rPr>
              <w:t>时效指标</w:t>
            </w: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10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10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bidi="ar"/>
              </w:rPr>
              <w:t>成本指标</w:t>
            </w: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10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5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bidi="ar"/>
              </w:rPr>
              <w:t>效益指标</w:t>
            </w:r>
          </w:p>
        </w:tc>
        <w:tc>
          <w:tcPr>
            <w:tcW w:w="10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bidi="ar"/>
              </w:rPr>
              <w:t>经济效益指标</w:t>
            </w: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10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10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bidi="ar"/>
              </w:rPr>
              <w:t>社会效益指标</w:t>
            </w: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10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10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bidi="ar"/>
              </w:rPr>
              <w:t>生态效益指标</w:t>
            </w: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10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10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bidi="ar"/>
              </w:rPr>
              <w:t>可持续影响指标</w:t>
            </w: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10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5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bidi="ar"/>
              </w:rPr>
              <w:t>满意度指标</w:t>
            </w:r>
          </w:p>
        </w:tc>
        <w:tc>
          <w:tcPr>
            <w:tcW w:w="10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bidi="ar"/>
              </w:rPr>
              <w:t>满意度指标</w:t>
            </w: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10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  <w:highlight w:val="none"/>
              </w:rPr>
            </w:pPr>
          </w:p>
        </w:tc>
      </w:tr>
    </w:tbl>
    <w:p>
      <w:pPr>
        <w:spacing w:line="60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  <w:highlight w:val="none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  <w:highlight w:val="none"/>
        </w:rPr>
        <w:t>（五）其他需说明的事项</w:t>
      </w:r>
    </w:p>
    <w:p>
      <w:pPr>
        <w:spacing w:line="60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无其他需要说明的事项。</w:t>
      </w:r>
    </w:p>
    <w:p>
      <w:pPr>
        <w:spacing w:line="60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</w:p>
    <w:p>
      <w:pPr>
        <w:spacing w:line="560" w:lineRule="exact"/>
        <w:jc w:val="center"/>
        <w:rPr>
          <w:rFonts w:ascii="黑体" w:hAnsi="黑体" w:eastAsia="黑体"/>
          <w:kern w:val="0"/>
          <w:sz w:val="32"/>
          <w:szCs w:val="32"/>
          <w:highlight w:val="none"/>
        </w:rPr>
      </w:pPr>
      <w:r>
        <w:rPr>
          <w:rFonts w:hint="eastAsia" w:ascii="黑体" w:hAnsi="黑体" w:eastAsia="黑体"/>
          <w:kern w:val="0"/>
          <w:sz w:val="32"/>
          <w:szCs w:val="32"/>
          <w:highlight w:val="none"/>
        </w:rPr>
        <w:t>第四部分  名词解释</w:t>
      </w:r>
    </w:p>
    <w:p>
      <w:pPr>
        <w:spacing w:line="560" w:lineRule="exact"/>
        <w:ind w:firstLine="640" w:firstLineChars="200"/>
        <w:rPr>
          <w:rFonts w:ascii="黑体" w:hAnsi="黑体" w:eastAsia="黑体"/>
          <w:sz w:val="32"/>
          <w:szCs w:val="32"/>
          <w:highlight w:val="none"/>
        </w:rPr>
      </w:pPr>
    </w:p>
    <w:p>
      <w:pPr>
        <w:spacing w:line="560" w:lineRule="exact"/>
        <w:ind w:firstLine="643" w:firstLineChars="200"/>
        <w:rPr>
          <w:rFonts w:ascii="仿宋_GB2312" w:eastAsia="仿宋_GB2312"/>
          <w:sz w:val="32"/>
          <w:szCs w:val="32"/>
          <w:highlight w:val="none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highlight w:val="none"/>
        </w:rPr>
        <w:t>一、财政拨款：</w:t>
      </w:r>
      <w:r>
        <w:rPr>
          <w:rFonts w:hint="eastAsia" w:ascii="仿宋_GB2312" w:eastAsia="仿宋_GB2312"/>
          <w:sz w:val="32"/>
          <w:szCs w:val="32"/>
          <w:highlight w:val="none"/>
        </w:rPr>
        <w:t>指由一般公共预算、政府性基金预算、国有资本经营预算安排的财政拨款数。</w:t>
      </w:r>
    </w:p>
    <w:p>
      <w:pPr>
        <w:spacing w:line="560" w:lineRule="exact"/>
        <w:ind w:firstLine="643" w:firstLineChars="200"/>
        <w:rPr>
          <w:rFonts w:ascii="仿宋_GB2312" w:eastAsia="仿宋_GB2312"/>
          <w:sz w:val="32"/>
          <w:szCs w:val="32"/>
          <w:highlight w:val="none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highlight w:val="none"/>
        </w:rPr>
        <w:t>二、一般公共预算：</w:t>
      </w:r>
      <w:r>
        <w:rPr>
          <w:rFonts w:hint="eastAsia" w:ascii="仿宋_GB2312" w:eastAsia="仿宋_GB2312"/>
          <w:spacing w:val="-6"/>
          <w:sz w:val="32"/>
          <w:szCs w:val="32"/>
          <w:highlight w:val="none"/>
        </w:rPr>
        <w:t>包括公共财政拨款（补助）资金、专项收入。</w:t>
      </w:r>
    </w:p>
    <w:p>
      <w:pPr>
        <w:spacing w:line="560" w:lineRule="exact"/>
        <w:ind w:firstLine="643" w:firstLineChars="200"/>
        <w:rPr>
          <w:rFonts w:ascii="仿宋_GB2312" w:eastAsia="仿宋_GB2312"/>
          <w:sz w:val="32"/>
          <w:szCs w:val="32"/>
          <w:highlight w:val="none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highlight w:val="none"/>
        </w:rPr>
        <w:t>三、财政专户管理资金：</w:t>
      </w:r>
      <w:r>
        <w:rPr>
          <w:rFonts w:hint="eastAsia" w:ascii="仿宋_GB2312" w:eastAsia="仿宋_GB2312"/>
          <w:sz w:val="32"/>
          <w:szCs w:val="32"/>
          <w:highlight w:val="none"/>
        </w:rPr>
        <w:t>包括专户管理行政事业性收费（主要是教育收费）、其他非税收入。</w:t>
      </w:r>
    </w:p>
    <w:p>
      <w:pPr>
        <w:spacing w:line="560" w:lineRule="exact"/>
        <w:ind w:firstLine="643" w:firstLineChars="200"/>
        <w:rPr>
          <w:rFonts w:ascii="仿宋_GB2312" w:eastAsia="仿宋_GB2312"/>
          <w:spacing w:val="-17"/>
          <w:sz w:val="32"/>
          <w:szCs w:val="32"/>
          <w:highlight w:val="none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highlight w:val="none"/>
        </w:rPr>
        <w:t>四、其他资金：</w:t>
      </w:r>
      <w:r>
        <w:rPr>
          <w:rFonts w:hint="eastAsia" w:ascii="仿宋_GB2312" w:eastAsia="仿宋_GB2312"/>
          <w:spacing w:val="-17"/>
          <w:sz w:val="32"/>
          <w:szCs w:val="32"/>
          <w:highlight w:val="none"/>
        </w:rPr>
        <w:t>包括事业收入、事业经营收入、其他收入等。</w:t>
      </w:r>
    </w:p>
    <w:p>
      <w:pPr>
        <w:spacing w:line="560" w:lineRule="exact"/>
        <w:ind w:firstLine="643" w:firstLineChars="200"/>
        <w:rPr>
          <w:rFonts w:ascii="仿宋_GB2312" w:eastAsia="仿宋_GB2312"/>
          <w:sz w:val="32"/>
          <w:szCs w:val="32"/>
          <w:highlight w:val="none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highlight w:val="none"/>
        </w:rPr>
        <w:t>五、基本支出：</w:t>
      </w:r>
      <w:r>
        <w:rPr>
          <w:rFonts w:hint="eastAsia" w:ascii="仿宋_GB2312" w:eastAsia="仿宋_GB2312"/>
          <w:sz w:val="32"/>
          <w:szCs w:val="32"/>
          <w:highlight w:val="none"/>
        </w:rPr>
        <w:t>包括人员经费、公用经费（定额）。其中，人员经费包括工资福利支出、对个人和家庭的补助。</w:t>
      </w:r>
    </w:p>
    <w:p>
      <w:pPr>
        <w:spacing w:line="560" w:lineRule="exact"/>
        <w:ind w:firstLine="643" w:firstLineChars="200"/>
        <w:rPr>
          <w:rFonts w:ascii="仿宋_GB2312" w:eastAsia="仿宋_GB2312"/>
          <w:sz w:val="32"/>
          <w:szCs w:val="32"/>
          <w:highlight w:val="none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highlight w:val="none"/>
        </w:rPr>
        <w:t>六、项目支出：</w:t>
      </w:r>
      <w:r>
        <w:rPr>
          <w:rFonts w:hint="eastAsia" w:ascii="仿宋_GB2312" w:eastAsia="仿宋_GB2312"/>
          <w:sz w:val="32"/>
          <w:szCs w:val="32"/>
          <w:highlight w:val="none"/>
        </w:rPr>
        <w:t>部门（单位）支出预算的组成部分，是</w:t>
      </w:r>
      <w:r>
        <w:rPr>
          <w:rFonts w:hint="eastAsia" w:ascii="仿宋_GB2312" w:eastAsia="仿宋_GB2312"/>
          <w:sz w:val="32"/>
          <w:szCs w:val="32"/>
          <w:highlight w:val="none"/>
          <w:lang w:eastAsia="zh-CN"/>
        </w:rPr>
        <w:t>州</w:t>
      </w:r>
      <w:r>
        <w:rPr>
          <w:rFonts w:hint="eastAsia" w:ascii="仿宋_GB2312" w:eastAsia="仿宋_GB2312"/>
          <w:sz w:val="32"/>
          <w:szCs w:val="32"/>
          <w:highlight w:val="none"/>
        </w:rPr>
        <w:t>本级部门（单位）为完成其特定的行政任务或事业发展目标，在基本支出预算之外编制的年度项目支出计划。</w:t>
      </w:r>
    </w:p>
    <w:p>
      <w:pPr>
        <w:spacing w:line="560" w:lineRule="exact"/>
        <w:ind w:firstLine="643" w:firstLineChars="200"/>
        <w:rPr>
          <w:rFonts w:ascii="仿宋_GB2312" w:eastAsia="仿宋_GB2312"/>
          <w:spacing w:val="-6"/>
          <w:sz w:val="32"/>
          <w:szCs w:val="32"/>
          <w:highlight w:val="none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highlight w:val="none"/>
        </w:rPr>
        <w:t>七、“三公”经费：</w:t>
      </w:r>
      <w:r>
        <w:rPr>
          <w:rFonts w:hint="eastAsia" w:ascii="仿宋_GB2312" w:eastAsia="仿宋_GB2312"/>
          <w:sz w:val="32"/>
          <w:szCs w:val="32"/>
          <w:highlight w:val="none"/>
        </w:rPr>
        <w:t>指</w:t>
      </w:r>
      <w:r>
        <w:rPr>
          <w:rFonts w:hint="eastAsia" w:ascii="仿宋_GB2312" w:eastAsia="仿宋_GB2312"/>
          <w:sz w:val="32"/>
          <w:szCs w:val="32"/>
          <w:highlight w:val="none"/>
          <w:lang w:eastAsia="zh-CN"/>
        </w:rPr>
        <w:t>州</w:t>
      </w:r>
      <w:bookmarkStart w:id="0" w:name="_GoBack"/>
      <w:bookmarkEnd w:id="0"/>
      <w:r>
        <w:rPr>
          <w:rFonts w:hint="eastAsia" w:ascii="仿宋_GB2312" w:eastAsia="仿宋_GB2312"/>
          <w:sz w:val="32"/>
          <w:szCs w:val="32"/>
          <w:highlight w:val="none"/>
        </w:rPr>
        <w:t>本级部门（单位）用一般公共预算财政拨款安排的因公出国（境）费、公务用车购置及运行费和公务接待费。其中，因公出国（境）费指单位公务出国（境）的住宿费、旅费、伙食补助费、杂费、培训费等支出；公务用车购置及运行费指单位公务用车购置费及租用费、燃料费、维修费、过路过桥费、保险费、安全奖励费用等支出；公</w:t>
      </w:r>
      <w:r>
        <w:rPr>
          <w:rFonts w:hint="eastAsia" w:ascii="仿宋_GB2312" w:eastAsia="仿宋_GB2312"/>
          <w:spacing w:val="-11"/>
          <w:sz w:val="32"/>
          <w:szCs w:val="32"/>
          <w:highlight w:val="none"/>
        </w:rPr>
        <w:t>务接待费指单位按规定开支的各类公务接待（含外宾接待）支出。</w:t>
      </w:r>
    </w:p>
    <w:p>
      <w:pPr>
        <w:spacing w:line="560" w:lineRule="exact"/>
        <w:ind w:firstLine="643" w:firstLineChars="200"/>
        <w:rPr>
          <w:rFonts w:ascii="仿宋_GB2312" w:eastAsia="仿宋_GB2312"/>
          <w:spacing w:val="-11"/>
          <w:sz w:val="32"/>
          <w:szCs w:val="32"/>
          <w:highlight w:val="none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highlight w:val="none"/>
        </w:rPr>
        <w:t>八、机关运行经费：</w:t>
      </w:r>
      <w:r>
        <w:rPr>
          <w:rFonts w:hint="eastAsia" w:ascii="仿宋_GB2312" w:eastAsia="仿宋_GB2312"/>
          <w:sz w:val="32"/>
          <w:szCs w:val="32"/>
          <w:highlight w:val="none"/>
        </w:rPr>
        <w:t>指各部门（单位）的公用经费，包括办公及印刷费、邮电费、差旅费、会议费、福利费、日常维修费、专用材料及一般设备购置费、办公用房水电费、办公用房</w:t>
      </w:r>
      <w:r>
        <w:rPr>
          <w:rFonts w:hint="eastAsia" w:ascii="仿宋_GB2312" w:eastAsia="仿宋_GB2312"/>
          <w:spacing w:val="-11"/>
          <w:sz w:val="32"/>
          <w:szCs w:val="32"/>
          <w:highlight w:val="none"/>
        </w:rPr>
        <w:t>取暖费、办公用房物业管理费、公务用车运行维护费及其他费用。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</w:pPr>
    </w:p>
    <w:p>
      <w:pPr>
        <w:spacing w:line="560" w:lineRule="exact"/>
        <w:ind w:left="4798" w:leftChars="304" w:hanging="4160" w:hangingChars="1300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 xml:space="preserve">                 昌吉州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建筑工程社会保险统筹总站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 xml:space="preserve">                               2022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>年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2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>月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12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>日</w:t>
      </w:r>
    </w:p>
    <w:p>
      <w:pPr>
        <w:rPr>
          <w:highlight w:val="none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方正小标宋_GBK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right"/>
      <w:rPr>
        <w:rFonts w:ascii="宋体" w:hAnsi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534035" cy="230505"/>
              <wp:effectExtent l="0" t="0" r="18415" b="17145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4035" cy="230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t>- 53 -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8.15pt;width:42.05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8PZMfdEAAAADAQAADwAAAAAAAAABACAAAAAiAAAAZHJzL2Rvd25yZXYueG1s&#10;UEsBAhQAFAAAAAgAh07iQP5+2abGAQAAiwMAAA4AAAAAAAAAAQAgAAAAIA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t>- 53 -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right"/>
      <w:rPr>
        <w:rFonts w:ascii="宋体" w:hAnsi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534035" cy="230505"/>
              <wp:effectExtent l="0" t="0" r="18415" b="17145"/>
              <wp:wrapNone/>
              <wp:docPr id="9" name="文本框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4035" cy="230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t>- 54 -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8.15pt;width:42.05pt;mso-position-horizontal:outside;mso-position-horizontal-relative:margin;mso-wrap-style:none;z-index:251661312;mso-width-relative:page;mso-height-relative:page;" filled="f" stroked="f" coordsize="21600,21600" o:gfxdata="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8PZMfdEAAAADAQAADwAAAAAAAAABACAAAAAiAAAAZHJzL2Rvd25yZXYueG1s&#10;UEsBAhQAFAAAAAgAh07iQIr5F1HGAQAAiwMAAA4AAAAAAAAAAQAgAAAAIA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t>- 54 -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>
    <w:pPr>
      <w:pStyle w:val="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right"/>
      <w:rPr>
        <w:rFonts w:ascii="宋体" w:hAnsi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534035" cy="230505"/>
              <wp:effectExtent l="0" t="0" r="12065" b="10795"/>
              <wp:wrapNone/>
              <wp:docPr id="10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4035" cy="2305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t>- 56 -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8.15pt;width:42.05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t>- 56 -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1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9D5155A"/>
    <w:multiLevelType w:val="singleLevel"/>
    <w:tmpl w:val="69D5155A"/>
    <w:lvl w:ilvl="0" w:tentative="0">
      <w:start w:val="7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477F"/>
    <w:rsid w:val="002E5250"/>
    <w:rsid w:val="003923D8"/>
    <w:rsid w:val="004265FD"/>
    <w:rsid w:val="00432BE1"/>
    <w:rsid w:val="0047118F"/>
    <w:rsid w:val="004D477F"/>
    <w:rsid w:val="0059437A"/>
    <w:rsid w:val="0090107A"/>
    <w:rsid w:val="00944B81"/>
    <w:rsid w:val="00AF3F7E"/>
    <w:rsid w:val="00B141E5"/>
    <w:rsid w:val="00C12D75"/>
    <w:rsid w:val="00CE4C77"/>
    <w:rsid w:val="00D85033"/>
    <w:rsid w:val="00F91EEB"/>
    <w:rsid w:val="06DF3513"/>
    <w:rsid w:val="08F03ACA"/>
    <w:rsid w:val="096D732C"/>
    <w:rsid w:val="0B0248D5"/>
    <w:rsid w:val="0B6C12D1"/>
    <w:rsid w:val="0BEF2708"/>
    <w:rsid w:val="0C6E7320"/>
    <w:rsid w:val="0D22611C"/>
    <w:rsid w:val="0D8A4F06"/>
    <w:rsid w:val="0DC56A71"/>
    <w:rsid w:val="0E622E45"/>
    <w:rsid w:val="10A1216F"/>
    <w:rsid w:val="18057374"/>
    <w:rsid w:val="1E1862E1"/>
    <w:rsid w:val="1E467FE0"/>
    <w:rsid w:val="225C2F8E"/>
    <w:rsid w:val="23F665FD"/>
    <w:rsid w:val="2A357F82"/>
    <w:rsid w:val="2B382BC2"/>
    <w:rsid w:val="2B805535"/>
    <w:rsid w:val="2D293DD7"/>
    <w:rsid w:val="2D470B47"/>
    <w:rsid w:val="334D584C"/>
    <w:rsid w:val="379A67B8"/>
    <w:rsid w:val="38AC16A8"/>
    <w:rsid w:val="3C92084A"/>
    <w:rsid w:val="400B1106"/>
    <w:rsid w:val="42164D02"/>
    <w:rsid w:val="43261061"/>
    <w:rsid w:val="468674AF"/>
    <w:rsid w:val="4930760B"/>
    <w:rsid w:val="49687AC9"/>
    <w:rsid w:val="4CA62BD4"/>
    <w:rsid w:val="4CE31E91"/>
    <w:rsid w:val="4D2660D0"/>
    <w:rsid w:val="51755FDA"/>
    <w:rsid w:val="55AE4B15"/>
    <w:rsid w:val="56507F28"/>
    <w:rsid w:val="57B71125"/>
    <w:rsid w:val="58077559"/>
    <w:rsid w:val="58C94B80"/>
    <w:rsid w:val="5E460954"/>
    <w:rsid w:val="647A0ED4"/>
    <w:rsid w:val="65305241"/>
    <w:rsid w:val="654F3237"/>
    <w:rsid w:val="659D7401"/>
    <w:rsid w:val="686E02F5"/>
    <w:rsid w:val="6BA221EB"/>
    <w:rsid w:val="74125065"/>
    <w:rsid w:val="744E07BC"/>
    <w:rsid w:val="760C44FD"/>
    <w:rsid w:val="77185FAF"/>
    <w:rsid w:val="790757F1"/>
    <w:rsid w:val="7EDD3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link w:val="12"/>
    <w:qFormat/>
    <w:uiPriority w:val="0"/>
    <w:pPr>
      <w:ind w:left="1277"/>
      <w:outlineLvl w:val="1"/>
    </w:pPr>
    <w:rPr>
      <w:rFonts w:ascii="仿宋_GB2312" w:hAnsi="仿宋_GB2312" w:eastAsia="仿宋_GB2312" w:cs="仿宋_GB2312"/>
      <w:b/>
      <w:bCs/>
      <w:sz w:val="32"/>
      <w:szCs w:val="32"/>
      <w:lang w:val="zh-CN" w:bidi="zh-CN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3"/>
    <w:qFormat/>
    <w:uiPriority w:val="0"/>
    <w:rPr>
      <w:rFonts w:ascii="方正仿宋_GBK" w:hAnsi="方正仿宋_GBK" w:eastAsia="方正仿宋_GBK" w:cs="方正仿宋_GBK"/>
      <w:sz w:val="32"/>
      <w:szCs w:val="32"/>
      <w:lang w:val="zh-CN" w:bidi="zh-CN"/>
    </w:rPr>
  </w:style>
  <w:style w:type="paragraph" w:styleId="4">
    <w:name w:val="footer"/>
    <w:basedOn w:val="1"/>
    <w:link w:val="11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rPr>
      <w:rFonts w:ascii="Calibri" w:hAnsi="Calibri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page number"/>
    <w:basedOn w:val="8"/>
    <w:uiPriority w:val="0"/>
  </w:style>
  <w:style w:type="character" w:customStyle="1" w:styleId="10">
    <w:name w:val="页眉 Char"/>
    <w:basedOn w:val="8"/>
    <w:link w:val="5"/>
    <w:qFormat/>
    <w:uiPriority w:val="0"/>
    <w:rPr>
      <w:sz w:val="18"/>
      <w:szCs w:val="18"/>
    </w:rPr>
  </w:style>
  <w:style w:type="character" w:customStyle="1" w:styleId="11">
    <w:name w:val="页脚 Char"/>
    <w:basedOn w:val="8"/>
    <w:link w:val="4"/>
    <w:qFormat/>
    <w:uiPriority w:val="99"/>
    <w:rPr>
      <w:sz w:val="18"/>
      <w:szCs w:val="18"/>
    </w:rPr>
  </w:style>
  <w:style w:type="character" w:customStyle="1" w:styleId="12">
    <w:name w:val="标题 2 Char"/>
    <w:basedOn w:val="8"/>
    <w:link w:val="3"/>
    <w:uiPriority w:val="0"/>
    <w:rPr>
      <w:rFonts w:ascii="仿宋_GB2312" w:hAnsi="仿宋_GB2312" w:eastAsia="仿宋_GB2312" w:cs="仿宋_GB2312"/>
      <w:b/>
      <w:bCs/>
      <w:sz w:val="32"/>
      <w:szCs w:val="32"/>
      <w:lang w:val="zh-CN" w:bidi="zh-CN"/>
    </w:rPr>
  </w:style>
  <w:style w:type="character" w:customStyle="1" w:styleId="13">
    <w:name w:val="正文文本 Char"/>
    <w:basedOn w:val="8"/>
    <w:link w:val="2"/>
    <w:uiPriority w:val="0"/>
    <w:rPr>
      <w:rFonts w:ascii="方正仿宋_GBK" w:hAnsi="方正仿宋_GBK" w:eastAsia="方正仿宋_GBK" w:cs="方正仿宋_GBK"/>
      <w:sz w:val="32"/>
      <w:szCs w:val="32"/>
      <w:lang w:val="zh-CN" w:bidi="zh-CN"/>
    </w:rPr>
  </w:style>
  <w:style w:type="paragraph" w:customStyle="1" w:styleId="14">
    <w:name w:val="f1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Helvetica" w:hAnsi="Helvetica" w:cs="Helvetica"/>
      <w:b/>
      <w:bCs/>
      <w:color w:val="FF8080"/>
      <w:spacing w:val="160"/>
      <w:kern w:val="0"/>
      <w:sz w:val="80"/>
      <w:szCs w:val="8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24</Pages>
  <Words>6920</Words>
  <Characters>8390</Characters>
  <Lines>69</Lines>
  <Paragraphs>19</Paragraphs>
  <TotalTime>3</TotalTime>
  <ScaleCrop>false</ScaleCrop>
  <LinksUpToDate>false</LinksUpToDate>
  <CharactersWithSpaces>8967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2022-02-11T11:16:00Z</dcterms:created>
  <dc:creator>闫超</dc:creator>
  <cp:lastModifiedBy>Administrator</cp:lastModifiedBy>
  <dcterms:modified xsi:type="dcterms:W3CDTF">2022-04-21T02:51:07Z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CA46677D5BFF4CEBB11A4EA88A307E7C</vt:lpwstr>
  </property>
</Properties>
</file>