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r>
        <w:rPr>
          <w:rFonts w:hint="eastAsia" w:ascii="黑体" w:hAnsi="黑体" w:eastAsia="黑体"/>
          <w:sz w:val="32"/>
          <w:szCs w:val="32"/>
          <w:highlight w:val="none"/>
        </w:rPr>
        <w:t>附件</w:t>
      </w:r>
      <w:r>
        <w:rPr>
          <w:rFonts w:ascii="黑体" w:hAnsi="黑体" w:eastAsia="黑体"/>
          <w:sz w:val="32"/>
          <w:szCs w:val="32"/>
          <w:highlight w:val="none"/>
        </w:rPr>
        <w:t>3</w:t>
      </w:r>
      <w:r>
        <w:rPr>
          <w:rFonts w:hint="eastAsia" w:ascii="黑体" w:hAnsi="黑体" w:eastAsia="黑体"/>
          <w:sz w:val="32"/>
          <w:szCs w:val="32"/>
          <w:highlight w:val="none"/>
        </w:rPr>
        <w:t>：</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hint="eastAsia" w:ascii="方正小标宋_GBK" w:hAnsi="宋体" w:eastAsia="方正小标宋_GBK" w:cs="Times New Roman"/>
          <w:kern w:val="0"/>
          <w:sz w:val="44"/>
          <w:szCs w:val="44"/>
          <w:highlight w:val="none"/>
          <w:lang w:val="en-US" w:eastAsia="zh-CN"/>
        </w:rPr>
      </w:pPr>
      <w:r>
        <w:rPr>
          <w:rFonts w:hint="eastAsia" w:ascii="方正小标宋_GBK" w:hAnsi="宋体" w:eastAsia="方正小标宋_GBK" w:cs="Times New Roman"/>
          <w:kern w:val="0"/>
          <w:sz w:val="44"/>
          <w:szCs w:val="44"/>
          <w:highlight w:val="none"/>
        </w:rPr>
        <w:t>昌吉州环境污染监控中心</w:t>
      </w:r>
      <w:r>
        <w:rPr>
          <w:rFonts w:hint="eastAsia" w:ascii="方正小标宋_GBK" w:hAnsi="宋体" w:eastAsia="方正小标宋_GBK" w:cs="Times New Roman"/>
          <w:kern w:val="0"/>
          <w:sz w:val="44"/>
          <w:szCs w:val="44"/>
          <w:highlight w:val="none"/>
          <w:lang w:val="en-US" w:eastAsia="zh-CN"/>
        </w:rPr>
        <w:t>2022年</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cs="Times New Roman"/>
          <w:kern w:val="0"/>
          <w:sz w:val="44"/>
          <w:szCs w:val="44"/>
          <w:highlight w:val="none"/>
          <w:lang w:val="en-US" w:eastAsia="zh-CN"/>
        </w:rPr>
        <w:t>部门</w:t>
      </w:r>
      <w:r>
        <w:rPr>
          <w:rFonts w:hint="eastAsia" w:ascii="方正小标宋_GBK" w:hAnsi="宋体" w:eastAsia="方正小标宋_GBK"/>
          <w:kern w:val="0"/>
          <w:sz w:val="44"/>
          <w:szCs w:val="44"/>
          <w:highlight w:val="none"/>
        </w:rPr>
        <w:t>预算公开</w:t>
      </w:r>
    </w:p>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both"/>
        <w:outlineLvl w:val="1"/>
        <w:rPr>
          <w:rFonts w:ascii="黑体" w:hAnsi="黑体" w:eastAsia="黑体"/>
          <w:kern w:val="0"/>
          <w:sz w:val="36"/>
          <w:szCs w:val="32"/>
          <w:highlight w:val="none"/>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第一部分  昌吉州环境污染监控中心概况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2022年昌吉州环境污染监控中心预算公开表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2022年昌吉州环境污染监控中心预算情况说明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w:t>
      </w:r>
      <w:r>
        <w:rPr>
          <w:rFonts w:hint="eastAsia" w:ascii="仿宋_GB2312" w:hAnsi="宋体" w:eastAsia="仿宋_GB2312"/>
          <w:kern w:val="0"/>
          <w:sz w:val="32"/>
          <w:szCs w:val="32"/>
          <w:highlight w:val="none"/>
        </w:rPr>
        <w:t>昌吉州环境污染监控中心</w:t>
      </w:r>
      <w:r>
        <w:rPr>
          <w:rFonts w:hint="eastAsia" w:ascii="仿宋_GB2312" w:hAnsi="仿宋_GB2312" w:eastAsia="仿宋_GB2312" w:cs="仿宋_GB2312"/>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640" w:firstLineChars="200"/>
        <w:rPr>
          <w:rFonts w:ascii="仿宋_GB2312" w:hAnsi="仿宋_GB2312" w:eastAsia="仿宋_GB2312" w:cs="仿宋_GB2312"/>
          <w:kern w:val="0"/>
          <w:sz w:val="32"/>
          <w:szCs w:val="32"/>
          <w:highlight w:val="none"/>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第一部分  </w:t>
      </w:r>
      <w:r>
        <w:rPr>
          <w:rFonts w:hint="eastAsia" w:ascii="黑体" w:hAnsi="黑体" w:eastAsia="黑体" w:cs="Times New Roman"/>
          <w:kern w:val="0"/>
          <w:sz w:val="32"/>
          <w:szCs w:val="32"/>
          <w:highlight w:val="none"/>
        </w:rPr>
        <w:t>昌吉州环境污染监控中心概</w:t>
      </w:r>
      <w:r>
        <w:rPr>
          <w:rFonts w:hint="eastAsia" w:ascii="黑体" w:hAnsi="黑体" w:eastAsia="黑体"/>
          <w:kern w:val="0"/>
          <w:sz w:val="32"/>
          <w:szCs w:val="32"/>
          <w:highlight w:val="none"/>
        </w:rPr>
        <w:t>况</w:t>
      </w:r>
    </w:p>
    <w:p>
      <w:pPr>
        <w:widowControl/>
        <w:spacing w:line="540" w:lineRule="exact"/>
        <w:jc w:val="center"/>
        <w:outlineLvl w:val="1"/>
        <w:rPr>
          <w:rFonts w:ascii="宋体" w:hAnsi="宋体"/>
          <w:b/>
          <w:kern w:val="0"/>
          <w:sz w:val="32"/>
          <w:szCs w:val="32"/>
          <w:highlight w:val="none"/>
        </w:rPr>
      </w:pP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widowControl/>
        <w:spacing w:line="540" w:lineRule="exact"/>
        <w:jc w:val="left"/>
        <w:rPr>
          <w:rFonts w:ascii="仿宋_GB2312" w:hAnsi="宋体" w:eastAsia="仿宋_GB2312" w:cs="宋体"/>
          <w:bCs/>
          <w:kern w:val="0"/>
          <w:sz w:val="32"/>
          <w:szCs w:val="32"/>
          <w:highlight w:val="none"/>
        </w:rPr>
      </w:pPr>
      <w:r>
        <w:rPr>
          <w:rFonts w:hint="eastAsia" w:ascii="黑体" w:hAnsi="黑体" w:eastAsia="黑体" w:cs="宋体"/>
          <w:bCs/>
          <w:kern w:val="0"/>
          <w:sz w:val="32"/>
          <w:szCs w:val="32"/>
          <w:highlight w:val="none"/>
        </w:rPr>
        <w:t xml:space="preserve">   </w:t>
      </w:r>
      <w:r>
        <w:rPr>
          <w:rFonts w:hint="eastAsia" w:ascii="仿宋_GB2312" w:hAnsi="黑体" w:eastAsia="仿宋_GB2312" w:cs="宋体"/>
          <w:bCs/>
          <w:kern w:val="0"/>
          <w:sz w:val="32"/>
          <w:szCs w:val="32"/>
          <w:highlight w:val="none"/>
        </w:rPr>
        <w:t xml:space="preserve"> 协助昌吉州环境保护主管部门对重点污染源自动监控体系监管，昌吉州环境应急指挥中心建设和日常管理，负责机动车污染防治、固体废物和辐射安全监督、环境信息化建设等方面工作，为昌吉州环境保护管理工作提供技术支持和咨询服务。 </w:t>
      </w:r>
      <w:r>
        <w:rPr>
          <w:rFonts w:hint="eastAsia" w:ascii="仿宋_GB2312" w:hAnsi="宋体" w:eastAsia="仿宋_GB2312" w:cs="宋体"/>
          <w:bCs/>
          <w:kern w:val="0"/>
          <w:sz w:val="32"/>
          <w:szCs w:val="32"/>
          <w:highlight w:val="none"/>
        </w:rPr>
        <w:t xml:space="preserve"> </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4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kern w:val="0"/>
          <w:sz w:val="32"/>
          <w:szCs w:val="32"/>
          <w:highlight w:val="none"/>
        </w:rPr>
        <w:t>昌吉州环境污染监控中心</w:t>
      </w:r>
      <w:r>
        <w:rPr>
          <w:rFonts w:hint="eastAsia" w:ascii="仿宋_GB2312" w:hAnsi="黑体" w:eastAsia="仿宋_GB2312" w:cs="宋体"/>
          <w:bCs/>
          <w:kern w:val="0"/>
          <w:sz w:val="32"/>
          <w:szCs w:val="32"/>
          <w:highlight w:val="none"/>
        </w:rPr>
        <w:t>单位无下属预算单位，下设</w:t>
      </w:r>
      <w:r>
        <w:rPr>
          <w:rFonts w:hint="eastAsia" w:ascii="仿宋_GB2312" w:hAnsi="黑体" w:eastAsia="仿宋_GB2312" w:cs="宋体"/>
          <w:bCs/>
          <w:kern w:val="0"/>
          <w:sz w:val="32"/>
          <w:szCs w:val="32"/>
          <w:highlight w:val="none"/>
          <w:lang w:val="en-US" w:eastAsia="zh-CN"/>
        </w:rPr>
        <w:t>5</w:t>
      </w:r>
      <w:r>
        <w:rPr>
          <w:rFonts w:hint="eastAsia" w:ascii="仿宋_GB2312" w:hAnsi="黑体" w:eastAsia="仿宋_GB2312" w:cs="宋体"/>
          <w:bCs/>
          <w:kern w:val="0"/>
          <w:sz w:val="32"/>
          <w:szCs w:val="32"/>
          <w:highlight w:val="none"/>
        </w:rPr>
        <w:t>个科室，分别是：</w:t>
      </w:r>
      <w:r>
        <w:rPr>
          <w:rFonts w:hint="eastAsia" w:ascii="仿宋_GB2312" w:hAnsi="宋体" w:eastAsia="仿宋_GB2312" w:cs="宋体"/>
          <w:kern w:val="0"/>
          <w:sz w:val="32"/>
          <w:szCs w:val="32"/>
          <w:highlight w:val="none"/>
          <w:lang w:val="en-US" w:eastAsia="zh-CN"/>
        </w:rPr>
        <w:t>应急监控科、机动车排污监督管理科、辐射安全监督管理科、网络管理科、办公室</w:t>
      </w:r>
      <w:r>
        <w:rPr>
          <w:rFonts w:hint="eastAsia" w:ascii="仿宋_GB2312" w:hAnsi="宋体" w:eastAsia="仿宋_GB2312" w:cs="宋体"/>
          <w:kern w:val="0"/>
          <w:sz w:val="32"/>
          <w:szCs w:val="32"/>
          <w:highlight w:val="none"/>
        </w:rPr>
        <w:t>。</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kern w:val="0"/>
          <w:sz w:val="32"/>
          <w:szCs w:val="32"/>
          <w:highlight w:val="none"/>
        </w:rPr>
        <w:t>昌吉州环境污染监控中心</w:t>
      </w:r>
      <w:r>
        <w:rPr>
          <w:rFonts w:hint="eastAsia" w:ascii="仿宋_GB2312" w:hAnsi="宋体" w:eastAsia="仿宋_GB2312" w:cs="宋体"/>
          <w:kern w:val="0"/>
          <w:sz w:val="32"/>
          <w:szCs w:val="32"/>
          <w:highlight w:val="none"/>
        </w:rPr>
        <w:t>单位编制数</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个，实有人数</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人，其中：在职</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0人</w:t>
      </w:r>
      <w:r>
        <w:rPr>
          <w:rFonts w:hint="eastAsia" w:ascii="仿宋_GB2312" w:hAnsi="宋体" w:eastAsia="仿宋_GB2312" w:cs="宋体"/>
          <w:kern w:val="0"/>
          <w:sz w:val="32"/>
          <w:szCs w:val="32"/>
          <w:highlight w:val="none"/>
        </w:rPr>
        <w:t>； 退休0人，增加</w:t>
      </w:r>
      <w:r>
        <w:rPr>
          <w:rFonts w:hint="eastAsia" w:ascii="仿宋_GB2312" w:hAnsi="宋体" w:eastAsia="仿宋_GB2312" w:cs="宋体"/>
          <w:kern w:val="0"/>
          <w:sz w:val="32"/>
          <w:szCs w:val="32"/>
          <w:highlight w:val="none"/>
          <w:lang w:val="en-US" w:eastAsia="zh-CN"/>
        </w:rPr>
        <w:t>0人；</w:t>
      </w:r>
      <w:r>
        <w:rPr>
          <w:rFonts w:hint="eastAsia" w:ascii="仿宋_GB2312" w:hAnsi="宋体" w:eastAsia="仿宋_GB2312" w:cs="宋体"/>
          <w:kern w:val="0"/>
          <w:sz w:val="32"/>
          <w:szCs w:val="32"/>
          <w:highlight w:val="none"/>
        </w:rPr>
        <w:t>离休0人，增加0人。</w:t>
      </w:r>
    </w:p>
    <w:p>
      <w:pPr>
        <w:widowControl/>
        <w:spacing w:line="540" w:lineRule="exact"/>
        <w:ind w:firstLine="640"/>
        <w:jc w:val="left"/>
        <w:rPr>
          <w:rFonts w:ascii="仿宋_GB2312" w:hAnsi="宋体" w:eastAsia="仿宋_GB2312" w:cs="宋体"/>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pStyle w:val="2"/>
        <w:rPr>
          <w:rFonts w:hint="eastAsia" w:ascii="仿宋_GB2312" w:hAnsi="宋体" w:eastAsia="仿宋_GB2312" w:cs="宋体"/>
          <w:b/>
          <w:kern w:val="0"/>
          <w:sz w:val="32"/>
          <w:szCs w:val="32"/>
          <w:highlight w:val="none"/>
        </w:rPr>
      </w:pPr>
    </w:p>
    <w:p>
      <w:pPr>
        <w:pStyle w:val="2"/>
        <w:rPr>
          <w:rFonts w:hint="eastAsia" w:ascii="仿宋_GB2312" w:hAnsi="宋体" w:eastAsia="仿宋_GB2312" w:cs="宋体"/>
          <w:b/>
          <w:kern w:val="0"/>
          <w:sz w:val="32"/>
          <w:szCs w:val="32"/>
          <w:highlight w:val="none"/>
        </w:rPr>
      </w:pPr>
    </w:p>
    <w:p>
      <w:pPr>
        <w:pStyle w:val="2"/>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ind w:firstLine="1600" w:firstLineChars="500"/>
        <w:jc w:val="both"/>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年部门（单位）预算公开表</w:t>
      </w:r>
    </w:p>
    <w:p>
      <w:pPr>
        <w:widowControl/>
        <w:spacing w:line="240" w:lineRule="exact"/>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表1</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昌吉州环境污染监控中心</w:t>
      </w:r>
      <w:r>
        <w:rPr>
          <w:rFonts w:hint="eastAsia" w:ascii="仿宋_GB2312" w:hAnsi="宋体" w:eastAsia="仿宋_GB2312"/>
          <w:kern w:val="0"/>
          <w:sz w:val="24"/>
          <w:highlight w:val="none"/>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409.94</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7.2</w:t>
            </w: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5.66</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395.61</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6.48</w:t>
            </w: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highlight w:val="none"/>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rPr>
            </w:pPr>
            <w:r>
              <w:rPr>
                <w:rFonts w:hint="eastAsia" w:ascii="仿宋_GB2312" w:hAnsi="宋体" w:eastAsia="仿宋_GB2312" w:cs="宋体"/>
                <w:kern w:val="0"/>
                <w:sz w:val="18"/>
                <w:szCs w:val="18"/>
                <w:highlight w:val="none"/>
                <w:lang w:val="en-US" w:eastAsia="zh-CN"/>
              </w:rPr>
              <w:t>414.94</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rPr>
            </w:pPr>
            <w:r>
              <w:rPr>
                <w:rFonts w:hint="eastAsia" w:ascii="仿宋_GB2312" w:hAnsi="宋体" w:eastAsia="仿宋_GB2312" w:cs="宋体"/>
                <w:kern w:val="0"/>
                <w:sz w:val="18"/>
                <w:szCs w:val="18"/>
                <w:highlight w:val="none"/>
                <w:lang w:val="en-US" w:eastAsia="zh-CN"/>
              </w:rPr>
              <w:t>414.94</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昌吉州环境污染监控中心</w:t>
      </w:r>
      <w:r>
        <w:rPr>
          <w:rFonts w:hint="eastAsia" w:ascii="仿宋_GB2312" w:hAnsi="宋体" w:eastAsia="仿宋_GB2312"/>
          <w:kern w:val="0"/>
          <w:sz w:val="24"/>
          <w:highlight w:val="none"/>
        </w:rPr>
        <w:t xml:space="preserve">  </w:t>
      </w:r>
      <w:r>
        <w:rPr>
          <w:rFonts w:hint="eastAsia" w:ascii="仿宋_GB2312" w:hAnsi="宋体" w:eastAsia="仿宋_GB2312"/>
          <w:kern w:val="0"/>
          <w:szCs w:val="21"/>
          <w:highlight w:val="none"/>
        </w:rPr>
        <w:t xml:space="preserve"> </w:t>
      </w:r>
      <w:r>
        <w:rPr>
          <w:rFonts w:hint="eastAsia" w:ascii="仿宋_GB2312" w:hAnsi="宋体" w:eastAsia="仿宋_GB2312"/>
          <w:kern w:val="0"/>
          <w:sz w:val="24"/>
          <w:highlight w:val="none"/>
        </w:rPr>
        <w:t xml:space="preserve">             单位：万元</w:t>
      </w:r>
    </w:p>
    <w:tbl>
      <w:tblPr>
        <w:tblStyle w:val="6"/>
        <w:tblW w:w="9455" w:type="dxa"/>
        <w:tblInd w:w="-450" w:type="dxa"/>
        <w:tblLayout w:type="fixed"/>
        <w:tblCellMar>
          <w:top w:w="0" w:type="dxa"/>
          <w:left w:w="108" w:type="dxa"/>
          <w:bottom w:w="0" w:type="dxa"/>
          <w:right w:w="108" w:type="dxa"/>
        </w:tblCellMar>
      </w:tblPr>
      <w:tblGrid>
        <w:gridCol w:w="539"/>
        <w:gridCol w:w="455"/>
        <w:gridCol w:w="438"/>
        <w:gridCol w:w="1964"/>
        <w:gridCol w:w="952"/>
        <w:gridCol w:w="916"/>
        <w:gridCol w:w="709"/>
        <w:gridCol w:w="633"/>
        <w:gridCol w:w="776"/>
        <w:gridCol w:w="657"/>
        <w:gridCol w:w="674"/>
        <w:gridCol w:w="742"/>
      </w:tblGrid>
      <w:tr>
        <w:tblPrEx>
          <w:tblCellMar>
            <w:top w:w="0" w:type="dxa"/>
            <w:left w:w="108" w:type="dxa"/>
            <w:bottom w:w="0" w:type="dxa"/>
            <w:right w:w="108" w:type="dxa"/>
          </w:tblCellMar>
        </w:tblPrEx>
        <w:trPr>
          <w:trHeight w:val="510" w:hRule="atLeast"/>
        </w:trPr>
        <w:tc>
          <w:tcPr>
            <w:tcW w:w="143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96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95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9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63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77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65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67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74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CellMar>
            <w:top w:w="0" w:type="dxa"/>
            <w:left w:w="108" w:type="dxa"/>
            <w:bottom w:w="0" w:type="dxa"/>
            <w:right w:w="108" w:type="dxa"/>
          </w:tblCellMar>
        </w:tblPrEx>
        <w:trPr>
          <w:trHeight w:val="1870" w:hRule="atLeast"/>
        </w:trPr>
        <w:tc>
          <w:tcPr>
            <w:tcW w:w="53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38"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9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3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7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5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7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4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208</w:t>
            </w:r>
          </w:p>
        </w:tc>
        <w:tc>
          <w:tcPr>
            <w:tcW w:w="45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highlight w:val="none"/>
                <w:lang w:val="en-US" w:eastAsia="zh-CN"/>
              </w:rPr>
            </w:pPr>
          </w:p>
        </w:tc>
        <w:tc>
          <w:tcPr>
            <w:tcW w:w="43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社会保障和就业支出</w:t>
            </w:r>
          </w:p>
        </w:tc>
        <w:tc>
          <w:tcPr>
            <w:tcW w:w="952" w:type="dxa"/>
            <w:tcBorders>
              <w:top w:val="nil"/>
              <w:left w:val="nil"/>
              <w:bottom w:val="single" w:color="auto" w:sz="4" w:space="0"/>
              <w:right w:val="single" w:color="auto" w:sz="4" w:space="0"/>
            </w:tcBorders>
            <w:shd w:val="clear" w:color="000000" w:fill="FFFFFF"/>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916" w:type="dxa"/>
            <w:tcBorders>
              <w:top w:val="nil"/>
              <w:left w:val="nil"/>
              <w:bottom w:val="single" w:color="auto" w:sz="4" w:space="0"/>
              <w:right w:val="single" w:color="auto" w:sz="4" w:space="0"/>
            </w:tcBorders>
            <w:shd w:val="clear" w:color="000000" w:fill="FFFFFF"/>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208</w:t>
            </w:r>
          </w:p>
        </w:tc>
        <w:tc>
          <w:tcPr>
            <w:tcW w:w="45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w:t>
            </w:r>
          </w:p>
        </w:tc>
        <w:tc>
          <w:tcPr>
            <w:tcW w:w="43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行政事业单位养老支出</w:t>
            </w:r>
          </w:p>
        </w:tc>
        <w:tc>
          <w:tcPr>
            <w:tcW w:w="952" w:type="dxa"/>
            <w:tcBorders>
              <w:top w:val="nil"/>
              <w:left w:val="nil"/>
              <w:bottom w:val="single" w:color="auto" w:sz="4" w:space="0"/>
              <w:right w:val="single" w:color="auto" w:sz="4" w:space="0"/>
            </w:tcBorders>
            <w:shd w:val="clear" w:color="000000" w:fill="FFFFFF"/>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916" w:type="dxa"/>
            <w:tcBorders>
              <w:top w:val="nil"/>
              <w:left w:val="nil"/>
              <w:bottom w:val="single" w:color="auto" w:sz="4" w:space="0"/>
              <w:right w:val="single" w:color="auto" w:sz="4" w:space="0"/>
            </w:tcBorders>
            <w:shd w:val="clear" w:color="000000" w:fill="FFFFFF"/>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208</w:t>
            </w:r>
          </w:p>
        </w:tc>
        <w:tc>
          <w:tcPr>
            <w:tcW w:w="4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05</w:t>
            </w:r>
          </w:p>
        </w:tc>
        <w:tc>
          <w:tcPr>
            <w:tcW w:w="43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05</w:t>
            </w:r>
          </w:p>
        </w:tc>
        <w:tc>
          <w:tcPr>
            <w:tcW w:w="196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机关事业单位基本养老保险缴费支出</w:t>
            </w:r>
          </w:p>
        </w:tc>
        <w:tc>
          <w:tcPr>
            <w:tcW w:w="952"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7.2</w:t>
            </w:r>
          </w:p>
        </w:tc>
        <w:tc>
          <w:tcPr>
            <w:tcW w:w="916" w:type="dxa"/>
            <w:tcBorders>
              <w:top w:val="nil"/>
              <w:left w:val="nil"/>
              <w:bottom w:val="single" w:color="auto" w:sz="4" w:space="0"/>
              <w:right w:val="single" w:color="auto" w:sz="4" w:space="0"/>
            </w:tcBorders>
            <w:shd w:val="clear" w:color="000000" w:fill="FFFFFF"/>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7.2</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210</w:t>
            </w:r>
          </w:p>
        </w:tc>
        <w:tc>
          <w:tcPr>
            <w:tcW w:w="45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438"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卫生健康支出</w:t>
            </w:r>
          </w:p>
        </w:tc>
        <w:tc>
          <w:tcPr>
            <w:tcW w:w="952"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5.66</w:t>
            </w:r>
          </w:p>
        </w:tc>
        <w:tc>
          <w:tcPr>
            <w:tcW w:w="916"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5.66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210</w:t>
            </w:r>
          </w:p>
        </w:tc>
        <w:tc>
          <w:tcPr>
            <w:tcW w:w="45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438"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行政事业单位医疗</w:t>
            </w:r>
          </w:p>
        </w:tc>
        <w:tc>
          <w:tcPr>
            <w:tcW w:w="952"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5.66</w:t>
            </w:r>
          </w:p>
        </w:tc>
        <w:tc>
          <w:tcPr>
            <w:tcW w:w="91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5.66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210</w:t>
            </w:r>
          </w:p>
        </w:tc>
        <w:tc>
          <w:tcPr>
            <w:tcW w:w="4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11</w:t>
            </w:r>
          </w:p>
        </w:tc>
        <w:tc>
          <w:tcPr>
            <w:tcW w:w="43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02</w:t>
            </w:r>
          </w:p>
        </w:tc>
        <w:tc>
          <w:tcPr>
            <w:tcW w:w="196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事业单位医疗</w:t>
            </w:r>
          </w:p>
        </w:tc>
        <w:tc>
          <w:tcPr>
            <w:tcW w:w="95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4.28</w:t>
            </w:r>
          </w:p>
        </w:tc>
        <w:tc>
          <w:tcPr>
            <w:tcW w:w="91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4.28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210</w:t>
            </w:r>
          </w:p>
        </w:tc>
        <w:tc>
          <w:tcPr>
            <w:tcW w:w="4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11</w:t>
            </w:r>
          </w:p>
        </w:tc>
        <w:tc>
          <w:tcPr>
            <w:tcW w:w="43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03</w:t>
            </w:r>
          </w:p>
        </w:tc>
        <w:tc>
          <w:tcPr>
            <w:tcW w:w="196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公务员医疗补助</w:t>
            </w:r>
          </w:p>
        </w:tc>
        <w:tc>
          <w:tcPr>
            <w:tcW w:w="95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1.35</w:t>
            </w:r>
          </w:p>
        </w:tc>
        <w:tc>
          <w:tcPr>
            <w:tcW w:w="91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1.35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210</w:t>
            </w:r>
          </w:p>
        </w:tc>
        <w:tc>
          <w:tcPr>
            <w:tcW w:w="4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11</w:t>
            </w:r>
          </w:p>
        </w:tc>
        <w:tc>
          <w:tcPr>
            <w:tcW w:w="43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99</w:t>
            </w:r>
          </w:p>
        </w:tc>
        <w:tc>
          <w:tcPr>
            <w:tcW w:w="196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其他行政事业单位医疗支出</w:t>
            </w:r>
          </w:p>
        </w:tc>
        <w:tc>
          <w:tcPr>
            <w:tcW w:w="95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0.03</w:t>
            </w:r>
          </w:p>
        </w:tc>
        <w:tc>
          <w:tcPr>
            <w:tcW w:w="91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0.03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w:t>
            </w:r>
          </w:p>
        </w:tc>
        <w:tc>
          <w:tcPr>
            <w:tcW w:w="45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438"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节能环保支出</w:t>
            </w:r>
          </w:p>
        </w:tc>
        <w:tc>
          <w:tcPr>
            <w:tcW w:w="952"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c>
          <w:tcPr>
            <w:tcW w:w="91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c>
          <w:tcPr>
            <w:tcW w:w="709"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w:t>
            </w:r>
          </w:p>
        </w:tc>
        <w:tc>
          <w:tcPr>
            <w:tcW w:w="45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c>
          <w:tcPr>
            <w:tcW w:w="438"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污染防治</w:t>
            </w:r>
          </w:p>
        </w:tc>
        <w:tc>
          <w:tcPr>
            <w:tcW w:w="952"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c>
          <w:tcPr>
            <w:tcW w:w="91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c>
          <w:tcPr>
            <w:tcW w:w="709"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211</w:t>
            </w:r>
          </w:p>
        </w:tc>
        <w:tc>
          <w:tcPr>
            <w:tcW w:w="4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03</w:t>
            </w:r>
          </w:p>
        </w:tc>
        <w:tc>
          <w:tcPr>
            <w:tcW w:w="43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99</w:t>
            </w:r>
          </w:p>
        </w:tc>
        <w:tc>
          <w:tcPr>
            <w:tcW w:w="196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其他污染防治支出</w:t>
            </w:r>
          </w:p>
        </w:tc>
        <w:tc>
          <w:tcPr>
            <w:tcW w:w="95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88</w:t>
            </w:r>
          </w:p>
        </w:tc>
        <w:tc>
          <w:tcPr>
            <w:tcW w:w="916"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c>
          <w:tcPr>
            <w:tcW w:w="709"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w:t>
            </w:r>
          </w:p>
        </w:tc>
        <w:tc>
          <w:tcPr>
            <w:tcW w:w="45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438"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污染减排</w:t>
            </w:r>
          </w:p>
        </w:tc>
        <w:tc>
          <w:tcPr>
            <w:tcW w:w="952"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307.61</w:t>
            </w:r>
          </w:p>
        </w:tc>
        <w:tc>
          <w:tcPr>
            <w:tcW w:w="91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302.61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5</w:t>
            </w: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211</w:t>
            </w:r>
          </w:p>
        </w:tc>
        <w:tc>
          <w:tcPr>
            <w:tcW w:w="4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11</w:t>
            </w:r>
          </w:p>
        </w:tc>
        <w:tc>
          <w:tcPr>
            <w:tcW w:w="43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01</w:t>
            </w:r>
          </w:p>
        </w:tc>
        <w:tc>
          <w:tcPr>
            <w:tcW w:w="196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生态环境监测与信息</w:t>
            </w:r>
          </w:p>
        </w:tc>
        <w:tc>
          <w:tcPr>
            <w:tcW w:w="95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307.61</w:t>
            </w:r>
          </w:p>
        </w:tc>
        <w:tc>
          <w:tcPr>
            <w:tcW w:w="91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302.61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5</w:t>
            </w: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221</w:t>
            </w:r>
          </w:p>
        </w:tc>
        <w:tc>
          <w:tcPr>
            <w:tcW w:w="45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438"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住房保障支出</w:t>
            </w:r>
          </w:p>
        </w:tc>
        <w:tc>
          <w:tcPr>
            <w:tcW w:w="952"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91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221</w:t>
            </w:r>
          </w:p>
        </w:tc>
        <w:tc>
          <w:tcPr>
            <w:tcW w:w="45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438"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964"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住房改革支出</w:t>
            </w:r>
          </w:p>
        </w:tc>
        <w:tc>
          <w:tcPr>
            <w:tcW w:w="952"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916"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221</w:t>
            </w:r>
          </w:p>
        </w:tc>
        <w:tc>
          <w:tcPr>
            <w:tcW w:w="4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02</w:t>
            </w:r>
          </w:p>
        </w:tc>
        <w:tc>
          <w:tcPr>
            <w:tcW w:w="43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01</w:t>
            </w:r>
          </w:p>
        </w:tc>
        <w:tc>
          <w:tcPr>
            <w:tcW w:w="196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20"/>
                <w:szCs w:val="20"/>
                <w:highlight w:val="none"/>
              </w:rPr>
            </w:pPr>
            <w:r>
              <w:rPr>
                <w:rFonts w:hint="eastAsia" w:ascii="宋体" w:hAnsi="宋体" w:cs="宋体"/>
                <w:color w:val="000000"/>
                <w:kern w:val="0"/>
                <w:sz w:val="20"/>
                <w:szCs w:val="20"/>
                <w:highlight w:val="none"/>
                <w:lang w:val="en-US" w:eastAsia="zh-CN"/>
              </w:rPr>
              <w:t>住房公积金</w:t>
            </w:r>
          </w:p>
        </w:tc>
        <w:tc>
          <w:tcPr>
            <w:tcW w:w="952"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6.48</w:t>
            </w:r>
          </w:p>
        </w:tc>
        <w:tc>
          <w:tcPr>
            <w:tcW w:w="916"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6.48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3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3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95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414.94</w:t>
            </w:r>
          </w:p>
        </w:tc>
        <w:tc>
          <w:tcPr>
            <w:tcW w:w="91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409.94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7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7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42"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5</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昌吉州环境污染监控中心</w:t>
      </w:r>
      <w:r>
        <w:rPr>
          <w:rFonts w:hint="eastAsia" w:ascii="仿宋_GB2312" w:hAnsi="宋体" w:eastAsia="仿宋_GB2312"/>
          <w:kern w:val="0"/>
          <w:sz w:val="24"/>
          <w:highlight w:val="none"/>
        </w:rPr>
        <w:t xml:space="preserve">                        单位：万元</w:t>
      </w:r>
    </w:p>
    <w:tbl>
      <w:tblPr>
        <w:tblStyle w:val="6"/>
        <w:tblW w:w="8836" w:type="dxa"/>
        <w:tblInd w:w="-240" w:type="dxa"/>
        <w:tblLayout w:type="fixed"/>
        <w:tblCellMar>
          <w:top w:w="0" w:type="dxa"/>
          <w:left w:w="108" w:type="dxa"/>
          <w:bottom w:w="0" w:type="dxa"/>
          <w:right w:w="108" w:type="dxa"/>
        </w:tblCellMar>
      </w:tblPr>
      <w:tblGrid>
        <w:gridCol w:w="531"/>
        <w:gridCol w:w="480"/>
        <w:gridCol w:w="190"/>
        <w:gridCol w:w="375"/>
        <w:gridCol w:w="2229"/>
        <w:gridCol w:w="46"/>
        <w:gridCol w:w="1450"/>
        <w:gridCol w:w="46"/>
        <w:gridCol w:w="1791"/>
        <w:gridCol w:w="1652"/>
        <w:gridCol w:w="46"/>
      </w:tblGrid>
      <w:tr>
        <w:tblPrEx>
          <w:tblCellMar>
            <w:top w:w="0" w:type="dxa"/>
            <w:left w:w="108" w:type="dxa"/>
            <w:bottom w:w="0" w:type="dxa"/>
            <w:right w:w="108" w:type="dxa"/>
          </w:tblCellMar>
        </w:tblPrEx>
        <w:trPr>
          <w:gridAfter w:val="1"/>
          <w:wAfter w:w="46" w:type="dxa"/>
          <w:trHeight w:val="345" w:hRule="atLeast"/>
        </w:trPr>
        <w:tc>
          <w:tcPr>
            <w:tcW w:w="3805" w:type="dxa"/>
            <w:gridSpan w:val="5"/>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4985"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gridAfter w:val="1"/>
          <w:wAfter w:w="46" w:type="dxa"/>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604"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496"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37" w:type="dxa"/>
            <w:gridSpan w:val="2"/>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652"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565"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275"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496"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791"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698" w:type="dxa"/>
            <w:gridSpan w:val="2"/>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208</w:t>
            </w:r>
          </w:p>
        </w:tc>
        <w:tc>
          <w:tcPr>
            <w:tcW w:w="4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p>
        </w:tc>
        <w:tc>
          <w:tcPr>
            <w:tcW w:w="56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p>
        </w:tc>
        <w:tc>
          <w:tcPr>
            <w:tcW w:w="227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社会保障和就业支出</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7.2</w:t>
            </w:r>
          </w:p>
        </w:tc>
        <w:tc>
          <w:tcPr>
            <w:tcW w:w="179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7.2</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208</w:t>
            </w:r>
          </w:p>
        </w:tc>
        <w:tc>
          <w:tcPr>
            <w:tcW w:w="4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05</w:t>
            </w:r>
          </w:p>
        </w:tc>
        <w:tc>
          <w:tcPr>
            <w:tcW w:w="56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p>
        </w:tc>
        <w:tc>
          <w:tcPr>
            <w:tcW w:w="227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行政事业单位养老支出</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7.2</w:t>
            </w:r>
          </w:p>
        </w:tc>
        <w:tc>
          <w:tcPr>
            <w:tcW w:w="179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7.2</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208</w:t>
            </w:r>
          </w:p>
        </w:tc>
        <w:tc>
          <w:tcPr>
            <w:tcW w:w="4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05</w:t>
            </w:r>
          </w:p>
        </w:tc>
        <w:tc>
          <w:tcPr>
            <w:tcW w:w="56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05</w:t>
            </w:r>
          </w:p>
        </w:tc>
        <w:tc>
          <w:tcPr>
            <w:tcW w:w="227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机关事业单位基本养老保险缴费支出</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7.2</w:t>
            </w:r>
          </w:p>
        </w:tc>
        <w:tc>
          <w:tcPr>
            <w:tcW w:w="179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7.2</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p>
        </w:tc>
        <w:tc>
          <w:tcPr>
            <w:tcW w:w="56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p>
        </w:tc>
        <w:tc>
          <w:tcPr>
            <w:tcW w:w="227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卫生健康支出</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5.66</w:t>
            </w:r>
          </w:p>
        </w:tc>
        <w:tc>
          <w:tcPr>
            <w:tcW w:w="179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5.66</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11</w:t>
            </w:r>
          </w:p>
        </w:tc>
        <w:tc>
          <w:tcPr>
            <w:tcW w:w="56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p>
        </w:tc>
        <w:tc>
          <w:tcPr>
            <w:tcW w:w="227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行政事业单位医疗</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5.66</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5.66</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11</w:t>
            </w:r>
          </w:p>
        </w:tc>
        <w:tc>
          <w:tcPr>
            <w:tcW w:w="56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02</w:t>
            </w:r>
          </w:p>
        </w:tc>
        <w:tc>
          <w:tcPr>
            <w:tcW w:w="227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事业单位医疗</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4.28</w:t>
            </w:r>
          </w:p>
        </w:tc>
        <w:tc>
          <w:tcPr>
            <w:tcW w:w="179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4.28</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11</w:t>
            </w:r>
          </w:p>
        </w:tc>
        <w:tc>
          <w:tcPr>
            <w:tcW w:w="56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16"/>
                <w:szCs w:val="16"/>
                <w:highlight w:val="none"/>
                <w:lang w:val="en-US" w:eastAsia="zh-CN"/>
              </w:rPr>
            </w:pPr>
            <w:r>
              <w:rPr>
                <w:rFonts w:hint="eastAsia" w:ascii="宋体" w:hAnsi="宋体" w:cs="宋体"/>
                <w:color w:val="000000"/>
                <w:kern w:val="0"/>
                <w:sz w:val="20"/>
                <w:szCs w:val="20"/>
                <w:highlight w:val="none"/>
                <w:lang w:val="en-US" w:eastAsia="zh-CN"/>
              </w:rPr>
              <w:t>03</w:t>
            </w:r>
          </w:p>
        </w:tc>
        <w:tc>
          <w:tcPr>
            <w:tcW w:w="2275"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公务员医疗补助</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1.35</w:t>
            </w:r>
          </w:p>
        </w:tc>
        <w:tc>
          <w:tcPr>
            <w:tcW w:w="179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color w:val="000000"/>
                <w:kern w:val="0"/>
                <w:sz w:val="20"/>
                <w:szCs w:val="20"/>
                <w:highlight w:val="none"/>
                <w:lang w:val="en-US" w:eastAsia="zh-CN"/>
              </w:rPr>
              <w:t>1.35</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210</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11</w:t>
            </w: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99</w:t>
            </w: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其他行政事业单位医疗支出</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0.03</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0.03</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211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节能环保支出</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88</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698"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88</w:t>
            </w: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211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03</w:t>
            </w: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污染防治</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88</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698"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88</w:t>
            </w: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211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03</w:t>
            </w: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99</w:t>
            </w: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其他污染防治支出</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88</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highlight w:val="none"/>
                <w:lang w:val="en-US"/>
              </w:rPr>
            </w:pPr>
            <w:r>
              <w:rPr>
                <w:rFonts w:hint="eastAsia" w:ascii="宋体" w:hAnsi="宋体" w:cs="宋体"/>
                <w:color w:val="000000"/>
                <w:kern w:val="0"/>
                <w:sz w:val="20"/>
                <w:szCs w:val="20"/>
                <w:highlight w:val="none"/>
                <w:lang w:val="en-US" w:eastAsia="zh-CN"/>
              </w:rPr>
              <w:t>88</w:t>
            </w: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211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11</w:t>
            </w: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污染减排</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307.61</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307.61</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211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11</w:t>
            </w: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01</w:t>
            </w: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生态环境监测与信息</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307.61</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307.61</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221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住房保障支出</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6.48</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6.48</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221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02</w:t>
            </w: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住房改革支出</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6.48</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6.48</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221</w:t>
            </w:r>
          </w:p>
        </w:tc>
        <w:tc>
          <w:tcPr>
            <w:tcW w:w="48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02</w:t>
            </w:r>
          </w:p>
        </w:tc>
        <w:tc>
          <w:tcPr>
            <w:tcW w:w="56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highlight w:val="none"/>
              </w:rPr>
            </w:pPr>
            <w:r>
              <w:rPr>
                <w:rFonts w:hint="eastAsia" w:ascii="宋体" w:hAnsi="宋体" w:cs="宋体"/>
                <w:color w:val="000000"/>
                <w:kern w:val="0"/>
                <w:sz w:val="20"/>
                <w:szCs w:val="20"/>
                <w:highlight w:val="none"/>
                <w:lang w:val="en-US" w:eastAsia="zh-CN"/>
              </w:rPr>
              <w:t>01</w:t>
            </w:r>
          </w:p>
        </w:tc>
        <w:tc>
          <w:tcPr>
            <w:tcW w:w="2275"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住房公积金</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6.48</w:t>
            </w:r>
          </w:p>
        </w:tc>
        <w:tc>
          <w:tcPr>
            <w:tcW w:w="1791" w:type="dxa"/>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2"/>
                <w:szCs w:val="22"/>
                <w:highlight w:val="none"/>
              </w:rPr>
            </w:pPr>
            <w:r>
              <w:rPr>
                <w:rFonts w:hint="eastAsia" w:ascii="宋体" w:hAnsi="宋体" w:cs="宋体"/>
                <w:color w:val="000000"/>
                <w:kern w:val="0"/>
                <w:sz w:val="20"/>
                <w:szCs w:val="20"/>
                <w:highlight w:val="none"/>
                <w:lang w:val="en-US" w:eastAsia="zh-CN"/>
              </w:rPr>
              <w:t>6.48</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65"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5"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49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7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565"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p>
        </w:tc>
        <w:tc>
          <w:tcPr>
            <w:tcW w:w="2275"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highlight w:val="none"/>
              </w:rPr>
            </w:pPr>
          </w:p>
        </w:tc>
        <w:tc>
          <w:tcPr>
            <w:tcW w:w="149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7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highlight w:val="none"/>
              </w:rPr>
            </w:pPr>
          </w:p>
        </w:tc>
        <w:tc>
          <w:tcPr>
            <w:tcW w:w="480" w:type="dxa"/>
            <w:tcBorders>
              <w:top w:val="nil"/>
              <w:left w:val="nil"/>
              <w:bottom w:val="single" w:color="auto" w:sz="4" w:space="0"/>
              <w:right w:val="single" w:color="auto" w:sz="4" w:space="0"/>
            </w:tcBorders>
            <w:vAlign w:val="center"/>
          </w:tcPr>
          <w:p>
            <w:pPr>
              <w:jc w:val="center"/>
              <w:rPr>
                <w:highlight w:val="none"/>
              </w:rPr>
            </w:pPr>
          </w:p>
        </w:tc>
        <w:tc>
          <w:tcPr>
            <w:tcW w:w="565" w:type="dxa"/>
            <w:gridSpan w:val="2"/>
            <w:tcBorders>
              <w:top w:val="nil"/>
              <w:left w:val="nil"/>
              <w:bottom w:val="single" w:color="auto" w:sz="4" w:space="0"/>
              <w:right w:val="single" w:color="auto" w:sz="4" w:space="0"/>
            </w:tcBorders>
            <w:vAlign w:val="center"/>
          </w:tcPr>
          <w:p>
            <w:pPr>
              <w:jc w:val="center"/>
              <w:rPr>
                <w:highlight w:val="none"/>
              </w:rPr>
            </w:pPr>
          </w:p>
        </w:tc>
        <w:tc>
          <w:tcPr>
            <w:tcW w:w="2275" w:type="dxa"/>
            <w:gridSpan w:val="2"/>
            <w:tcBorders>
              <w:top w:val="nil"/>
              <w:left w:val="nil"/>
              <w:bottom w:val="single" w:color="auto" w:sz="4" w:space="0"/>
              <w:right w:val="single" w:color="auto" w:sz="4" w:space="0"/>
            </w:tcBorders>
            <w:vAlign w:val="center"/>
          </w:tcPr>
          <w:p>
            <w:pPr>
              <w:jc w:val="center"/>
              <w:rPr>
                <w:highlight w:val="none"/>
              </w:rPr>
            </w:pPr>
          </w:p>
        </w:tc>
        <w:tc>
          <w:tcPr>
            <w:tcW w:w="1496"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7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8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565"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2275"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496"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414.94</w:t>
            </w:r>
          </w:p>
        </w:tc>
        <w:tc>
          <w:tcPr>
            <w:tcW w:w="179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326.94</w:t>
            </w:r>
          </w:p>
        </w:tc>
        <w:tc>
          <w:tcPr>
            <w:tcW w:w="1698"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88</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表4</w:t>
      </w:r>
    </w:p>
    <w:p>
      <w:pPr>
        <w:widowControl/>
        <w:spacing w:before="120"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line="280" w:lineRule="exac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编制部门（单位）：</w:t>
      </w:r>
      <w:r>
        <w:rPr>
          <w:rFonts w:hint="eastAsia" w:ascii="仿宋_GB2312" w:hAnsi="宋体" w:eastAsia="仿宋_GB2312"/>
          <w:kern w:val="0"/>
          <w:szCs w:val="21"/>
          <w:highlight w:val="none"/>
          <w:lang w:val="en-US" w:eastAsia="zh-CN"/>
        </w:rPr>
        <w:t>昌吉州环境污染监控中心</w:t>
      </w:r>
      <w:r>
        <w:rPr>
          <w:rFonts w:hint="eastAsia" w:ascii="仿宋_GB2312" w:hAnsi="宋体" w:eastAsia="仿宋_GB2312"/>
          <w:kern w:val="0"/>
          <w:szCs w:val="21"/>
          <w:highlight w:val="none"/>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409.94</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7.2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7.2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5.66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5.66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390.61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390.61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6.48</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6.48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lang w:val="en-US" w:eastAsia="zh-CN"/>
              </w:rPr>
              <w:t>409.94</w:t>
            </w: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409.94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表5</w:t>
      </w:r>
    </w:p>
    <w:tbl>
      <w:tblPr>
        <w:tblStyle w:val="6"/>
        <w:tblW w:w="9214" w:type="dxa"/>
        <w:tblInd w:w="-34" w:type="dxa"/>
        <w:tblLayout w:type="fixed"/>
        <w:tblCellMar>
          <w:top w:w="0" w:type="dxa"/>
          <w:left w:w="108" w:type="dxa"/>
          <w:bottom w:w="0" w:type="dxa"/>
          <w:right w:w="108" w:type="dxa"/>
        </w:tblCellMar>
      </w:tblPr>
      <w:tblGrid>
        <w:gridCol w:w="552"/>
        <w:gridCol w:w="465"/>
        <w:gridCol w:w="460"/>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hint="default" w:ascii="仿宋_GB2312" w:hAnsi="宋体" w:eastAsia="仿宋_GB2312" w:cs="宋体"/>
                <w:color w:val="000000"/>
                <w:kern w:val="0"/>
                <w:sz w:val="24"/>
                <w:highlight w:val="none"/>
                <w:lang w:val="en-US" w:eastAsia="zh-CN"/>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cs="宋体"/>
                <w:color w:val="000000"/>
                <w:kern w:val="0"/>
                <w:sz w:val="24"/>
                <w:highlight w:val="none"/>
                <w:lang w:val="en-US" w:eastAsia="zh-CN"/>
              </w:rPr>
              <w:t>昌吉州环境污染监控中心</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5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6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208</w:t>
            </w:r>
          </w:p>
        </w:tc>
        <w:tc>
          <w:tcPr>
            <w:tcW w:w="46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208</w:t>
            </w:r>
          </w:p>
        </w:tc>
        <w:tc>
          <w:tcPr>
            <w:tcW w:w="46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w:t>
            </w: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208</w:t>
            </w:r>
          </w:p>
        </w:tc>
        <w:tc>
          <w:tcPr>
            <w:tcW w:w="46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w:t>
            </w:r>
          </w:p>
        </w:tc>
        <w:tc>
          <w:tcPr>
            <w:tcW w:w="46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05</w:t>
            </w:r>
          </w:p>
        </w:tc>
        <w:tc>
          <w:tcPr>
            <w:tcW w:w="251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210</w:t>
            </w:r>
          </w:p>
        </w:tc>
        <w:tc>
          <w:tcPr>
            <w:tcW w:w="46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5.66</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210</w:t>
            </w:r>
          </w:p>
        </w:tc>
        <w:tc>
          <w:tcPr>
            <w:tcW w:w="46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5.66</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210</w:t>
            </w:r>
          </w:p>
        </w:tc>
        <w:tc>
          <w:tcPr>
            <w:tcW w:w="46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46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251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4.28</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4.28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210</w:t>
            </w:r>
          </w:p>
        </w:tc>
        <w:tc>
          <w:tcPr>
            <w:tcW w:w="46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46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c>
          <w:tcPr>
            <w:tcW w:w="251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1.35</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210</w:t>
            </w:r>
          </w:p>
        </w:tc>
        <w:tc>
          <w:tcPr>
            <w:tcW w:w="46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46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99</w:t>
            </w:r>
          </w:p>
        </w:tc>
        <w:tc>
          <w:tcPr>
            <w:tcW w:w="251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0.03</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0.03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w:t>
            </w:r>
          </w:p>
        </w:tc>
        <w:tc>
          <w:tcPr>
            <w:tcW w:w="46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节能环保支出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w:t>
            </w:r>
          </w:p>
        </w:tc>
        <w:tc>
          <w:tcPr>
            <w:tcW w:w="46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污染防治</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c>
          <w:tcPr>
            <w:tcW w:w="1842"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w:t>
            </w:r>
          </w:p>
        </w:tc>
        <w:tc>
          <w:tcPr>
            <w:tcW w:w="46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c>
          <w:tcPr>
            <w:tcW w:w="46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99</w:t>
            </w:r>
          </w:p>
        </w:tc>
        <w:tc>
          <w:tcPr>
            <w:tcW w:w="251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其他污染防治支出</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w:t>
            </w:r>
          </w:p>
        </w:tc>
        <w:tc>
          <w:tcPr>
            <w:tcW w:w="46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污染减排</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302.61</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302.61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w:t>
            </w:r>
          </w:p>
        </w:tc>
        <w:tc>
          <w:tcPr>
            <w:tcW w:w="46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46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01</w:t>
            </w:r>
          </w:p>
        </w:tc>
        <w:tc>
          <w:tcPr>
            <w:tcW w:w="251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生态环境监测与信息</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302.61</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302.61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221</w:t>
            </w:r>
          </w:p>
        </w:tc>
        <w:tc>
          <w:tcPr>
            <w:tcW w:w="46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221</w:t>
            </w:r>
          </w:p>
        </w:tc>
        <w:tc>
          <w:tcPr>
            <w:tcW w:w="465"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46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221</w:t>
            </w:r>
          </w:p>
        </w:tc>
        <w:tc>
          <w:tcPr>
            <w:tcW w:w="465"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w:t>
            </w:r>
          </w:p>
        </w:tc>
        <w:tc>
          <w:tcPr>
            <w:tcW w:w="460"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01</w:t>
            </w:r>
          </w:p>
        </w:tc>
        <w:tc>
          <w:tcPr>
            <w:tcW w:w="251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住房公积金</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5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6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46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409.94</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321.94</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88</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val="en-US" w:eastAsia="zh-CN"/>
              </w:rPr>
              <w:t>昌吉州环境污染监控中心</w:t>
            </w:r>
            <w:r>
              <w:rPr>
                <w:rFonts w:hint="eastAsia" w:ascii="仿宋_GB2312" w:hAnsi="宋体" w:eastAsia="仿宋_GB2312"/>
                <w:kern w:val="0"/>
                <w:sz w:val="24"/>
                <w:highlight w:val="none"/>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highlight w:val="none"/>
                <w:lang w:val="en-US" w:eastAsia="zh-CN"/>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211.27</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20.15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20.15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6.61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6.61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1.65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1.65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17.10</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17.10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7.2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城职职工基本医疗保险缴费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4.28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4.28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1.35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0.22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0.22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6.48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246.24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246.24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10.67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10.67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2.68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2.68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邮电费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0.36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0.36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4.5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维修（护）费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26</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劳务费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0.12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28</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工会经费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0.85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0.85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0.77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0.77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0.4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0.4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321.94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311.27</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10.67</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6"/>
        <w:tblW w:w="9532" w:type="dxa"/>
        <w:tblInd w:w="-352" w:type="dxa"/>
        <w:tblLayout w:type="fixed"/>
        <w:tblCellMar>
          <w:top w:w="0" w:type="dxa"/>
          <w:left w:w="108" w:type="dxa"/>
          <w:bottom w:w="0" w:type="dxa"/>
          <w:right w:w="108" w:type="dxa"/>
        </w:tblCellMar>
      </w:tblPr>
      <w:tblGrid>
        <w:gridCol w:w="8"/>
        <w:gridCol w:w="483"/>
        <w:gridCol w:w="422"/>
        <w:gridCol w:w="421"/>
        <w:gridCol w:w="1028"/>
        <w:gridCol w:w="1349"/>
        <w:gridCol w:w="471"/>
        <w:gridCol w:w="168"/>
        <w:gridCol w:w="372"/>
        <w:gridCol w:w="623"/>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45"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42"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val="en-US" w:eastAsia="zh-CN"/>
              </w:rPr>
              <w:t>昌吉州环境污染监控中心</w:t>
            </w:r>
            <w:r>
              <w:rPr>
                <w:rFonts w:hint="eastAsia" w:ascii="仿宋_GB2312" w:hAnsi="宋体" w:eastAsia="仿宋_GB2312"/>
                <w:kern w:val="0"/>
                <w:sz w:val="24"/>
                <w:highlight w:val="none"/>
              </w:rPr>
              <w:t xml:space="preserve">  </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34"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102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349"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471"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40"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623"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91"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22"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21"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1028"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34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71"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4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23"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top"/>
          </w:tcPr>
          <w:p>
            <w:pPr>
              <w:widowControl/>
              <w:jc w:val="left"/>
              <w:rPr>
                <w:rFonts w:hint="default" w:ascii="仿宋_GB2312" w:hAnsi="宋体" w:eastAsia="仿宋_GB2312" w:cs="宋体"/>
                <w:b/>
                <w:color w:val="000000"/>
                <w:kern w:val="0"/>
                <w:sz w:val="18"/>
                <w:szCs w:val="18"/>
                <w:highlight w:val="none"/>
                <w:lang w:val="en-US" w:eastAsia="zh-CN"/>
              </w:rPr>
            </w:pPr>
            <w:r>
              <w:rPr>
                <w:rFonts w:hint="eastAsia" w:ascii="仿宋_GB2312" w:hAnsi="宋体" w:eastAsia="仿宋_GB2312" w:cs="宋体"/>
                <w:b/>
                <w:color w:val="000000"/>
                <w:kern w:val="0"/>
                <w:sz w:val="18"/>
                <w:szCs w:val="18"/>
                <w:highlight w:val="none"/>
                <w:lang w:val="en-US" w:eastAsia="zh-CN"/>
              </w:rPr>
              <w:t>211</w:t>
            </w:r>
          </w:p>
        </w:tc>
        <w:tc>
          <w:tcPr>
            <w:tcW w:w="422" w:type="dxa"/>
            <w:vAlign w:val="top"/>
          </w:tcPr>
          <w:p>
            <w:pPr>
              <w:widowControl/>
              <w:jc w:val="left"/>
              <w:rPr>
                <w:rFonts w:hint="eastAsia" w:ascii="仿宋_GB2312" w:hAnsi="宋体" w:eastAsia="仿宋_GB2312" w:cs="宋体"/>
                <w:b/>
                <w:color w:val="000000"/>
                <w:kern w:val="0"/>
                <w:sz w:val="18"/>
                <w:szCs w:val="18"/>
                <w:highlight w:val="none"/>
                <w:lang w:val="en-US" w:eastAsia="zh-CN"/>
              </w:rPr>
            </w:pPr>
          </w:p>
        </w:tc>
        <w:tc>
          <w:tcPr>
            <w:tcW w:w="421" w:type="dxa"/>
            <w:vAlign w:val="top"/>
          </w:tcPr>
          <w:p>
            <w:pPr>
              <w:widowControl/>
              <w:jc w:val="left"/>
              <w:rPr>
                <w:rFonts w:hint="eastAsia" w:ascii="仿宋_GB2312" w:hAnsi="宋体" w:eastAsia="仿宋_GB2312" w:cs="宋体"/>
                <w:b/>
                <w:color w:val="000000"/>
                <w:kern w:val="0"/>
                <w:sz w:val="18"/>
                <w:szCs w:val="18"/>
                <w:highlight w:val="none"/>
                <w:lang w:val="en-US" w:eastAsia="zh-CN"/>
              </w:rPr>
            </w:pPr>
          </w:p>
        </w:tc>
        <w:tc>
          <w:tcPr>
            <w:tcW w:w="1028" w:type="dxa"/>
          </w:tcPr>
          <w:p>
            <w:pPr>
              <w:widowControl/>
              <w:jc w:val="center"/>
              <w:outlineLvl w:val="1"/>
              <w:rPr>
                <w:rFonts w:hint="default" w:ascii="宋体" w:hAnsi="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节能环保支出</w:t>
            </w:r>
          </w:p>
        </w:tc>
        <w:tc>
          <w:tcPr>
            <w:tcW w:w="1349" w:type="dxa"/>
          </w:tcPr>
          <w:p>
            <w:pPr>
              <w:widowControl/>
              <w:jc w:val="center"/>
              <w:outlineLvl w:val="1"/>
              <w:rPr>
                <w:rFonts w:hint="eastAsia" w:ascii="仿宋_GB2312" w:hAnsi="宋体" w:eastAsia="仿宋_GB2312"/>
                <w:kern w:val="0"/>
                <w:sz w:val="18"/>
                <w:szCs w:val="18"/>
                <w:highlight w:val="none"/>
                <w:lang w:val="en-US" w:eastAsia="zh-CN"/>
              </w:rPr>
            </w:pPr>
          </w:p>
        </w:tc>
        <w:tc>
          <w:tcPr>
            <w:tcW w:w="471" w:type="dxa"/>
            <w:vAlign w:val="top"/>
          </w:tcPr>
          <w:p>
            <w:pPr>
              <w:widowControl/>
              <w:jc w:val="right"/>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88</w:t>
            </w: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88</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top"/>
          </w:tcPr>
          <w:p>
            <w:pPr>
              <w:widowControl/>
              <w:jc w:val="left"/>
              <w:rPr>
                <w:rFonts w:hint="default" w:ascii="仿宋_GB2312" w:hAnsi="宋体" w:eastAsia="仿宋_GB2312" w:cs="宋体"/>
                <w:b/>
                <w:color w:val="000000"/>
                <w:kern w:val="0"/>
                <w:sz w:val="18"/>
                <w:szCs w:val="18"/>
                <w:highlight w:val="none"/>
                <w:lang w:val="en-US" w:eastAsia="zh-CN"/>
              </w:rPr>
            </w:pPr>
            <w:r>
              <w:rPr>
                <w:rFonts w:hint="eastAsia" w:ascii="仿宋_GB2312" w:hAnsi="宋体" w:eastAsia="仿宋_GB2312" w:cs="宋体"/>
                <w:b/>
                <w:color w:val="000000"/>
                <w:kern w:val="0"/>
                <w:sz w:val="18"/>
                <w:szCs w:val="18"/>
                <w:highlight w:val="none"/>
                <w:lang w:val="en-US" w:eastAsia="zh-CN"/>
              </w:rPr>
              <w:t>211</w:t>
            </w:r>
          </w:p>
        </w:tc>
        <w:tc>
          <w:tcPr>
            <w:tcW w:w="422" w:type="dxa"/>
            <w:vAlign w:val="top"/>
          </w:tcPr>
          <w:p>
            <w:pPr>
              <w:widowControl/>
              <w:jc w:val="left"/>
              <w:rPr>
                <w:rFonts w:hint="default" w:ascii="仿宋_GB2312" w:hAnsi="宋体" w:eastAsia="仿宋_GB2312" w:cs="宋体"/>
                <w:b/>
                <w:color w:val="000000"/>
                <w:kern w:val="0"/>
                <w:sz w:val="18"/>
                <w:szCs w:val="18"/>
                <w:highlight w:val="none"/>
                <w:lang w:val="en-US" w:eastAsia="zh-CN"/>
              </w:rPr>
            </w:pPr>
            <w:r>
              <w:rPr>
                <w:rFonts w:hint="eastAsia" w:ascii="仿宋_GB2312" w:hAnsi="宋体" w:eastAsia="仿宋_GB2312" w:cs="宋体"/>
                <w:b/>
                <w:color w:val="000000"/>
                <w:kern w:val="0"/>
                <w:sz w:val="18"/>
                <w:szCs w:val="18"/>
                <w:highlight w:val="none"/>
                <w:lang w:val="en-US" w:eastAsia="zh-CN"/>
              </w:rPr>
              <w:t>03</w:t>
            </w:r>
          </w:p>
        </w:tc>
        <w:tc>
          <w:tcPr>
            <w:tcW w:w="421" w:type="dxa"/>
            <w:vAlign w:val="top"/>
          </w:tcPr>
          <w:p>
            <w:pPr>
              <w:widowControl/>
              <w:jc w:val="left"/>
              <w:rPr>
                <w:rFonts w:hint="eastAsia" w:ascii="仿宋_GB2312" w:hAnsi="宋体" w:eastAsia="仿宋_GB2312" w:cs="宋体"/>
                <w:b/>
                <w:color w:val="000000"/>
                <w:kern w:val="0"/>
                <w:sz w:val="18"/>
                <w:szCs w:val="18"/>
                <w:highlight w:val="none"/>
                <w:lang w:val="en-US" w:eastAsia="zh-CN"/>
              </w:rPr>
            </w:pPr>
          </w:p>
        </w:tc>
        <w:tc>
          <w:tcPr>
            <w:tcW w:w="1028" w:type="dxa"/>
          </w:tcPr>
          <w:p>
            <w:pPr>
              <w:widowControl/>
              <w:jc w:val="center"/>
              <w:outlineLvl w:val="1"/>
              <w:rPr>
                <w:rFonts w:hint="default" w:ascii="宋体" w:hAnsi="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污染防治</w:t>
            </w:r>
          </w:p>
        </w:tc>
        <w:tc>
          <w:tcPr>
            <w:tcW w:w="1349" w:type="dxa"/>
          </w:tcPr>
          <w:p>
            <w:pPr>
              <w:widowControl/>
              <w:jc w:val="center"/>
              <w:outlineLvl w:val="1"/>
              <w:rPr>
                <w:rFonts w:hint="eastAsia" w:ascii="仿宋_GB2312" w:hAnsi="宋体" w:eastAsia="仿宋_GB2312"/>
                <w:kern w:val="0"/>
                <w:sz w:val="18"/>
                <w:szCs w:val="18"/>
                <w:highlight w:val="none"/>
                <w:lang w:val="en-US" w:eastAsia="zh-CN"/>
              </w:rPr>
            </w:pPr>
          </w:p>
        </w:tc>
        <w:tc>
          <w:tcPr>
            <w:tcW w:w="471" w:type="dxa"/>
            <w:vAlign w:val="top"/>
          </w:tcPr>
          <w:p>
            <w:pPr>
              <w:widowControl/>
              <w:jc w:val="right"/>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88</w:t>
            </w: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88</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top"/>
          </w:tcPr>
          <w:p>
            <w:pPr>
              <w:widowControl/>
              <w:jc w:val="left"/>
              <w:rPr>
                <w:rFonts w:hint="default" w:ascii="仿宋_GB2312" w:hAnsi="宋体" w:eastAsia="仿宋_GB2312"/>
                <w:kern w:val="0"/>
                <w:sz w:val="18"/>
                <w:szCs w:val="18"/>
                <w:highlight w:val="none"/>
                <w:lang w:val="en-US" w:eastAsia="zh-CN"/>
              </w:rPr>
            </w:pPr>
            <w:r>
              <w:rPr>
                <w:rFonts w:hint="eastAsia" w:ascii="仿宋_GB2312" w:hAnsi="宋体" w:eastAsia="仿宋_GB2312" w:cs="宋体"/>
                <w:b/>
                <w:color w:val="000000"/>
                <w:kern w:val="0"/>
                <w:sz w:val="18"/>
                <w:szCs w:val="18"/>
                <w:highlight w:val="none"/>
                <w:lang w:val="en-US" w:eastAsia="zh-CN"/>
              </w:rPr>
              <w:t>211</w:t>
            </w:r>
          </w:p>
        </w:tc>
        <w:tc>
          <w:tcPr>
            <w:tcW w:w="422" w:type="dxa"/>
            <w:vAlign w:val="top"/>
          </w:tcPr>
          <w:p>
            <w:pPr>
              <w:widowControl/>
              <w:jc w:val="left"/>
              <w:rPr>
                <w:rFonts w:hint="default" w:ascii="仿宋_GB2312" w:hAnsi="宋体" w:eastAsia="仿宋_GB2312" w:cs="宋体"/>
                <w:b/>
                <w:color w:val="000000"/>
                <w:kern w:val="0"/>
                <w:sz w:val="18"/>
                <w:szCs w:val="18"/>
                <w:highlight w:val="none"/>
                <w:lang w:val="en-US" w:eastAsia="zh-CN"/>
              </w:rPr>
            </w:pPr>
            <w:r>
              <w:rPr>
                <w:rFonts w:hint="eastAsia" w:ascii="仿宋_GB2312" w:hAnsi="宋体" w:eastAsia="仿宋_GB2312" w:cs="宋体"/>
                <w:b/>
                <w:color w:val="000000"/>
                <w:kern w:val="0"/>
                <w:sz w:val="18"/>
                <w:szCs w:val="18"/>
                <w:highlight w:val="none"/>
                <w:lang w:val="en-US" w:eastAsia="zh-CN"/>
              </w:rPr>
              <w:t>03</w:t>
            </w:r>
          </w:p>
        </w:tc>
        <w:tc>
          <w:tcPr>
            <w:tcW w:w="421" w:type="dxa"/>
            <w:vAlign w:val="top"/>
          </w:tcPr>
          <w:p>
            <w:pPr>
              <w:widowControl/>
              <w:jc w:val="left"/>
              <w:rPr>
                <w:rFonts w:hint="default" w:ascii="仿宋_GB2312" w:hAnsi="宋体" w:eastAsia="仿宋_GB2312" w:cs="宋体"/>
                <w:b/>
                <w:color w:val="000000"/>
                <w:kern w:val="0"/>
                <w:sz w:val="18"/>
                <w:szCs w:val="18"/>
                <w:highlight w:val="none"/>
                <w:lang w:val="en-US" w:eastAsia="zh-CN"/>
              </w:rPr>
            </w:pPr>
            <w:r>
              <w:rPr>
                <w:rFonts w:hint="eastAsia" w:ascii="仿宋_GB2312" w:hAnsi="宋体" w:eastAsia="仿宋_GB2312" w:cs="宋体"/>
                <w:b/>
                <w:color w:val="000000"/>
                <w:kern w:val="0"/>
                <w:sz w:val="18"/>
                <w:szCs w:val="18"/>
                <w:highlight w:val="none"/>
                <w:lang w:val="en-US" w:eastAsia="zh-CN"/>
              </w:rPr>
              <w:t>99</w:t>
            </w:r>
          </w:p>
        </w:tc>
        <w:tc>
          <w:tcPr>
            <w:tcW w:w="1028" w:type="dxa"/>
          </w:tcPr>
          <w:p>
            <w:pPr>
              <w:widowControl/>
              <w:jc w:val="center"/>
              <w:outlineLvl w:val="1"/>
              <w:rPr>
                <w:rFonts w:hint="eastAsia" w:ascii="仿宋_GB2312" w:hAnsi="宋体" w:eastAsia="仿宋_GB2312" w:cs="宋体"/>
                <w:b/>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其他污染防治支出</w:t>
            </w:r>
          </w:p>
        </w:tc>
        <w:tc>
          <w:tcPr>
            <w:tcW w:w="1349"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智慧环保过保软件续保</w:t>
            </w:r>
          </w:p>
        </w:tc>
        <w:tc>
          <w:tcPr>
            <w:tcW w:w="471" w:type="dxa"/>
            <w:vAlign w:val="top"/>
          </w:tcPr>
          <w:p>
            <w:pPr>
              <w:widowControl/>
              <w:jc w:val="right"/>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lang w:val="en-US" w:eastAsia="zh-CN"/>
              </w:rPr>
              <w:t>3</w:t>
            </w: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3</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211</w:t>
            </w:r>
          </w:p>
        </w:tc>
        <w:tc>
          <w:tcPr>
            <w:tcW w:w="422" w:type="dxa"/>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03</w:t>
            </w:r>
          </w:p>
        </w:tc>
        <w:tc>
          <w:tcPr>
            <w:tcW w:w="421" w:type="dxa"/>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99</w:t>
            </w:r>
          </w:p>
        </w:tc>
        <w:tc>
          <w:tcPr>
            <w:tcW w:w="1028" w:type="dxa"/>
          </w:tcPr>
          <w:p>
            <w:pPr>
              <w:widowControl/>
              <w:jc w:val="center"/>
              <w:outlineLvl w:val="1"/>
              <w:rPr>
                <w:rFonts w:ascii="仿宋_GB2312" w:hAnsi="宋体" w:eastAsia="仿宋_GB2312"/>
                <w:kern w:val="0"/>
                <w:sz w:val="18"/>
                <w:szCs w:val="18"/>
                <w:highlight w:val="none"/>
              </w:rPr>
            </w:pPr>
            <w:r>
              <w:rPr>
                <w:rFonts w:hint="eastAsia" w:ascii="宋体" w:hAnsi="宋体" w:cs="宋体"/>
                <w:color w:val="000000"/>
                <w:kern w:val="0"/>
                <w:sz w:val="18"/>
                <w:szCs w:val="18"/>
                <w:highlight w:val="none"/>
                <w:lang w:val="en-US" w:eastAsia="zh-CN"/>
              </w:rPr>
              <w:t>其他污染防治支出</w:t>
            </w:r>
          </w:p>
        </w:tc>
        <w:tc>
          <w:tcPr>
            <w:tcW w:w="1349"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机关运行补助经费</w:t>
            </w:r>
          </w:p>
        </w:tc>
        <w:tc>
          <w:tcPr>
            <w:tcW w:w="471" w:type="dxa"/>
            <w:vAlign w:val="top"/>
          </w:tcPr>
          <w:p>
            <w:pPr>
              <w:widowControl/>
              <w:jc w:val="right"/>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lang w:val="en-US" w:eastAsia="zh-CN"/>
              </w:rPr>
              <w:t>40</w:t>
            </w: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40</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211</w:t>
            </w:r>
          </w:p>
        </w:tc>
        <w:tc>
          <w:tcPr>
            <w:tcW w:w="422" w:type="dxa"/>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03</w:t>
            </w:r>
          </w:p>
        </w:tc>
        <w:tc>
          <w:tcPr>
            <w:tcW w:w="421" w:type="dxa"/>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99</w:t>
            </w:r>
          </w:p>
        </w:tc>
        <w:tc>
          <w:tcPr>
            <w:tcW w:w="1028" w:type="dxa"/>
          </w:tcPr>
          <w:p>
            <w:pPr>
              <w:widowControl/>
              <w:jc w:val="center"/>
              <w:outlineLvl w:val="1"/>
              <w:rPr>
                <w:rFonts w:ascii="仿宋_GB2312" w:hAnsi="宋体" w:eastAsia="仿宋_GB2312"/>
                <w:kern w:val="0"/>
                <w:sz w:val="18"/>
                <w:szCs w:val="18"/>
                <w:highlight w:val="none"/>
              </w:rPr>
            </w:pPr>
            <w:r>
              <w:rPr>
                <w:rFonts w:hint="eastAsia" w:ascii="宋体" w:hAnsi="宋体" w:cs="宋体"/>
                <w:color w:val="000000"/>
                <w:kern w:val="0"/>
                <w:sz w:val="18"/>
                <w:szCs w:val="18"/>
                <w:highlight w:val="none"/>
                <w:lang w:val="en-US" w:eastAsia="zh-CN"/>
              </w:rPr>
              <w:t>其他污染防治支出</w:t>
            </w:r>
          </w:p>
        </w:tc>
        <w:tc>
          <w:tcPr>
            <w:tcW w:w="1349"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通信费、链路费</w:t>
            </w:r>
          </w:p>
        </w:tc>
        <w:tc>
          <w:tcPr>
            <w:tcW w:w="471" w:type="dxa"/>
            <w:vAlign w:val="top"/>
          </w:tcPr>
          <w:p>
            <w:pPr>
              <w:widowControl/>
              <w:jc w:val="right"/>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lang w:val="en-US" w:eastAsia="zh-CN"/>
              </w:rPr>
              <w:t>8</w:t>
            </w: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8</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211</w:t>
            </w:r>
          </w:p>
        </w:tc>
        <w:tc>
          <w:tcPr>
            <w:tcW w:w="422" w:type="dxa"/>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03</w:t>
            </w:r>
          </w:p>
        </w:tc>
        <w:tc>
          <w:tcPr>
            <w:tcW w:w="421" w:type="dxa"/>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99</w:t>
            </w:r>
          </w:p>
        </w:tc>
        <w:tc>
          <w:tcPr>
            <w:tcW w:w="1028" w:type="dxa"/>
            <w:vAlign w:val="top"/>
          </w:tcPr>
          <w:p>
            <w:pPr>
              <w:widowControl/>
              <w:jc w:val="center"/>
              <w:outlineLvl w:val="1"/>
              <w:rPr>
                <w:rFonts w:ascii="仿宋_GB2312" w:hAnsi="宋体" w:eastAsia="仿宋_GB2312"/>
                <w:kern w:val="0"/>
                <w:sz w:val="18"/>
                <w:szCs w:val="18"/>
                <w:highlight w:val="none"/>
              </w:rPr>
            </w:pPr>
            <w:r>
              <w:rPr>
                <w:rFonts w:hint="eastAsia" w:ascii="宋体" w:hAnsi="宋体" w:cs="宋体"/>
                <w:color w:val="000000"/>
                <w:kern w:val="0"/>
                <w:sz w:val="18"/>
                <w:szCs w:val="18"/>
                <w:highlight w:val="none"/>
                <w:lang w:val="en-US" w:eastAsia="zh-CN"/>
              </w:rPr>
              <w:t>其他污染防治支出</w:t>
            </w:r>
          </w:p>
        </w:tc>
        <w:tc>
          <w:tcPr>
            <w:tcW w:w="1349"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信息化运维及会议系统及音视频运维、电视电话会议链路费</w:t>
            </w:r>
          </w:p>
        </w:tc>
        <w:tc>
          <w:tcPr>
            <w:tcW w:w="471" w:type="dxa"/>
            <w:vAlign w:val="top"/>
          </w:tcPr>
          <w:p>
            <w:pPr>
              <w:widowControl/>
              <w:jc w:val="right"/>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lang w:val="en-US" w:eastAsia="zh-CN"/>
              </w:rPr>
              <w:t>17</w:t>
            </w: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17</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211</w:t>
            </w:r>
          </w:p>
        </w:tc>
        <w:tc>
          <w:tcPr>
            <w:tcW w:w="422" w:type="dxa"/>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03</w:t>
            </w:r>
          </w:p>
        </w:tc>
        <w:tc>
          <w:tcPr>
            <w:tcW w:w="421" w:type="dxa"/>
            <w:vAlign w:val="top"/>
          </w:tcPr>
          <w:p>
            <w:pPr>
              <w:widowControl/>
              <w:jc w:val="left"/>
              <w:rPr>
                <w:rFonts w:ascii="仿宋_GB2312" w:hAnsi="宋体" w:eastAsia="仿宋_GB2312"/>
                <w:kern w:val="0"/>
                <w:sz w:val="18"/>
                <w:szCs w:val="18"/>
                <w:highlight w:val="none"/>
              </w:rPr>
            </w:pPr>
            <w:r>
              <w:rPr>
                <w:rFonts w:hint="eastAsia" w:ascii="仿宋_GB2312" w:hAnsi="宋体" w:eastAsia="仿宋_GB2312" w:cs="宋体"/>
                <w:b/>
                <w:color w:val="000000"/>
                <w:kern w:val="0"/>
                <w:sz w:val="18"/>
                <w:szCs w:val="18"/>
                <w:highlight w:val="none"/>
                <w:lang w:val="en-US" w:eastAsia="zh-CN"/>
              </w:rPr>
              <w:t>99</w:t>
            </w:r>
          </w:p>
        </w:tc>
        <w:tc>
          <w:tcPr>
            <w:tcW w:w="1028" w:type="dxa"/>
            <w:vAlign w:val="top"/>
          </w:tcPr>
          <w:p>
            <w:pPr>
              <w:widowControl/>
              <w:jc w:val="center"/>
              <w:outlineLvl w:val="1"/>
              <w:rPr>
                <w:rFonts w:ascii="仿宋_GB2312" w:hAnsi="宋体" w:eastAsia="仿宋_GB2312"/>
                <w:kern w:val="0"/>
                <w:sz w:val="18"/>
                <w:szCs w:val="18"/>
                <w:highlight w:val="none"/>
              </w:rPr>
            </w:pPr>
            <w:r>
              <w:rPr>
                <w:rFonts w:hint="eastAsia" w:ascii="宋体" w:hAnsi="宋体" w:cs="宋体"/>
                <w:color w:val="000000"/>
                <w:kern w:val="0"/>
                <w:sz w:val="18"/>
                <w:szCs w:val="18"/>
                <w:highlight w:val="none"/>
                <w:lang w:val="en-US" w:eastAsia="zh-CN"/>
              </w:rPr>
              <w:t>其他污染防治支出</w:t>
            </w:r>
          </w:p>
        </w:tc>
        <w:tc>
          <w:tcPr>
            <w:tcW w:w="1349"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移动遥感监测设备运维</w:t>
            </w:r>
          </w:p>
        </w:tc>
        <w:tc>
          <w:tcPr>
            <w:tcW w:w="471" w:type="dxa"/>
            <w:vAlign w:val="top"/>
          </w:tcPr>
          <w:p>
            <w:pPr>
              <w:widowControl/>
              <w:jc w:val="right"/>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lang w:val="en-US" w:eastAsia="zh-CN"/>
              </w:rPr>
              <w:t>20</w:t>
            </w: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20</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tcPr>
          <w:p>
            <w:pPr>
              <w:widowControl/>
              <w:jc w:val="center"/>
              <w:outlineLvl w:val="1"/>
              <w:rPr>
                <w:rFonts w:ascii="仿宋_GB2312" w:hAnsi="宋体" w:eastAsia="仿宋_GB2312"/>
                <w:kern w:val="0"/>
                <w:sz w:val="32"/>
                <w:szCs w:val="32"/>
                <w:highlight w:val="none"/>
              </w:rPr>
            </w:pPr>
          </w:p>
        </w:tc>
        <w:tc>
          <w:tcPr>
            <w:tcW w:w="422" w:type="dxa"/>
          </w:tcPr>
          <w:p>
            <w:pPr>
              <w:widowControl/>
              <w:jc w:val="center"/>
              <w:outlineLvl w:val="1"/>
              <w:rPr>
                <w:rFonts w:ascii="仿宋_GB2312" w:hAnsi="宋体" w:eastAsia="仿宋_GB2312"/>
                <w:kern w:val="0"/>
                <w:sz w:val="32"/>
                <w:szCs w:val="32"/>
                <w:highlight w:val="none"/>
              </w:rPr>
            </w:pPr>
          </w:p>
        </w:tc>
        <w:tc>
          <w:tcPr>
            <w:tcW w:w="421" w:type="dxa"/>
          </w:tcPr>
          <w:p>
            <w:pPr>
              <w:widowControl/>
              <w:jc w:val="center"/>
              <w:outlineLvl w:val="1"/>
              <w:rPr>
                <w:rFonts w:ascii="仿宋_GB2312" w:hAnsi="宋体" w:eastAsia="仿宋_GB2312"/>
                <w:kern w:val="0"/>
                <w:sz w:val="32"/>
                <w:szCs w:val="32"/>
                <w:highlight w:val="none"/>
              </w:rPr>
            </w:pPr>
          </w:p>
        </w:tc>
        <w:tc>
          <w:tcPr>
            <w:tcW w:w="1028" w:type="dxa"/>
          </w:tcPr>
          <w:p>
            <w:pPr>
              <w:widowControl/>
              <w:jc w:val="center"/>
              <w:outlineLvl w:val="1"/>
              <w:rPr>
                <w:rFonts w:ascii="仿宋_GB2312" w:hAnsi="宋体" w:eastAsia="仿宋_GB2312"/>
                <w:kern w:val="0"/>
                <w:sz w:val="32"/>
                <w:szCs w:val="32"/>
                <w:highlight w:val="none"/>
              </w:rPr>
            </w:pPr>
          </w:p>
        </w:tc>
        <w:tc>
          <w:tcPr>
            <w:tcW w:w="1349" w:type="dxa"/>
          </w:tcPr>
          <w:p>
            <w:pPr>
              <w:widowControl/>
              <w:jc w:val="center"/>
              <w:outlineLvl w:val="1"/>
              <w:rPr>
                <w:rFonts w:ascii="仿宋_GB2312" w:hAnsi="宋体" w:eastAsia="仿宋_GB2312"/>
                <w:kern w:val="0"/>
                <w:sz w:val="32"/>
                <w:szCs w:val="32"/>
                <w:highlight w:val="none"/>
              </w:rPr>
            </w:pPr>
          </w:p>
        </w:tc>
        <w:tc>
          <w:tcPr>
            <w:tcW w:w="471" w:type="dxa"/>
          </w:tcPr>
          <w:p>
            <w:pPr>
              <w:widowControl/>
              <w:jc w:val="right"/>
              <w:outlineLvl w:val="1"/>
              <w:rPr>
                <w:rFonts w:ascii="仿宋_GB2312" w:hAnsi="宋体" w:eastAsia="仿宋_GB2312"/>
                <w:kern w:val="0"/>
                <w:sz w:val="32"/>
                <w:szCs w:val="32"/>
                <w:highlight w:val="none"/>
              </w:rPr>
            </w:pP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tcPr>
          <w:p>
            <w:pPr>
              <w:widowControl/>
              <w:jc w:val="center"/>
              <w:outlineLvl w:val="1"/>
              <w:rPr>
                <w:rFonts w:ascii="仿宋_GB2312" w:hAnsi="宋体" w:eastAsia="仿宋_GB2312"/>
                <w:kern w:val="0"/>
                <w:sz w:val="32"/>
                <w:szCs w:val="32"/>
                <w:highlight w:val="none"/>
              </w:rPr>
            </w:pPr>
          </w:p>
        </w:tc>
        <w:tc>
          <w:tcPr>
            <w:tcW w:w="422" w:type="dxa"/>
          </w:tcPr>
          <w:p>
            <w:pPr>
              <w:widowControl/>
              <w:jc w:val="center"/>
              <w:outlineLvl w:val="1"/>
              <w:rPr>
                <w:rFonts w:ascii="仿宋_GB2312" w:hAnsi="宋体" w:eastAsia="仿宋_GB2312"/>
                <w:kern w:val="0"/>
                <w:sz w:val="32"/>
                <w:szCs w:val="32"/>
                <w:highlight w:val="none"/>
              </w:rPr>
            </w:pPr>
          </w:p>
        </w:tc>
        <w:tc>
          <w:tcPr>
            <w:tcW w:w="421" w:type="dxa"/>
          </w:tcPr>
          <w:p>
            <w:pPr>
              <w:widowControl/>
              <w:jc w:val="center"/>
              <w:outlineLvl w:val="1"/>
              <w:rPr>
                <w:rFonts w:ascii="仿宋_GB2312" w:hAnsi="宋体" w:eastAsia="仿宋_GB2312"/>
                <w:kern w:val="0"/>
                <w:sz w:val="32"/>
                <w:szCs w:val="32"/>
                <w:highlight w:val="none"/>
              </w:rPr>
            </w:pPr>
          </w:p>
        </w:tc>
        <w:tc>
          <w:tcPr>
            <w:tcW w:w="1028" w:type="dxa"/>
          </w:tcPr>
          <w:p>
            <w:pPr>
              <w:widowControl/>
              <w:jc w:val="center"/>
              <w:outlineLvl w:val="1"/>
              <w:rPr>
                <w:rFonts w:ascii="仿宋_GB2312" w:hAnsi="宋体" w:eastAsia="仿宋_GB2312"/>
                <w:kern w:val="0"/>
                <w:sz w:val="32"/>
                <w:szCs w:val="32"/>
                <w:highlight w:val="none"/>
              </w:rPr>
            </w:pPr>
          </w:p>
        </w:tc>
        <w:tc>
          <w:tcPr>
            <w:tcW w:w="1349" w:type="dxa"/>
          </w:tcPr>
          <w:p>
            <w:pPr>
              <w:widowControl/>
              <w:jc w:val="center"/>
              <w:outlineLvl w:val="1"/>
              <w:rPr>
                <w:rFonts w:ascii="仿宋_GB2312" w:hAnsi="宋体" w:eastAsia="仿宋_GB2312"/>
                <w:kern w:val="0"/>
                <w:sz w:val="32"/>
                <w:szCs w:val="32"/>
                <w:highlight w:val="none"/>
              </w:rPr>
            </w:pPr>
          </w:p>
        </w:tc>
        <w:tc>
          <w:tcPr>
            <w:tcW w:w="471" w:type="dxa"/>
          </w:tcPr>
          <w:p>
            <w:pPr>
              <w:widowControl/>
              <w:jc w:val="right"/>
              <w:outlineLvl w:val="1"/>
              <w:rPr>
                <w:rFonts w:ascii="仿宋_GB2312" w:hAnsi="宋体" w:eastAsia="仿宋_GB2312"/>
                <w:kern w:val="0"/>
                <w:sz w:val="32"/>
                <w:szCs w:val="32"/>
                <w:highlight w:val="none"/>
              </w:rPr>
            </w:pP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tcPr>
          <w:p>
            <w:pPr>
              <w:widowControl/>
              <w:jc w:val="center"/>
              <w:outlineLvl w:val="1"/>
              <w:rPr>
                <w:rFonts w:ascii="仿宋_GB2312" w:hAnsi="宋体" w:eastAsia="仿宋_GB2312"/>
                <w:kern w:val="0"/>
                <w:sz w:val="32"/>
                <w:szCs w:val="32"/>
                <w:highlight w:val="none"/>
              </w:rPr>
            </w:pPr>
          </w:p>
        </w:tc>
        <w:tc>
          <w:tcPr>
            <w:tcW w:w="422" w:type="dxa"/>
          </w:tcPr>
          <w:p>
            <w:pPr>
              <w:widowControl/>
              <w:jc w:val="center"/>
              <w:outlineLvl w:val="1"/>
              <w:rPr>
                <w:rFonts w:ascii="仿宋_GB2312" w:hAnsi="宋体" w:eastAsia="仿宋_GB2312"/>
                <w:kern w:val="0"/>
                <w:sz w:val="32"/>
                <w:szCs w:val="32"/>
                <w:highlight w:val="none"/>
              </w:rPr>
            </w:pPr>
          </w:p>
        </w:tc>
        <w:tc>
          <w:tcPr>
            <w:tcW w:w="421" w:type="dxa"/>
          </w:tcPr>
          <w:p>
            <w:pPr>
              <w:widowControl/>
              <w:jc w:val="center"/>
              <w:outlineLvl w:val="1"/>
              <w:rPr>
                <w:rFonts w:ascii="仿宋_GB2312" w:hAnsi="宋体" w:eastAsia="仿宋_GB2312"/>
                <w:kern w:val="0"/>
                <w:sz w:val="32"/>
                <w:szCs w:val="32"/>
                <w:highlight w:val="none"/>
              </w:rPr>
            </w:pPr>
          </w:p>
        </w:tc>
        <w:tc>
          <w:tcPr>
            <w:tcW w:w="1028" w:type="dxa"/>
          </w:tcPr>
          <w:p>
            <w:pPr>
              <w:widowControl/>
              <w:jc w:val="center"/>
              <w:outlineLvl w:val="1"/>
              <w:rPr>
                <w:rFonts w:ascii="仿宋_GB2312" w:hAnsi="宋体" w:eastAsia="仿宋_GB2312"/>
                <w:kern w:val="0"/>
                <w:sz w:val="32"/>
                <w:szCs w:val="32"/>
                <w:highlight w:val="none"/>
              </w:rPr>
            </w:pPr>
          </w:p>
        </w:tc>
        <w:tc>
          <w:tcPr>
            <w:tcW w:w="1349" w:type="dxa"/>
          </w:tcPr>
          <w:p>
            <w:pPr>
              <w:widowControl/>
              <w:jc w:val="center"/>
              <w:outlineLvl w:val="1"/>
              <w:rPr>
                <w:rFonts w:ascii="仿宋_GB2312" w:hAnsi="宋体" w:eastAsia="仿宋_GB2312"/>
                <w:kern w:val="0"/>
                <w:sz w:val="32"/>
                <w:szCs w:val="32"/>
                <w:highlight w:val="none"/>
              </w:rPr>
            </w:pPr>
          </w:p>
        </w:tc>
        <w:tc>
          <w:tcPr>
            <w:tcW w:w="471" w:type="dxa"/>
          </w:tcPr>
          <w:p>
            <w:pPr>
              <w:widowControl/>
              <w:jc w:val="right"/>
              <w:outlineLvl w:val="1"/>
              <w:rPr>
                <w:rFonts w:ascii="仿宋_GB2312" w:hAnsi="宋体" w:eastAsia="仿宋_GB2312"/>
                <w:kern w:val="0"/>
                <w:sz w:val="32"/>
                <w:szCs w:val="32"/>
                <w:highlight w:val="none"/>
              </w:rPr>
            </w:pP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91" w:type="dxa"/>
            <w:gridSpan w:val="2"/>
          </w:tcPr>
          <w:p>
            <w:pPr>
              <w:widowControl/>
              <w:jc w:val="center"/>
              <w:outlineLvl w:val="1"/>
              <w:rPr>
                <w:rFonts w:ascii="仿宋_GB2312" w:hAnsi="宋体" w:eastAsia="仿宋_GB2312"/>
                <w:kern w:val="0"/>
                <w:sz w:val="32"/>
                <w:szCs w:val="32"/>
                <w:highlight w:val="none"/>
              </w:rPr>
            </w:pPr>
          </w:p>
        </w:tc>
        <w:tc>
          <w:tcPr>
            <w:tcW w:w="422" w:type="dxa"/>
          </w:tcPr>
          <w:p>
            <w:pPr>
              <w:widowControl/>
              <w:jc w:val="center"/>
              <w:outlineLvl w:val="1"/>
              <w:rPr>
                <w:rFonts w:ascii="仿宋_GB2312" w:hAnsi="宋体" w:eastAsia="仿宋_GB2312"/>
                <w:kern w:val="0"/>
                <w:sz w:val="32"/>
                <w:szCs w:val="32"/>
                <w:highlight w:val="none"/>
              </w:rPr>
            </w:pPr>
          </w:p>
        </w:tc>
        <w:tc>
          <w:tcPr>
            <w:tcW w:w="421" w:type="dxa"/>
          </w:tcPr>
          <w:p>
            <w:pPr>
              <w:widowControl/>
              <w:jc w:val="center"/>
              <w:outlineLvl w:val="1"/>
              <w:rPr>
                <w:rFonts w:ascii="仿宋_GB2312" w:hAnsi="宋体" w:eastAsia="仿宋_GB2312"/>
                <w:kern w:val="0"/>
                <w:sz w:val="32"/>
                <w:szCs w:val="32"/>
                <w:highlight w:val="none"/>
              </w:rPr>
            </w:pPr>
          </w:p>
        </w:tc>
        <w:tc>
          <w:tcPr>
            <w:tcW w:w="1028" w:type="dxa"/>
          </w:tcPr>
          <w:p>
            <w:pPr>
              <w:widowControl/>
              <w:jc w:val="center"/>
              <w:outlineLvl w:val="1"/>
              <w:rPr>
                <w:rFonts w:ascii="仿宋_GB2312" w:hAnsi="宋体" w:eastAsia="仿宋_GB2312"/>
                <w:kern w:val="0"/>
                <w:sz w:val="32"/>
                <w:szCs w:val="32"/>
                <w:highlight w:val="none"/>
              </w:rPr>
            </w:pPr>
          </w:p>
        </w:tc>
        <w:tc>
          <w:tcPr>
            <w:tcW w:w="1349" w:type="dxa"/>
          </w:tcPr>
          <w:p>
            <w:pPr>
              <w:widowControl/>
              <w:jc w:val="center"/>
              <w:outlineLvl w:val="1"/>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合计</w:t>
            </w:r>
          </w:p>
        </w:tc>
        <w:tc>
          <w:tcPr>
            <w:tcW w:w="471" w:type="dxa"/>
          </w:tcPr>
          <w:p>
            <w:pPr>
              <w:widowControl/>
              <w:jc w:val="right"/>
              <w:outlineLvl w:val="1"/>
              <w:rPr>
                <w:rFonts w:hint="default"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88</w:t>
            </w:r>
          </w:p>
        </w:tc>
        <w:tc>
          <w:tcPr>
            <w:tcW w:w="540" w:type="dxa"/>
            <w:gridSpan w:val="2"/>
          </w:tcPr>
          <w:p>
            <w:pPr>
              <w:widowControl/>
              <w:jc w:val="right"/>
              <w:outlineLvl w:val="1"/>
              <w:rPr>
                <w:rFonts w:ascii="仿宋_GB2312" w:hAnsi="宋体" w:eastAsia="仿宋_GB2312"/>
                <w:kern w:val="0"/>
                <w:sz w:val="32"/>
                <w:szCs w:val="32"/>
                <w:highlight w:val="none"/>
              </w:rPr>
            </w:pPr>
          </w:p>
        </w:tc>
        <w:tc>
          <w:tcPr>
            <w:tcW w:w="623" w:type="dxa"/>
          </w:tcPr>
          <w:p>
            <w:pPr>
              <w:widowControl/>
              <w:jc w:val="right"/>
              <w:outlineLvl w:val="1"/>
              <w:rPr>
                <w:rFonts w:hint="default"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88</w:t>
            </w:r>
          </w:p>
        </w:tc>
        <w:tc>
          <w:tcPr>
            <w:tcW w:w="652" w:type="dxa"/>
          </w:tcPr>
          <w:p>
            <w:pPr>
              <w:widowControl/>
              <w:jc w:val="right"/>
              <w:outlineLvl w:val="1"/>
              <w:rPr>
                <w:rFonts w:ascii="仿宋_GB2312" w:hAnsi="宋体" w:eastAsia="仿宋_GB2312"/>
                <w:kern w:val="0"/>
                <w:sz w:val="32"/>
                <w:szCs w:val="32"/>
                <w:highlight w:val="none"/>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昌吉州环境污染监控中心</w:t>
      </w:r>
      <w:r>
        <w:rPr>
          <w:rFonts w:hint="eastAsia" w:ascii="仿宋_GB2312" w:hAnsi="宋体" w:eastAsia="仿宋_GB2312"/>
          <w:kern w:val="0"/>
          <w:sz w:val="24"/>
          <w:highlight w:val="none"/>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24"/>
          <w:highlight w:val="none"/>
        </w:rPr>
      </w:pPr>
      <w:r>
        <w:rPr>
          <w:rFonts w:hint="eastAsia" w:ascii="仿宋_GB2312" w:hAnsi="宋体" w:eastAsia="仿宋_GB2312"/>
          <w:b/>
          <w:kern w:val="0"/>
          <w:sz w:val="28"/>
          <w:szCs w:val="32"/>
          <w:highlight w:val="none"/>
        </w:rPr>
        <w:t>备注：</w:t>
      </w:r>
      <w:r>
        <w:rPr>
          <w:rFonts w:hint="eastAsia" w:ascii="仿宋_GB2312" w:hAnsi="宋体" w:eastAsia="仿宋_GB2312" w:cs="宋体"/>
          <w:b/>
          <w:sz w:val="24"/>
          <w:highlight w:val="none"/>
        </w:rPr>
        <w:t>我单位无“三公”经费预算，此表为空表</w:t>
      </w:r>
      <w:r>
        <w:rPr>
          <w:rFonts w:hint="eastAsia" w:ascii="仿宋_GB2312" w:hAnsi="宋体" w:eastAsia="仿宋_GB2312"/>
          <w:b/>
          <w:kern w:val="0"/>
          <w:sz w:val="24"/>
          <w:highlight w:val="none"/>
        </w:rPr>
        <w:t>。</w:t>
      </w:r>
    </w:p>
    <w:p>
      <w:pPr>
        <w:widowControl/>
        <w:outlineLvl w:val="1"/>
        <w:rPr>
          <w:rFonts w:ascii="仿宋_GB2312" w:hAnsi="宋体" w:eastAsia="仿宋_GB2312"/>
          <w:kern w:val="0"/>
          <w:sz w:val="32"/>
          <w:szCs w:val="32"/>
          <w:highlight w:val="none"/>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highlight w:val="none"/>
        </w:rPr>
      </w:pPr>
      <w:r>
        <w:rPr>
          <w:rFonts w:hint="eastAsia" w:ascii="宋体" w:hAnsi="宋体" w:cs="宋体"/>
          <w:color w:val="000000"/>
          <w:kern w:val="0"/>
          <w:sz w:val="20"/>
          <w:szCs w:val="20"/>
          <w:highlight w:val="none"/>
          <w:lang w:bidi="ar"/>
        </w:rPr>
        <w:t>表9</w:t>
      </w:r>
    </w:p>
    <w:p>
      <w:pPr>
        <w:widowControl/>
        <w:spacing w:line="360" w:lineRule="exact"/>
        <w:ind w:firstLine="1280" w:firstLineChars="400"/>
        <w:jc w:val="center"/>
        <w:outlineLvl w:val="1"/>
        <w:rPr>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昌吉州环境污染监控中心</w:t>
      </w:r>
      <w:r>
        <w:rPr>
          <w:rFonts w:hint="eastAsia" w:ascii="仿宋_GB2312" w:hAnsi="宋体" w:eastAsia="仿宋_GB2312"/>
          <w:kern w:val="0"/>
          <w:sz w:val="24"/>
          <w:highlight w:val="none"/>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w:t>
      </w:r>
      <w:r>
        <w:rPr>
          <w:rFonts w:ascii="仿宋_GB2312" w:hAnsi="宋体" w:eastAsia="仿宋_GB2312"/>
          <w:b/>
          <w:kern w:val="0"/>
          <w:sz w:val="28"/>
          <w:szCs w:val="32"/>
          <w:highlight w:val="none"/>
        </w:rPr>
        <w:t>我单位无政府性基金预算，此表为空表</w:t>
      </w:r>
      <w:r>
        <w:rPr>
          <w:rFonts w:hint="eastAsia" w:ascii="仿宋_GB2312" w:hAnsi="宋体" w:eastAsia="仿宋_GB2312"/>
          <w:b/>
          <w:kern w:val="0"/>
          <w:sz w:val="28"/>
          <w:szCs w:val="32"/>
          <w:highlight w:val="none"/>
        </w:rPr>
        <w:t>。</w:t>
      </w:r>
    </w:p>
    <w:p>
      <w:pPr>
        <w:spacing w:line="560" w:lineRule="exact"/>
        <w:jc w:val="center"/>
        <w:rPr>
          <w:rFonts w:hint="eastAsia" w:ascii="黑体" w:hAnsi="黑体" w:eastAsia="黑体"/>
          <w:kern w:val="0"/>
          <w:sz w:val="32"/>
          <w:szCs w:val="32"/>
          <w:highlight w:val="none"/>
        </w:rPr>
      </w:pPr>
    </w:p>
    <w:p>
      <w:pPr>
        <w:spacing w:line="560" w:lineRule="exact"/>
        <w:jc w:val="center"/>
        <w:rPr>
          <w:rFonts w:hint="eastAsia" w:ascii="黑体" w:hAnsi="黑体" w:eastAsia="黑体"/>
          <w:kern w:val="0"/>
          <w:sz w:val="32"/>
          <w:szCs w:val="32"/>
          <w:highlight w:val="none"/>
        </w:rPr>
      </w:pPr>
    </w:p>
    <w:p>
      <w:pPr>
        <w:spacing w:line="560" w:lineRule="exact"/>
        <w:jc w:val="center"/>
        <w:rPr>
          <w:rFonts w:hint="eastAsia" w:ascii="黑体" w:hAnsi="黑体" w:eastAsia="黑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2022年部门（单位）预算情况说明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w:t>
      </w:r>
      <w:r>
        <w:rPr>
          <w:rFonts w:hint="eastAsia" w:ascii="楷体_GB2312" w:hAnsi="楷体_GB2312" w:eastAsia="楷体_GB2312" w:cs="楷体_GB2312"/>
          <w:b/>
          <w:kern w:val="0"/>
          <w:sz w:val="32"/>
          <w:szCs w:val="32"/>
          <w:highlight w:val="none"/>
          <w:lang w:val="en-US" w:eastAsia="zh-CN"/>
        </w:rPr>
        <w:t>昌吉州环境污染监控中心</w:t>
      </w:r>
      <w:r>
        <w:rPr>
          <w:rFonts w:hint="eastAsia" w:ascii="楷体_GB2312" w:hAnsi="楷体_GB2312" w:eastAsia="楷体_GB2312" w:cs="楷体_GB2312"/>
          <w:b/>
          <w:kern w:val="0"/>
          <w:sz w:val="32"/>
          <w:szCs w:val="32"/>
          <w:highlight w:val="none"/>
        </w:rPr>
        <w:t xml:space="preserve"> 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w:t>
      </w:r>
      <w:r>
        <w:rPr>
          <w:rFonts w:hint="eastAsia" w:ascii="仿宋_GB2312" w:hAnsi="宋体" w:eastAsia="仿宋_GB2312" w:cs="宋体"/>
          <w:kern w:val="0"/>
          <w:sz w:val="32"/>
          <w:szCs w:val="32"/>
          <w:highlight w:val="none"/>
          <w:lang w:val="en-US" w:eastAsia="zh-CN"/>
        </w:rPr>
        <w:t>昌吉州环境污染监控中心</w:t>
      </w:r>
      <w:r>
        <w:rPr>
          <w:rFonts w:hint="eastAsia" w:ascii="仿宋_GB2312" w:hAnsi="宋体" w:eastAsia="仿宋_GB2312" w:cs="宋体"/>
          <w:kern w:val="0"/>
          <w:sz w:val="32"/>
          <w:szCs w:val="32"/>
          <w:highlight w:val="none"/>
        </w:rPr>
        <w:t xml:space="preserve">  2022年所有收入和支出均纳入部门（单位）预算管理。收支总预算</w:t>
      </w:r>
      <w:r>
        <w:rPr>
          <w:rFonts w:hint="eastAsia" w:ascii="仿宋_GB2312" w:hAnsi="宋体" w:eastAsia="仿宋_GB2312" w:cs="宋体"/>
          <w:kern w:val="0"/>
          <w:sz w:val="32"/>
          <w:szCs w:val="32"/>
          <w:highlight w:val="none"/>
          <w:lang w:val="en-US" w:eastAsia="zh-CN"/>
        </w:rPr>
        <w:t>414.94</w:t>
      </w:r>
      <w:r>
        <w:rPr>
          <w:rFonts w:hint="eastAsia" w:ascii="仿宋_GB2312" w:hAnsi="宋体" w:eastAsia="仿宋_GB2312" w:cs="宋体"/>
          <w:kern w:val="0"/>
          <w:sz w:val="32"/>
          <w:szCs w:val="32"/>
          <w:highlight w:val="none"/>
        </w:rPr>
        <w:t>万元。</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收入预算包括：一般公共预算</w:t>
      </w:r>
      <w:r>
        <w:rPr>
          <w:rFonts w:hint="eastAsia" w:ascii="仿宋_GB2312" w:hAnsi="宋体" w:eastAsia="仿宋_GB2312" w:cs="宋体"/>
          <w:kern w:val="0"/>
          <w:sz w:val="32"/>
          <w:szCs w:val="32"/>
          <w:highlight w:val="none"/>
          <w:lang w:val="en-US" w:eastAsia="zh-CN"/>
        </w:rPr>
        <w:t>409.94万元，</w:t>
      </w:r>
      <w:r>
        <w:rPr>
          <w:rFonts w:hint="eastAsia" w:ascii="仿宋_GB2312" w:hAnsi="宋体" w:eastAsia="仿宋_GB2312" w:cs="宋体"/>
          <w:kern w:val="0"/>
          <w:sz w:val="32"/>
          <w:szCs w:val="32"/>
          <w:highlight w:val="none"/>
        </w:rPr>
        <w:t>单位其他资金收入</w:t>
      </w:r>
      <w:r>
        <w:rPr>
          <w:rFonts w:hint="eastAsia" w:ascii="仿宋_GB2312" w:hAnsi="宋体" w:eastAsia="仿宋_GB2312" w:cs="宋体"/>
          <w:kern w:val="0"/>
          <w:sz w:val="32"/>
          <w:szCs w:val="32"/>
          <w:highlight w:val="none"/>
          <w:lang w:val="en-US" w:eastAsia="zh-CN"/>
        </w:rPr>
        <w:t>5万元.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w:t>
      </w:r>
      <w:r>
        <w:rPr>
          <w:rFonts w:hint="eastAsia" w:ascii="仿宋_GB2312" w:hAnsi="宋体" w:eastAsia="仿宋_GB2312" w:cs="宋体"/>
          <w:kern w:val="0"/>
          <w:sz w:val="32"/>
          <w:szCs w:val="32"/>
          <w:highlight w:val="none"/>
          <w:lang w:val="en-US" w:eastAsia="zh-CN"/>
        </w:rPr>
        <w:t>7.2万元</w:t>
      </w:r>
      <w:r>
        <w:rPr>
          <w:rFonts w:hint="eastAsia" w:ascii="仿宋_GB2312" w:hAnsi="宋体" w:eastAsia="仿宋_GB2312" w:cs="宋体"/>
          <w:kern w:val="0"/>
          <w:sz w:val="32"/>
          <w:szCs w:val="32"/>
          <w:highlight w:val="none"/>
        </w:rPr>
        <w:t>、医疗卫生健康支出</w:t>
      </w:r>
      <w:r>
        <w:rPr>
          <w:rFonts w:hint="eastAsia" w:ascii="仿宋_GB2312" w:hAnsi="宋体" w:eastAsia="仿宋_GB2312" w:cs="宋体"/>
          <w:kern w:val="0"/>
          <w:sz w:val="32"/>
          <w:szCs w:val="32"/>
          <w:highlight w:val="none"/>
          <w:lang w:val="en-US" w:eastAsia="zh-CN"/>
        </w:rPr>
        <w:t>5.66万元</w:t>
      </w:r>
      <w:r>
        <w:rPr>
          <w:rFonts w:hint="eastAsia" w:ascii="仿宋_GB2312" w:hAnsi="宋体" w:eastAsia="仿宋_GB2312" w:cs="宋体"/>
          <w:kern w:val="0"/>
          <w:sz w:val="32"/>
          <w:szCs w:val="32"/>
          <w:highlight w:val="none"/>
        </w:rPr>
        <w:t>、节能环保支出</w:t>
      </w:r>
      <w:r>
        <w:rPr>
          <w:rFonts w:hint="eastAsia" w:ascii="仿宋_GB2312" w:hAnsi="宋体" w:eastAsia="仿宋_GB2312" w:cs="宋体"/>
          <w:kern w:val="0"/>
          <w:sz w:val="32"/>
          <w:szCs w:val="32"/>
          <w:highlight w:val="none"/>
          <w:lang w:val="en-US" w:eastAsia="zh-CN"/>
        </w:rPr>
        <w:t>395.61万元</w:t>
      </w:r>
      <w:r>
        <w:rPr>
          <w:rFonts w:hint="eastAsia" w:ascii="仿宋_GB2312" w:hAnsi="宋体" w:eastAsia="仿宋_GB2312" w:cs="宋体"/>
          <w:kern w:val="0"/>
          <w:sz w:val="32"/>
          <w:szCs w:val="32"/>
          <w:highlight w:val="none"/>
        </w:rPr>
        <w:t>、住房保障支出</w:t>
      </w:r>
      <w:r>
        <w:rPr>
          <w:rFonts w:hint="eastAsia" w:ascii="仿宋_GB2312" w:hAnsi="宋体" w:eastAsia="仿宋_GB2312" w:cs="宋体"/>
          <w:kern w:val="0"/>
          <w:sz w:val="32"/>
          <w:szCs w:val="32"/>
          <w:highlight w:val="none"/>
          <w:lang w:val="en-US" w:eastAsia="zh-CN"/>
        </w:rPr>
        <w:t>6.48万元。</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w:t>
      </w:r>
      <w:r>
        <w:rPr>
          <w:rFonts w:hint="eastAsia" w:ascii="楷体_GB2312" w:hAnsi="楷体_GB2312" w:eastAsia="楷体_GB2312" w:cs="楷体_GB2312"/>
          <w:b/>
          <w:bCs/>
          <w:kern w:val="0"/>
          <w:sz w:val="32"/>
          <w:szCs w:val="32"/>
          <w:highlight w:val="none"/>
          <w:lang w:val="en-US" w:eastAsia="zh-CN"/>
        </w:rPr>
        <w:t>昌吉州环境污染监控中心</w:t>
      </w:r>
      <w:r>
        <w:rPr>
          <w:rFonts w:hint="eastAsia" w:ascii="楷体_GB2312" w:hAnsi="楷体_GB2312" w:eastAsia="楷体_GB2312" w:cs="楷体_GB2312"/>
          <w:b/>
          <w:bCs/>
          <w:kern w:val="0"/>
          <w:sz w:val="32"/>
          <w:szCs w:val="32"/>
          <w:highlight w:val="none"/>
        </w:rPr>
        <w:t>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昌吉州环境污染监控中心</w:t>
      </w:r>
      <w:r>
        <w:rPr>
          <w:rFonts w:hint="eastAsia" w:ascii="仿宋_GB2312" w:hAnsi="宋体" w:eastAsia="仿宋_GB2312" w:cs="宋体"/>
          <w:kern w:val="0"/>
          <w:sz w:val="32"/>
          <w:szCs w:val="32"/>
          <w:highlight w:val="none"/>
        </w:rPr>
        <w:t>收入预算</w:t>
      </w:r>
      <w:r>
        <w:rPr>
          <w:rFonts w:hint="eastAsia" w:ascii="仿宋_GB2312" w:hAnsi="宋体" w:eastAsia="仿宋_GB2312" w:cs="宋体"/>
          <w:kern w:val="0"/>
          <w:sz w:val="32"/>
          <w:szCs w:val="32"/>
          <w:highlight w:val="none"/>
          <w:lang w:val="en-US" w:eastAsia="zh-CN"/>
        </w:rPr>
        <w:t>414.94</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409.94</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98.8</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23.4</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5.4</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2022年项目资金减少。</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单位其他资金收入</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1.2</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上年州财政未将单位其他资金收入纳入上年预算。</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w:t>
      </w:r>
      <w:r>
        <w:rPr>
          <w:rFonts w:hint="eastAsia" w:ascii="楷体_GB2312" w:hAnsi="楷体_GB2312" w:eastAsia="楷体_GB2312" w:cs="楷体_GB2312"/>
          <w:b/>
          <w:bCs/>
          <w:kern w:val="0"/>
          <w:sz w:val="32"/>
          <w:szCs w:val="32"/>
          <w:highlight w:val="none"/>
          <w:lang w:val="en-US" w:eastAsia="zh-CN"/>
        </w:rPr>
        <w:t>昌吉州环境污染监控中心</w:t>
      </w:r>
      <w:r>
        <w:rPr>
          <w:rFonts w:hint="eastAsia" w:ascii="楷体_GB2312" w:hAnsi="楷体_GB2312" w:eastAsia="楷体_GB2312" w:cs="楷体_GB2312"/>
          <w:b/>
          <w:bCs/>
          <w:kern w:val="0"/>
          <w:sz w:val="32"/>
          <w:szCs w:val="32"/>
          <w:highlight w:val="none"/>
        </w:rPr>
        <w:t>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昌吉州环境污染监控中心</w:t>
      </w:r>
      <w:r>
        <w:rPr>
          <w:rFonts w:hint="eastAsia" w:ascii="仿宋_GB2312" w:hAnsi="宋体" w:eastAsia="仿宋_GB2312" w:cs="宋体"/>
          <w:kern w:val="0"/>
          <w:sz w:val="32"/>
          <w:szCs w:val="32"/>
          <w:highlight w:val="none"/>
        </w:rPr>
        <w:t>2022年支出预算</w:t>
      </w:r>
      <w:r>
        <w:rPr>
          <w:rFonts w:hint="eastAsia" w:ascii="仿宋_GB2312" w:hAnsi="宋体" w:eastAsia="仿宋_GB2312" w:cs="宋体"/>
          <w:kern w:val="0"/>
          <w:sz w:val="32"/>
          <w:szCs w:val="32"/>
          <w:highlight w:val="none"/>
          <w:lang w:val="en-US" w:eastAsia="zh-CN"/>
        </w:rPr>
        <w:t>414.94万元</w:t>
      </w:r>
      <w:r>
        <w:rPr>
          <w:rFonts w:hint="eastAsia" w:ascii="仿宋_GB2312" w:hAnsi="宋体" w:eastAsia="仿宋_GB2312" w:cs="宋体"/>
          <w:kern w:val="0"/>
          <w:sz w:val="32"/>
          <w:szCs w:val="32"/>
          <w:highlight w:val="none"/>
        </w:rPr>
        <w:t>，其中：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color w:val="auto"/>
          <w:kern w:val="0"/>
          <w:sz w:val="32"/>
          <w:szCs w:val="32"/>
          <w:highlight w:val="none"/>
          <w:lang w:val="en-US" w:eastAsia="zh-CN"/>
        </w:rPr>
        <w:t>326.94</w:t>
      </w:r>
      <w:r>
        <w:rPr>
          <w:rFonts w:hint="eastAsia" w:ascii="仿宋_GB2312" w:hAnsi="宋体" w:eastAsia="仿宋_GB2312" w:cs="宋体"/>
          <w:color w:val="auto"/>
          <w:kern w:val="0"/>
          <w:sz w:val="32"/>
          <w:szCs w:val="32"/>
          <w:highlight w:val="none"/>
        </w:rPr>
        <w:t>万元，占</w:t>
      </w:r>
      <w:r>
        <w:rPr>
          <w:rFonts w:hint="eastAsia" w:ascii="仿宋_GB2312" w:hAnsi="宋体" w:eastAsia="仿宋_GB2312" w:cs="宋体"/>
          <w:color w:val="auto"/>
          <w:kern w:val="0"/>
          <w:sz w:val="32"/>
          <w:szCs w:val="32"/>
          <w:highlight w:val="none"/>
          <w:lang w:val="en-US" w:eastAsia="zh-CN"/>
        </w:rPr>
        <w:t>78.79</w:t>
      </w:r>
      <w:r>
        <w:rPr>
          <w:rFonts w:hint="eastAsia" w:ascii="仿宋_GB2312" w:hAnsi="宋体" w:eastAsia="仿宋_GB2312" w:cs="宋体"/>
          <w:color w:val="auto"/>
          <w:kern w:val="0"/>
          <w:sz w:val="32"/>
          <w:szCs w:val="32"/>
          <w:highlight w:val="none"/>
        </w:rPr>
        <w:t>%，比上年预算</w:t>
      </w:r>
      <w:r>
        <w:rPr>
          <w:rFonts w:hint="eastAsia" w:ascii="仿宋_GB2312" w:hAnsi="宋体" w:eastAsia="仿宋_GB2312" w:cs="宋体"/>
          <w:color w:val="auto"/>
          <w:kern w:val="0"/>
          <w:sz w:val="32"/>
          <w:szCs w:val="32"/>
          <w:highlight w:val="none"/>
          <w:lang w:val="en-US" w:eastAsia="zh-CN"/>
        </w:rPr>
        <w:t>增加8.6</w:t>
      </w:r>
      <w:r>
        <w:rPr>
          <w:rFonts w:hint="eastAsia" w:ascii="仿宋_GB2312" w:hAnsi="宋体" w:eastAsia="仿宋_GB2312" w:cs="宋体"/>
          <w:color w:val="auto"/>
          <w:kern w:val="0"/>
          <w:sz w:val="32"/>
          <w:szCs w:val="32"/>
          <w:highlight w:val="none"/>
        </w:rPr>
        <w:t>万元，</w:t>
      </w:r>
      <w:r>
        <w:rPr>
          <w:rFonts w:hint="eastAsia" w:ascii="仿宋_GB2312" w:hAnsi="宋体" w:eastAsia="仿宋_GB2312" w:cs="宋体"/>
          <w:color w:val="auto"/>
          <w:kern w:val="0"/>
          <w:sz w:val="32"/>
          <w:szCs w:val="32"/>
          <w:highlight w:val="none"/>
          <w:lang w:val="en-US" w:eastAsia="zh-CN"/>
        </w:rPr>
        <w:t>增长2.7</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2022年社保基数调整，导致人员经费增加</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88</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21.21</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27</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color w:val="auto"/>
          <w:kern w:val="0"/>
          <w:sz w:val="32"/>
          <w:szCs w:val="32"/>
          <w:highlight w:val="none"/>
          <w:lang w:val="en-US" w:eastAsia="zh-CN"/>
        </w:rPr>
        <w:t>23.48</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上年度项目部分内容已完成</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w:t>
      </w:r>
      <w:r>
        <w:rPr>
          <w:rFonts w:hint="eastAsia" w:ascii="楷体_GB2312" w:hAnsi="楷体_GB2312" w:eastAsia="楷体_GB2312" w:cs="楷体_GB2312"/>
          <w:b/>
          <w:bCs/>
          <w:kern w:val="0"/>
          <w:sz w:val="32"/>
          <w:szCs w:val="32"/>
          <w:highlight w:val="none"/>
          <w:lang w:val="en-US" w:eastAsia="zh-CN"/>
        </w:rPr>
        <w:t>昌吉州环境污染监控中心</w:t>
      </w:r>
      <w:r>
        <w:rPr>
          <w:rFonts w:hint="eastAsia" w:ascii="楷体_GB2312" w:hAnsi="楷体_GB2312" w:eastAsia="楷体_GB2312" w:cs="楷体_GB2312"/>
          <w:b/>
          <w:bCs/>
          <w:kern w:val="0"/>
          <w:sz w:val="32"/>
          <w:szCs w:val="32"/>
          <w:highlight w:val="none"/>
        </w:rPr>
        <w:t>2022年财政拨款收支预算情况的总体说明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409.94</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409.94</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一般公共预算支出包括：社会保障和就业支出</w:t>
      </w:r>
      <w:r>
        <w:rPr>
          <w:rFonts w:hint="eastAsia" w:ascii="仿宋_GB2312" w:hAnsi="宋体" w:eastAsia="仿宋_GB2312" w:cs="宋体"/>
          <w:kern w:val="0"/>
          <w:sz w:val="32"/>
          <w:szCs w:val="32"/>
          <w:highlight w:val="none"/>
          <w:lang w:val="en-US" w:eastAsia="zh-CN"/>
        </w:rPr>
        <w:t>7.2万元，主要用于机关事业单位基本养老保险缴费支出；</w:t>
      </w:r>
      <w:r>
        <w:rPr>
          <w:rFonts w:hint="eastAsia" w:ascii="仿宋_GB2312" w:hAnsi="宋体" w:eastAsia="仿宋_GB2312" w:cs="宋体"/>
          <w:kern w:val="0"/>
          <w:sz w:val="32"/>
          <w:szCs w:val="32"/>
          <w:highlight w:val="none"/>
        </w:rPr>
        <w:t>医疗卫生健康支出</w:t>
      </w:r>
      <w:r>
        <w:rPr>
          <w:rFonts w:hint="eastAsia" w:ascii="仿宋_GB2312" w:hAnsi="宋体" w:eastAsia="仿宋_GB2312" w:cs="宋体"/>
          <w:kern w:val="0"/>
          <w:sz w:val="32"/>
          <w:szCs w:val="32"/>
          <w:highlight w:val="none"/>
          <w:lang w:val="en-US" w:eastAsia="zh-CN"/>
        </w:rPr>
        <w:t>5.66万元，主要用于事业单位医疗和公务员医疗补助；</w:t>
      </w:r>
      <w:r>
        <w:rPr>
          <w:rFonts w:hint="eastAsia" w:ascii="仿宋_GB2312" w:hAnsi="宋体" w:eastAsia="仿宋_GB2312" w:cs="宋体"/>
          <w:kern w:val="0"/>
          <w:sz w:val="32"/>
          <w:szCs w:val="32"/>
          <w:highlight w:val="none"/>
        </w:rPr>
        <w:t>节能环保支出</w:t>
      </w:r>
      <w:r>
        <w:rPr>
          <w:rFonts w:hint="eastAsia" w:ascii="仿宋_GB2312" w:hAnsi="宋体" w:eastAsia="仿宋_GB2312" w:cs="宋体"/>
          <w:color w:val="auto"/>
          <w:kern w:val="0"/>
          <w:sz w:val="32"/>
          <w:szCs w:val="32"/>
          <w:highlight w:val="none"/>
          <w:lang w:val="en-US" w:eastAsia="zh-CN"/>
        </w:rPr>
        <w:t>390.61</w:t>
      </w:r>
      <w:r>
        <w:rPr>
          <w:rFonts w:hint="eastAsia" w:ascii="仿宋_GB2312" w:hAnsi="宋体" w:eastAsia="仿宋_GB2312" w:cs="宋体"/>
          <w:kern w:val="0"/>
          <w:sz w:val="32"/>
          <w:szCs w:val="32"/>
          <w:highlight w:val="none"/>
          <w:lang w:val="en-US" w:eastAsia="zh-CN"/>
        </w:rPr>
        <w:t>万元，主要用于日常公用经费及项目支出；</w:t>
      </w:r>
      <w:r>
        <w:rPr>
          <w:rFonts w:hint="eastAsia" w:ascii="仿宋_GB2312" w:hAnsi="宋体" w:eastAsia="仿宋_GB2312" w:cs="宋体"/>
          <w:kern w:val="0"/>
          <w:sz w:val="32"/>
          <w:szCs w:val="32"/>
          <w:highlight w:val="none"/>
        </w:rPr>
        <w:t>住房保障支出</w:t>
      </w:r>
      <w:r>
        <w:rPr>
          <w:rFonts w:hint="eastAsia" w:ascii="仿宋_GB2312" w:hAnsi="宋体" w:eastAsia="仿宋_GB2312" w:cs="宋体"/>
          <w:kern w:val="0"/>
          <w:sz w:val="32"/>
          <w:szCs w:val="32"/>
          <w:highlight w:val="none"/>
          <w:lang w:val="en-US" w:eastAsia="zh-CN"/>
        </w:rPr>
        <w:t>6.48万元，主要用于事业单位住房公积金缴费支出。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val="en-US" w:eastAsia="zh-CN"/>
        </w:rPr>
        <w:t>昌吉州环境污染监控中心</w:t>
      </w:r>
      <w:r>
        <w:rPr>
          <w:rFonts w:hint="eastAsia" w:ascii="楷体_GB2312" w:hAnsi="楷体_GB2312" w:eastAsia="楷体_GB2312" w:cs="楷体_GB2312"/>
          <w:b/>
          <w:bCs/>
          <w:spacing w:val="-6"/>
          <w:kern w:val="0"/>
          <w:sz w:val="32"/>
          <w:szCs w:val="32"/>
          <w:highlight w:val="none"/>
        </w:rPr>
        <w:t>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仿宋_GB2312" w:eastAsia="仿宋_GB2312" w:cs="仿宋_GB2312"/>
          <w:kern w:val="0"/>
          <w:sz w:val="32"/>
          <w:szCs w:val="32"/>
          <w:highlight w:val="none"/>
          <w:lang w:val="en-US" w:eastAsia="zh-CN"/>
        </w:rPr>
        <w:t>昌吉州环境污染监控中心</w:t>
      </w:r>
      <w:r>
        <w:rPr>
          <w:rFonts w:hint="eastAsia" w:ascii="仿宋_GB2312" w:hAnsi="仿宋_GB2312" w:eastAsia="仿宋_GB2312" w:cs="仿宋_GB2312"/>
          <w:kern w:val="0"/>
          <w:sz w:val="32"/>
          <w:szCs w:val="32"/>
          <w:highlight w:val="none"/>
        </w:rPr>
        <w:t>2022年一般公共预算拨款合计</w:t>
      </w:r>
      <w:r>
        <w:rPr>
          <w:rFonts w:hint="eastAsia" w:ascii="仿宋_GB2312" w:hAnsi="仿宋_GB2312" w:eastAsia="仿宋_GB2312" w:cs="仿宋_GB2312"/>
          <w:kern w:val="0"/>
          <w:sz w:val="32"/>
          <w:szCs w:val="32"/>
          <w:highlight w:val="none"/>
          <w:lang w:val="en-US" w:eastAsia="zh-CN"/>
        </w:rPr>
        <w:t>409.94</w:t>
      </w:r>
      <w:r>
        <w:rPr>
          <w:rFonts w:hint="eastAsia" w:ascii="仿宋_GB2312" w:hAnsi="仿宋_GB2312" w:eastAsia="仿宋_GB2312" w:cs="仿宋_GB2312"/>
          <w:kern w:val="0"/>
          <w:sz w:val="32"/>
          <w:szCs w:val="32"/>
          <w:highlight w:val="none"/>
        </w:rPr>
        <w:t>万元，其中：基本支出</w:t>
      </w:r>
      <w:r>
        <w:rPr>
          <w:rFonts w:hint="eastAsia" w:ascii="仿宋_GB2312" w:hAnsi="宋体" w:eastAsia="仿宋_GB2312" w:cs="宋体"/>
          <w:color w:val="auto"/>
          <w:kern w:val="0"/>
          <w:sz w:val="32"/>
          <w:szCs w:val="32"/>
          <w:highlight w:val="none"/>
          <w:lang w:val="en-US" w:eastAsia="zh-CN"/>
        </w:rPr>
        <w:t>321.94</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3.6</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1.13</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2022年社保基数调整，导致人员经费增加</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项目支出</w:t>
      </w:r>
      <w:r>
        <w:rPr>
          <w:rFonts w:hint="eastAsia" w:ascii="仿宋_GB2312" w:hAnsi="宋体" w:eastAsia="仿宋_GB2312" w:cs="宋体"/>
          <w:kern w:val="0"/>
          <w:sz w:val="32"/>
          <w:szCs w:val="32"/>
          <w:highlight w:val="none"/>
          <w:lang w:val="en-US" w:eastAsia="zh-CN"/>
        </w:rPr>
        <w:t>88</w:t>
      </w:r>
      <w:r>
        <w:rPr>
          <w:rFonts w:hint="eastAsia" w:ascii="仿宋_GB2312" w:hAnsi="仿宋_GB2312" w:eastAsia="仿宋_GB2312" w:cs="仿宋_GB2312"/>
          <w:kern w:val="0"/>
          <w:sz w:val="32"/>
          <w:szCs w:val="32"/>
          <w:highlight w:val="none"/>
        </w:rPr>
        <w:t>万元，比上年预算减少</w:t>
      </w:r>
      <w:r>
        <w:rPr>
          <w:rFonts w:hint="eastAsia" w:ascii="仿宋_GB2312" w:hAnsi="宋体" w:eastAsia="仿宋_GB2312" w:cs="宋体"/>
          <w:kern w:val="0"/>
          <w:sz w:val="32"/>
          <w:szCs w:val="32"/>
          <w:highlight w:val="none"/>
          <w:lang w:val="en-US" w:eastAsia="zh-CN"/>
        </w:rPr>
        <w:t>27</w:t>
      </w:r>
      <w:r>
        <w:rPr>
          <w:rFonts w:hint="eastAsia" w:ascii="仿宋_GB2312" w:hAnsi="仿宋_GB2312" w:eastAsia="仿宋_GB2312" w:cs="仿宋_GB2312"/>
          <w:kern w:val="0"/>
          <w:sz w:val="32"/>
          <w:szCs w:val="32"/>
          <w:highlight w:val="none"/>
        </w:rPr>
        <w:t>万元，下降</w:t>
      </w:r>
      <w:r>
        <w:rPr>
          <w:rFonts w:hint="eastAsia" w:ascii="仿宋_GB2312" w:hAnsi="宋体" w:eastAsia="仿宋_GB2312" w:cs="宋体"/>
          <w:kern w:val="0"/>
          <w:sz w:val="32"/>
          <w:szCs w:val="32"/>
          <w:highlight w:val="none"/>
          <w:lang w:val="en-US" w:eastAsia="zh-CN"/>
        </w:rPr>
        <w:t>23.48</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上年度项目部分内容已完成</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1.社会保障和就业支出</w:t>
      </w:r>
      <w:r>
        <w:rPr>
          <w:rFonts w:hint="eastAsia" w:ascii="仿宋_GB2312" w:hAnsi="仿宋_GB2312" w:eastAsia="仿宋_GB2312" w:cs="仿宋_GB2312"/>
          <w:sz w:val="32"/>
          <w:szCs w:val="32"/>
          <w:highlight w:val="none"/>
          <w:lang w:val="en-US" w:eastAsia="zh-CN"/>
        </w:rPr>
        <w:t>7.2万元，占1.76%</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sz w:val="32"/>
          <w:szCs w:val="32"/>
          <w:highlight w:val="none"/>
          <w:lang w:val="en-US" w:eastAsia="zh-CN"/>
        </w:rPr>
        <w:t>卫生健康支出5.66万元，</w:t>
      </w:r>
      <w:r>
        <w:rPr>
          <w:rFonts w:hint="eastAsia" w:ascii="仿宋_GB2312" w:hAnsi="仿宋_GB2312" w:eastAsia="仿宋_GB2312" w:cs="仿宋_GB2312"/>
          <w:kern w:val="0"/>
          <w:sz w:val="32"/>
          <w:szCs w:val="32"/>
          <w:highlight w:val="none"/>
        </w:rPr>
        <w:t>占</w:t>
      </w:r>
      <w:r>
        <w:rPr>
          <w:rFonts w:hint="eastAsia" w:ascii="仿宋_GB2312" w:hAnsi="宋体" w:eastAsia="仿宋_GB2312" w:cs="宋体"/>
          <w:kern w:val="0"/>
          <w:sz w:val="32"/>
          <w:szCs w:val="32"/>
          <w:highlight w:val="none"/>
          <w:lang w:val="en-US" w:eastAsia="zh-CN"/>
        </w:rPr>
        <w:t>1.38</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3.节能环保支出395.61万元，</w:t>
      </w:r>
      <w:r>
        <w:rPr>
          <w:rFonts w:hint="eastAsia" w:ascii="仿宋_GB2312" w:hAnsi="仿宋_GB2312" w:eastAsia="仿宋_GB2312" w:cs="仿宋_GB2312"/>
          <w:kern w:val="0"/>
          <w:sz w:val="32"/>
          <w:szCs w:val="32"/>
          <w:highlight w:val="none"/>
        </w:rPr>
        <w:t>占</w:t>
      </w:r>
      <w:r>
        <w:rPr>
          <w:rFonts w:hint="eastAsia" w:ascii="仿宋_GB2312" w:hAnsi="宋体" w:eastAsia="仿宋_GB2312" w:cs="宋体"/>
          <w:kern w:val="0"/>
          <w:sz w:val="32"/>
          <w:szCs w:val="32"/>
          <w:highlight w:val="none"/>
          <w:lang w:val="en-US" w:eastAsia="zh-CN"/>
        </w:rPr>
        <w:t>96.5</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lang w:val="en-US" w:eastAsia="zh-CN"/>
        </w:rPr>
        <w:t>4.住房保障支出6.48万元，</w:t>
      </w:r>
      <w:r>
        <w:rPr>
          <w:rFonts w:hint="eastAsia" w:ascii="仿宋_GB2312" w:hAnsi="仿宋_GB2312" w:eastAsia="仿宋_GB2312" w:cs="仿宋_GB2312"/>
          <w:kern w:val="0"/>
          <w:sz w:val="32"/>
          <w:szCs w:val="32"/>
          <w:highlight w:val="none"/>
        </w:rPr>
        <w:t>占</w:t>
      </w:r>
      <w:r>
        <w:rPr>
          <w:rFonts w:hint="eastAsia" w:ascii="仿宋_GB2312" w:hAnsi="宋体" w:eastAsia="仿宋_GB2312" w:cs="宋体"/>
          <w:kern w:val="0"/>
          <w:sz w:val="32"/>
          <w:szCs w:val="32"/>
          <w:highlight w:val="none"/>
          <w:lang w:val="en-US" w:eastAsia="zh-CN"/>
        </w:rPr>
        <w:t>1.58</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kern w:val="0"/>
          <w:sz w:val="32"/>
          <w:szCs w:val="32"/>
          <w:highlight w:val="none"/>
          <w:lang w:val="en-US" w:eastAsia="zh-CN"/>
        </w:rPr>
        <w:t>社会保障和就业支出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行政事业单位养老支出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机关事业单位基本养老保险缴费支出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7.2</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0.88</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13.92</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2022年缴费基数调整。</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kern w:val="0"/>
          <w:sz w:val="32"/>
          <w:szCs w:val="32"/>
          <w:highlight w:val="none"/>
          <w:lang w:val="en-US" w:eastAsia="zh-CN"/>
        </w:rPr>
        <w:t>卫生健康支出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行政事业单位医疗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事业单位医疗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4.28</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0.53</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14.13</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2022年缴费基数调整。</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卫生健康支出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行政事业单位医疗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公务员医疗补助</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1.35</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0.17</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14.41</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2022年缴费基数调整。</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卫生健康支出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行政事业单位医疗</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其他行政事业单位医疗支出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0.03</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0.15</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83.33</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2022年缴费基数调整。</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节能环保支出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污染防治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其他污染防治支出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88</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27</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23.48</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2021年部分项目已完成</w:t>
      </w:r>
      <w:r>
        <w:rPr>
          <w:rFonts w:hint="eastAsia" w:ascii="仿宋_GB2312" w:hAnsi="宋体" w:eastAsia="仿宋_GB2312" w:cs="宋体"/>
          <w:kern w:val="0"/>
          <w:sz w:val="32"/>
          <w:szCs w:val="32"/>
          <w:highlight w:val="none"/>
          <w:lang w:val="en-US" w:eastAsia="zh-CN"/>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节能环保支出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污染减排</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生态环境监测与信息</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307.61</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val="en-US" w:eastAsia="zh-CN"/>
        </w:rPr>
        <w:t>增加0.71</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0.23</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上年州财政未将单位其他资金收入纳入上年预算。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住房保障支出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住房改革支出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住房公积金</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6.48</w:t>
      </w:r>
      <w:r>
        <w:rPr>
          <w:rFonts w:hint="eastAsia" w:ascii="仿宋_GB2312" w:hAnsi="仿宋_GB2312" w:eastAsia="仿宋_GB2312" w:cs="仿宋_GB2312"/>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6.48</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上年住房公积金未列入此款类项中。</w:t>
      </w:r>
    </w:p>
    <w:p>
      <w:pPr>
        <w:spacing w:line="560" w:lineRule="exact"/>
        <w:ind w:firstLine="640" w:firstLineChars="200"/>
        <w:rPr>
          <w:rFonts w:hint="default" w:ascii="仿宋_GB2312" w:hAnsi="仿宋_GB2312" w:eastAsia="仿宋_GB2312" w:cs="仿宋_GB2312"/>
          <w:kern w:val="0"/>
          <w:sz w:val="32"/>
          <w:szCs w:val="32"/>
          <w:highlight w:val="none"/>
          <w:lang w:val="en-US"/>
        </w:rPr>
      </w:pP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val="en-US" w:eastAsia="zh-CN"/>
        </w:rPr>
        <w:t>昌吉州环境污染监控中心</w:t>
      </w:r>
      <w:r>
        <w:rPr>
          <w:rFonts w:hint="eastAsia" w:ascii="楷体_GB2312" w:hAnsi="楷体_GB2312" w:eastAsia="楷体_GB2312" w:cs="楷体_GB2312"/>
          <w:b/>
          <w:bCs/>
          <w:spacing w:val="-6"/>
          <w:kern w:val="0"/>
          <w:sz w:val="32"/>
          <w:szCs w:val="32"/>
          <w:highlight w:val="none"/>
        </w:rPr>
        <w:t>2022年一般公共预算基本支出情况说明</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lang w:val="en-US" w:eastAsia="zh-CN"/>
        </w:rPr>
        <w:t>昌吉州环境污染监控中心</w:t>
      </w:r>
      <w:r>
        <w:rPr>
          <w:rFonts w:hint="eastAsia" w:ascii="仿宋_GB2312" w:hAnsi="宋体" w:eastAsia="仿宋_GB2312" w:cs="宋体"/>
          <w:spacing w:val="-6"/>
          <w:kern w:val="0"/>
          <w:sz w:val="32"/>
          <w:szCs w:val="32"/>
          <w:highlight w:val="none"/>
        </w:rPr>
        <w:t>2022年一般公共预算基本支出</w:t>
      </w:r>
      <w:r>
        <w:rPr>
          <w:rFonts w:hint="eastAsia" w:ascii="仿宋_GB2312" w:hAnsi="宋体" w:eastAsia="仿宋_GB2312" w:cs="宋体"/>
          <w:spacing w:val="-6"/>
          <w:kern w:val="0"/>
          <w:sz w:val="32"/>
          <w:szCs w:val="32"/>
          <w:highlight w:val="none"/>
          <w:lang w:val="en-US" w:eastAsia="zh-CN"/>
        </w:rPr>
        <w:t>321.94</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311.27</w:t>
      </w:r>
      <w:r>
        <w:rPr>
          <w:rFonts w:hint="eastAsia" w:ascii="仿宋_GB2312" w:hAnsi="宋体" w:eastAsia="仿宋_GB2312" w:cs="宋体"/>
          <w:kern w:val="0"/>
          <w:sz w:val="32"/>
          <w:szCs w:val="32"/>
          <w:highlight w:val="none"/>
        </w:rPr>
        <w:t>万元，主要包括：基本工资、津贴补贴、奖金、绩效工资、机关事业单位基本养老保险缴费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职工基本医疗保险缴费、公务员医疗补助缴费、其他社会保障缴费、住房公积金、其他工资福利支出</w:t>
      </w:r>
      <w:r>
        <w:rPr>
          <w:rFonts w:hint="eastAsia" w:ascii="仿宋_GB2312" w:hAnsi="宋体" w:eastAsia="仿宋_GB2312" w:cs="宋体"/>
          <w:kern w:val="0"/>
          <w:sz w:val="32"/>
          <w:szCs w:val="32"/>
          <w:highlight w:val="none"/>
          <w:lang w:eastAsia="zh-CN"/>
        </w:rPr>
        <w:t>。</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10.67</w:t>
      </w:r>
      <w:r>
        <w:rPr>
          <w:rFonts w:hint="eastAsia" w:ascii="仿宋_GB2312" w:hAnsi="宋体" w:eastAsia="仿宋_GB2312" w:cs="宋体"/>
          <w:kern w:val="0"/>
          <w:sz w:val="32"/>
          <w:szCs w:val="32"/>
          <w:highlight w:val="none"/>
        </w:rPr>
        <w:t>万元，主要包括：办公费、邮电费、差旅费、维修（护）费、劳务费、工会经</w:t>
      </w:r>
      <w:r>
        <w:rPr>
          <w:rFonts w:hint="eastAsia" w:ascii="仿宋_GB2312" w:hAnsi="宋体" w:eastAsia="仿宋_GB2312" w:cs="宋体"/>
          <w:kern w:val="0"/>
          <w:sz w:val="32"/>
          <w:szCs w:val="32"/>
          <w:highlight w:val="none"/>
          <w:lang w:val="en-US" w:eastAsia="zh-CN"/>
        </w:rPr>
        <w:t>费</w:t>
      </w:r>
      <w:r>
        <w:rPr>
          <w:rFonts w:hint="eastAsia" w:ascii="仿宋_GB2312" w:hAnsi="宋体" w:eastAsia="仿宋_GB2312" w:cs="宋体"/>
          <w:kern w:val="0"/>
          <w:sz w:val="32"/>
          <w:szCs w:val="32"/>
          <w:highlight w:val="none"/>
        </w:rPr>
        <w:t>、福利费、其他商品和服务支出</w:t>
      </w:r>
      <w:r>
        <w:rPr>
          <w:rFonts w:hint="eastAsia" w:ascii="仿宋_GB2312" w:hAnsi="宋体" w:eastAsia="仿宋_GB2312" w:cs="宋体"/>
          <w:kern w:val="0"/>
          <w:sz w:val="32"/>
          <w:szCs w:val="32"/>
          <w:highlight w:val="none"/>
          <w:lang w:val="en-US" w:eastAsia="zh-CN"/>
        </w:rPr>
        <w:t>。</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bCs/>
          <w:spacing w:val="-6"/>
          <w:kern w:val="0"/>
          <w:sz w:val="32"/>
          <w:szCs w:val="32"/>
          <w:highlight w:val="none"/>
          <w:lang w:val="en-US" w:eastAsia="zh-CN"/>
        </w:rPr>
        <w:t>昌吉州环境污染监控中心</w:t>
      </w:r>
      <w:r>
        <w:rPr>
          <w:rFonts w:hint="eastAsia" w:ascii="楷体_GB2312" w:hAnsi="楷体_GB2312" w:eastAsia="楷体_GB2312" w:cs="楷体_GB2312"/>
          <w:b/>
          <w:bCs/>
          <w:spacing w:val="-6"/>
          <w:kern w:val="0"/>
          <w:sz w:val="32"/>
          <w:szCs w:val="32"/>
          <w:highlight w:val="none"/>
        </w:rPr>
        <w:t>2022年一般公共预算项目支出情况说明</w:t>
      </w:r>
    </w:p>
    <w:p>
      <w:pPr>
        <w:spacing w:line="560" w:lineRule="exact"/>
        <w:ind w:firstLine="643" w:firstLineChars="200"/>
        <w:rPr>
          <w:rFonts w:hint="eastAsia" w:ascii="仿宋_GB2312" w:hAnsi="黑体" w:eastAsia="仿宋_GB2312"/>
          <w:b/>
          <w:sz w:val="32"/>
          <w:szCs w:val="32"/>
          <w:highlight w:val="none"/>
        </w:rPr>
      </w:pPr>
      <w:r>
        <w:rPr>
          <w:rFonts w:hint="eastAsia" w:ascii="仿宋_GB2312" w:hAnsi="黑体" w:eastAsia="仿宋_GB2312"/>
          <w:b/>
          <w:sz w:val="32"/>
          <w:szCs w:val="32"/>
          <w:highlight w:val="none"/>
        </w:rPr>
        <w:t>情况一：（项目支出、专项业务费按下列内容说明）</w:t>
      </w:r>
    </w:p>
    <w:p>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1.项目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信息化运维及</w:t>
      </w:r>
      <w:r>
        <w:rPr>
          <w:rFonts w:hint="eastAsia" w:ascii="仿宋_GB2312" w:hAnsi="宋体" w:eastAsia="仿宋_GB2312" w:cs="宋体"/>
          <w:kern w:val="0"/>
          <w:sz w:val="32"/>
          <w:szCs w:val="32"/>
          <w:highlight w:val="none"/>
        </w:rPr>
        <w:t>会议系统及音视频运维、电视电话会议链路费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污染物在线监控（监测）系统数据传输标准》（HJ212-2017）；《关于进一步做好重点排污单位污染源自动监测设施建设及自行监测监管工作的通知》（昌州环发〔2020〕39号）；《水污染源在线监测系统运行技术规范》（HJ355-2019）；《水污染源在线监测系统数据有效性判别技术规范》（HJ356-2019）《计算机信息系统安全保护等级划分准则》、《涉及国家秘密的计算机信息系统分级保护管理办法》</w:t>
      </w:r>
      <w:r>
        <w:rPr>
          <w:rFonts w:hint="eastAsia" w:ascii="仿宋_GB2312" w:hAnsi="黑体" w:eastAsia="仿宋_GB2312"/>
          <w:sz w:val="32"/>
          <w:szCs w:val="32"/>
          <w:highlight w:val="none"/>
          <w:lang w:eastAsia="zh-CN"/>
        </w:rPr>
        <w:t>；</w:t>
      </w:r>
      <w:r>
        <w:rPr>
          <w:rFonts w:hint="eastAsia" w:ascii="仿宋_GB2312" w:hAnsi="宋体" w:eastAsia="仿宋_GB2312" w:cs="宋体"/>
          <w:kern w:val="0"/>
          <w:sz w:val="32"/>
          <w:szCs w:val="32"/>
          <w:highlight w:val="none"/>
        </w:rPr>
        <w:t>《优化营商环境条例》、</w:t>
      </w:r>
      <w:r>
        <w:rPr>
          <w:rFonts w:hint="eastAsia" w:ascii="仿宋_GB2312" w:hAnsi="宋体" w:eastAsia="仿宋_GB2312" w:cs="宋体"/>
          <w:kern w:val="0"/>
          <w:sz w:val="32"/>
          <w:szCs w:val="32"/>
          <w:highlight w:val="none"/>
          <w:lang w:val="en-US" w:eastAsia="zh-CN"/>
        </w:rPr>
        <w:t>做好</w:t>
      </w:r>
      <w:r>
        <w:rPr>
          <w:rFonts w:hint="eastAsia" w:ascii="仿宋_GB2312" w:hAnsi="宋体" w:eastAsia="仿宋_GB2312" w:cs="宋体"/>
          <w:kern w:val="0"/>
          <w:sz w:val="32"/>
          <w:szCs w:val="32"/>
          <w:highlight w:val="none"/>
        </w:rPr>
        <w:t>基层减负和疫情防控</w:t>
      </w:r>
      <w:r>
        <w:rPr>
          <w:rFonts w:hint="eastAsia" w:ascii="仿宋_GB2312" w:hAnsi="宋体" w:eastAsia="仿宋_GB2312" w:cs="宋体"/>
          <w:kern w:val="0"/>
          <w:sz w:val="32"/>
          <w:szCs w:val="32"/>
          <w:highlight w:val="none"/>
          <w:lang w:val="en-US" w:eastAsia="zh-CN"/>
        </w:rPr>
        <w:t>工作。</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17万元</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：昌吉州环境污染监控中心</w:t>
      </w:r>
    </w:p>
    <w:p>
      <w:pPr>
        <w:spacing w:line="560" w:lineRule="exact"/>
        <w:ind w:firstLine="640" w:firstLineChars="200"/>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：1.机房软硬件运维（含州电子政务办涉及我单位需管理部分的软硬件）。2.视频点位运维。视频监控点位共计16个点位。3.网络及链路运维、信息化系统网络故障排查维护。4.电脑终端日常维护</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.入侵检测、漏洞扫描、网络审计等网络安全设施</w:t>
      </w:r>
      <w:r>
        <w:rPr>
          <w:rFonts w:hint="eastAsia" w:ascii="仿宋_GB2312" w:hAnsi="黑体" w:eastAsia="仿宋_GB2312"/>
          <w:sz w:val="32"/>
          <w:szCs w:val="32"/>
          <w:highlight w:val="none"/>
          <w:lang w:val="en-US" w:eastAsia="zh-CN"/>
        </w:rPr>
        <w:t>日常运维</w:t>
      </w:r>
      <w:r>
        <w:rPr>
          <w:rFonts w:hint="eastAsia" w:ascii="仿宋_GB2312" w:hAnsi="黑体" w:eastAsia="仿宋_GB2312"/>
          <w:sz w:val="32"/>
          <w:szCs w:val="32"/>
          <w:highlight w:val="none"/>
        </w:rPr>
        <w:t>，加强本级网络安全防护。1-5项17万/年</w:t>
      </w:r>
      <w:r>
        <w:rPr>
          <w:rFonts w:hint="eastAsia" w:ascii="仿宋_GB2312" w:hAnsi="黑体" w:eastAsia="仿宋_GB2312"/>
          <w:sz w:val="32"/>
          <w:szCs w:val="32"/>
          <w:highlight w:val="none"/>
          <w:lang w:eastAsia="zh-CN"/>
        </w:rPr>
        <w:t>。</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：智慧环保过保软件续保</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根据《国务院办公厅转发环境保护部十二五主要污染物总量减排考核办法的通知》国办发（2013）4号，要求将污染源自动监测数据传输有效率纳入国家考核范围之内。</w:t>
      </w:r>
    </w:p>
    <w:p>
      <w:pPr>
        <w:spacing w:line="560" w:lineRule="exact"/>
        <w:ind w:firstLine="640" w:firstLineChars="200"/>
        <w:rPr>
          <w:rFonts w:hint="default"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3万元</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昌吉州环境污染监控中心</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：软件系统运维。</w:t>
      </w:r>
      <w:r>
        <w:rPr>
          <w:rFonts w:hint="eastAsia" w:ascii="仿宋_GB2312" w:hAnsi="宋体" w:eastAsia="仿宋_GB2312" w:cs="宋体"/>
          <w:kern w:val="0"/>
          <w:sz w:val="32"/>
          <w:szCs w:val="32"/>
          <w:highlight w:val="none"/>
        </w:rPr>
        <w:t>1：“智慧环保”系列软件中，其中环境空气质量信息发布系统web网页版和污染源在线监管系统；2：协助昌吉州环境保护主管部门对重点污染源自动监控体系监管，昌吉州环境应急指挥中心建设和日常管理，为昌吉州环境保护管理工作提供技术支持和咨询服务。</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3.项目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移动遥感监测设备运维</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自治州打赢蓝天保卫战三年行动计划（2018-2020年）》（昌州政发〔2018〕165号）和《昌吉州柴油货车污染治理攻坚战行动实施方案》要求加大对高排放车辆的监督抽测频次，通过路检路查方式加强对高排放车辆的监管力度。“十四五”生态环境保护总体规划布局，加强机动车尾气排放控制和环境监管，是昌吉州未来生态环境保护工作的重中之重。</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20万元</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：昌吉州环境污染监控中心</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：20万元用于2次以上的遥感检测设备常规保养、保障设备正常运行。年底对遥感监测设备进行检定，保证监测数据的准确性和有效性。</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p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4.项目名称:通信费、链路费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w:t>
      </w:r>
      <w:r>
        <w:rPr>
          <w:rFonts w:hint="eastAsia" w:ascii="仿宋_GB2312" w:hAnsi="黑体" w:eastAsia="仿宋_GB2312"/>
          <w:sz w:val="32"/>
          <w:szCs w:val="32"/>
          <w:highlight w:val="none"/>
          <w:lang w:val="en-US" w:eastAsia="zh-CN"/>
        </w:rPr>
        <w:t>依据：</w:t>
      </w:r>
      <w:r>
        <w:rPr>
          <w:rFonts w:hint="eastAsia" w:ascii="仿宋_GB2312" w:hAnsi="黑体" w:eastAsia="仿宋_GB2312"/>
          <w:sz w:val="32"/>
          <w:szCs w:val="32"/>
          <w:highlight w:val="none"/>
        </w:rPr>
        <w:t>《污染物在线监控（监测）系统数据传输标准》（HJ212-2017）</w:t>
      </w:r>
      <w:r>
        <w:rPr>
          <w:rFonts w:hint="eastAsia" w:ascii="仿宋_GB2312" w:hAnsi="黑体" w:eastAsia="仿宋_GB2312"/>
          <w:sz w:val="32"/>
          <w:szCs w:val="32"/>
          <w:highlight w:val="none"/>
          <w:lang w:eastAsia="zh-CN"/>
        </w:rPr>
        <w:t>，</w:t>
      </w:r>
      <w:r>
        <w:rPr>
          <w:rFonts w:hint="eastAsia" w:ascii="仿宋_GB2312" w:hAnsi="宋体" w:eastAsia="仿宋_GB2312" w:cs="宋体"/>
          <w:kern w:val="0"/>
          <w:sz w:val="32"/>
          <w:szCs w:val="32"/>
          <w:highlight w:val="none"/>
        </w:rPr>
        <w:t>《优化营商环境条例》、</w:t>
      </w:r>
      <w:r>
        <w:rPr>
          <w:rFonts w:hint="eastAsia" w:ascii="仿宋_GB2312" w:hAnsi="宋体" w:eastAsia="仿宋_GB2312" w:cs="宋体"/>
          <w:kern w:val="0"/>
          <w:sz w:val="32"/>
          <w:szCs w:val="32"/>
          <w:highlight w:val="none"/>
          <w:lang w:val="en-US" w:eastAsia="zh-CN"/>
        </w:rPr>
        <w:t>做好</w:t>
      </w:r>
      <w:r>
        <w:rPr>
          <w:rFonts w:hint="eastAsia" w:ascii="仿宋_GB2312" w:hAnsi="宋体" w:eastAsia="仿宋_GB2312" w:cs="宋体"/>
          <w:kern w:val="0"/>
          <w:sz w:val="32"/>
          <w:szCs w:val="32"/>
          <w:highlight w:val="none"/>
        </w:rPr>
        <w:t>基层减负和疫情防控</w:t>
      </w:r>
      <w:r>
        <w:rPr>
          <w:rFonts w:hint="eastAsia" w:ascii="仿宋_GB2312" w:hAnsi="宋体" w:eastAsia="仿宋_GB2312" w:cs="宋体"/>
          <w:kern w:val="0"/>
          <w:sz w:val="32"/>
          <w:szCs w:val="32"/>
          <w:highlight w:val="none"/>
          <w:lang w:val="en-US" w:eastAsia="zh-CN"/>
        </w:rPr>
        <w:t>工作。</w:t>
      </w:r>
    </w:p>
    <w:p>
      <w:pPr>
        <w:spacing w:line="560" w:lineRule="exact"/>
        <w:ind w:firstLine="640" w:firstLineChars="200"/>
        <w:rPr>
          <w:rFonts w:hint="default" w:ascii="仿宋_GB2312" w:hAnsi="宋体" w:eastAsia="仿宋_GB2312" w:cs="宋体"/>
          <w:b w:val="0"/>
          <w:kern w:val="0"/>
          <w:sz w:val="32"/>
          <w:szCs w:val="32"/>
          <w:highlight w:val="none"/>
          <w:lang w:val="en-US" w:eastAsia="zh-CN" w:bidi="ar-SA"/>
        </w:rPr>
      </w:pPr>
      <w:r>
        <w:rPr>
          <w:rFonts w:hint="eastAsia" w:ascii="仿宋_GB2312" w:hAnsi="宋体" w:eastAsia="仿宋_GB2312" w:cs="宋体"/>
          <w:b w:val="0"/>
          <w:kern w:val="0"/>
          <w:sz w:val="32"/>
          <w:szCs w:val="32"/>
          <w:highlight w:val="none"/>
          <w:lang w:val="en-US" w:eastAsia="zh-CN" w:bidi="ar-SA"/>
        </w:rPr>
        <w:t>预算安排规模：8万元</w:t>
      </w:r>
    </w:p>
    <w:p>
      <w:pPr>
        <w:spacing w:line="560" w:lineRule="exact"/>
        <w:ind w:firstLine="640" w:firstLineChars="200"/>
        <w:rPr>
          <w:rFonts w:hint="eastAsia" w:ascii="仿宋_GB2312" w:hAnsi="宋体" w:eastAsia="仿宋_GB2312" w:cs="宋体"/>
          <w:b w:val="0"/>
          <w:kern w:val="0"/>
          <w:sz w:val="32"/>
          <w:szCs w:val="32"/>
          <w:highlight w:val="none"/>
          <w:lang w:val="en-US" w:eastAsia="zh-CN" w:bidi="ar-SA"/>
        </w:rPr>
      </w:pPr>
      <w:r>
        <w:rPr>
          <w:rFonts w:hint="eastAsia" w:ascii="仿宋_GB2312" w:hAnsi="宋体" w:eastAsia="仿宋_GB2312" w:cs="宋体"/>
          <w:b w:val="0"/>
          <w:kern w:val="0"/>
          <w:sz w:val="32"/>
          <w:szCs w:val="32"/>
          <w:highlight w:val="none"/>
          <w:lang w:val="en-US" w:eastAsia="zh-CN" w:bidi="ar-SA"/>
        </w:rPr>
        <w:t>项目承担单位：昌吉州环境污染监控中心</w:t>
      </w:r>
    </w:p>
    <w:p>
      <w:pPr>
        <w:spacing w:line="560" w:lineRule="exact"/>
        <w:ind w:firstLine="640" w:firstLineChars="200"/>
        <w:rPr>
          <w:rFonts w:hint="eastAsia" w:ascii="仿宋_GB2312" w:hAnsi="宋体" w:eastAsia="仿宋_GB2312" w:cs="宋体"/>
          <w:b w:val="0"/>
          <w:kern w:val="0"/>
          <w:sz w:val="32"/>
          <w:szCs w:val="32"/>
          <w:highlight w:val="none"/>
          <w:lang w:val="en-US" w:eastAsia="zh-CN" w:bidi="ar-SA"/>
        </w:rPr>
      </w:pPr>
      <w:r>
        <w:rPr>
          <w:rFonts w:hint="eastAsia" w:ascii="仿宋_GB2312" w:hAnsi="宋体" w:eastAsia="仿宋_GB2312" w:cs="宋体"/>
          <w:b w:val="0"/>
          <w:kern w:val="0"/>
          <w:sz w:val="32"/>
          <w:szCs w:val="32"/>
          <w:highlight w:val="none"/>
          <w:lang w:val="en-US" w:eastAsia="zh-CN" w:bidi="ar-SA"/>
        </w:rPr>
        <w:t>资金分配情况：</w:t>
      </w:r>
      <w:r>
        <w:rPr>
          <w:rFonts w:hint="eastAsia" w:ascii="仿宋_GB2312" w:hAnsi="黑体" w:eastAsia="仿宋_GB2312"/>
          <w:sz w:val="32"/>
          <w:szCs w:val="32"/>
          <w:highlight w:val="none"/>
          <w:lang w:val="en-US" w:eastAsia="zh-CN"/>
        </w:rPr>
        <w:t>视频会议系统链路费3.84万元</w:t>
      </w:r>
      <w:r>
        <w:rPr>
          <w:rFonts w:hint="eastAsia" w:ascii="仿宋_GB2312" w:hAnsi="黑体" w:eastAsia="仿宋_GB2312"/>
          <w:sz w:val="32"/>
          <w:szCs w:val="32"/>
          <w:highlight w:val="none"/>
        </w:rPr>
        <w:t>；</w:t>
      </w:r>
      <w:r>
        <w:rPr>
          <w:rFonts w:hint="eastAsia" w:ascii="仿宋_GB2312" w:hAnsi="宋体" w:eastAsia="仿宋_GB2312" w:cs="宋体"/>
          <w:b w:val="0"/>
          <w:kern w:val="0"/>
          <w:sz w:val="32"/>
          <w:szCs w:val="32"/>
          <w:highlight w:val="none"/>
          <w:lang w:val="en-US" w:eastAsia="zh-CN" w:bidi="ar-SA"/>
        </w:rPr>
        <w:t>高空瞭望视频监控链路费共2点，400元/月/点，合计0.96万；污染源数据传输链路费1.8万元；电信互联网1.4万元。</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pPr>
        <w:numPr>
          <w:ilvl w:val="0"/>
          <w:numId w:val="0"/>
        </w:numPr>
        <w:spacing w:line="560" w:lineRule="exact"/>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5.项目名称：</w:t>
      </w:r>
      <w:r>
        <w:rPr>
          <w:rFonts w:hint="default" w:ascii="仿宋_GB2312" w:hAnsi="黑体" w:eastAsia="仿宋_GB2312"/>
          <w:sz w:val="32"/>
          <w:szCs w:val="32"/>
          <w:highlight w:val="none"/>
          <w:lang w:val="en-US" w:eastAsia="zh-CN"/>
        </w:rPr>
        <w:t>机关运行补助经费</w:t>
      </w:r>
    </w:p>
    <w:p>
      <w:pPr>
        <w:pStyle w:val="3"/>
        <w:numPr>
          <w:ilvl w:val="0"/>
          <w:numId w:val="0"/>
        </w:numPr>
        <w:ind w:firstLine="640" w:firstLineChars="200"/>
        <w:rPr>
          <w:rFonts w:hint="eastAsia" w:ascii="仿宋_GB2312" w:hAnsi="黑体" w:eastAsia="仿宋_GB2312" w:cs="Times New Roman"/>
          <w:b w:val="0"/>
          <w:bCs w:val="0"/>
          <w:kern w:val="2"/>
          <w:sz w:val="32"/>
          <w:szCs w:val="32"/>
          <w:highlight w:val="none"/>
          <w:lang w:val="en-US" w:eastAsia="zh-CN" w:bidi="ar-SA"/>
        </w:rPr>
      </w:pPr>
      <w:r>
        <w:rPr>
          <w:rFonts w:hint="eastAsia" w:ascii="仿宋_GB2312" w:hAnsi="黑体" w:eastAsia="仿宋_GB2312" w:cs="Times New Roman"/>
          <w:b w:val="0"/>
          <w:bCs w:val="0"/>
          <w:kern w:val="2"/>
          <w:sz w:val="32"/>
          <w:szCs w:val="32"/>
          <w:highlight w:val="none"/>
          <w:lang w:val="en-US" w:eastAsia="zh-CN" w:bidi="ar-SA"/>
        </w:rPr>
        <w:t>设立的政策依据：为贯彻落实2022年全国、自治区生态环境保护大会精神，牢固树立“南护天山、中建绿洲、北固沙漠，全要素保护生态环境”的工作理念，强化重点污染源自动监控体系建设，深入打好污染防治巩固提升持久战，不断完善生态环境执法监督管理制度体系，推动我州柴油货车尾气污染排放治理工作，加强移动源排放监管能力建设，加快形成绿色低碳发展方式和生活方式，持续提升生态环境治理体系和治理能力现代化水平，制定本项目。</w:t>
      </w:r>
    </w:p>
    <w:p>
      <w:pPr>
        <w:ind w:firstLine="640" w:firstLineChars="200"/>
        <w:rPr>
          <w:rFonts w:hint="eastAsia" w:ascii="仿宋_GB2312" w:hAnsi="宋体" w:eastAsia="仿宋_GB2312" w:cs="宋体"/>
          <w:b w:val="0"/>
          <w:kern w:val="0"/>
          <w:sz w:val="32"/>
          <w:szCs w:val="32"/>
          <w:highlight w:val="none"/>
          <w:lang w:val="en-US" w:eastAsia="zh-CN" w:bidi="ar-SA"/>
        </w:rPr>
      </w:pPr>
      <w:r>
        <w:rPr>
          <w:rFonts w:hint="eastAsia" w:ascii="仿宋_GB2312" w:hAnsi="宋体" w:eastAsia="仿宋_GB2312" w:cs="宋体"/>
          <w:b w:val="0"/>
          <w:kern w:val="0"/>
          <w:sz w:val="32"/>
          <w:szCs w:val="32"/>
          <w:highlight w:val="none"/>
          <w:lang w:val="en-US" w:eastAsia="zh-CN" w:bidi="ar-SA"/>
        </w:rPr>
        <w:t>预算安排规模：40万元</w:t>
      </w:r>
    </w:p>
    <w:p>
      <w:pPr>
        <w:spacing w:line="560" w:lineRule="exact"/>
        <w:ind w:firstLine="640" w:firstLineChars="200"/>
        <w:rPr>
          <w:rFonts w:hint="eastAsia" w:ascii="仿宋_GB2312" w:hAnsi="宋体" w:eastAsia="仿宋_GB2312" w:cs="宋体"/>
          <w:b w:val="0"/>
          <w:kern w:val="0"/>
          <w:sz w:val="32"/>
          <w:szCs w:val="32"/>
          <w:highlight w:val="none"/>
          <w:lang w:val="en-US" w:eastAsia="zh-CN" w:bidi="ar-SA"/>
        </w:rPr>
      </w:pPr>
      <w:r>
        <w:rPr>
          <w:rFonts w:hint="eastAsia" w:ascii="仿宋_GB2312" w:hAnsi="宋体" w:eastAsia="仿宋_GB2312" w:cs="宋体"/>
          <w:b w:val="0"/>
          <w:kern w:val="0"/>
          <w:sz w:val="32"/>
          <w:szCs w:val="32"/>
          <w:highlight w:val="none"/>
          <w:lang w:val="en-US" w:eastAsia="zh-CN" w:bidi="ar-SA"/>
        </w:rPr>
        <w:t>项目承担单位：昌吉州环境污染监控中心</w:t>
      </w:r>
    </w:p>
    <w:p>
      <w:pPr>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宋体" w:eastAsia="仿宋_GB2312" w:cs="宋体"/>
          <w:b w:val="0"/>
          <w:kern w:val="0"/>
          <w:sz w:val="32"/>
          <w:szCs w:val="32"/>
          <w:highlight w:val="none"/>
          <w:lang w:val="en-US" w:eastAsia="zh-CN" w:bidi="ar-SA"/>
        </w:rPr>
        <w:t>资金分配情况：</w:t>
      </w:r>
      <w:r>
        <w:rPr>
          <w:rFonts w:hint="eastAsia" w:ascii="仿宋_GB2312" w:hAnsi="仿宋_GB2312" w:eastAsia="仿宋_GB2312" w:cs="仿宋_GB2312"/>
          <w:sz w:val="32"/>
          <w:szCs w:val="32"/>
          <w:highlight w:val="none"/>
          <w:lang w:val="en-US" w:eastAsia="zh-CN"/>
        </w:rPr>
        <w:t>人员开展污染源自动监控设施的运行管理、机动车污染防治、核与辐射监督及危废管理等现场检查工作经费，2台车辆日常运行及车辆保险经费，现有办公设施、网络信息化设备、办公消耗用品等项目支撑日常工作经费。</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w:t>
      </w:r>
      <w:r>
        <w:rPr>
          <w:rFonts w:hint="eastAsia" w:ascii="楷体_GB2312" w:hAnsi="楷体_GB2312" w:eastAsia="楷体_GB2312" w:cs="楷体_GB2312"/>
          <w:b/>
          <w:bCs/>
          <w:kern w:val="0"/>
          <w:sz w:val="32"/>
          <w:szCs w:val="32"/>
          <w:highlight w:val="none"/>
          <w:lang w:val="en-US" w:eastAsia="zh-CN"/>
        </w:rPr>
        <w:t>昌吉州环境污染监控中心</w:t>
      </w:r>
      <w:r>
        <w:rPr>
          <w:rFonts w:hint="eastAsia" w:ascii="楷体_GB2312" w:hAnsi="楷体_GB2312" w:eastAsia="楷体_GB2312" w:cs="楷体_GB2312"/>
          <w:b/>
          <w:bCs/>
          <w:kern w:val="0"/>
          <w:sz w:val="32"/>
          <w:szCs w:val="32"/>
          <w:highlight w:val="none"/>
        </w:rPr>
        <w:t>2022年一般公共预算“三公”经费预算情况说明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昌吉州环境污染监控中心</w:t>
      </w:r>
      <w:r>
        <w:rPr>
          <w:rFonts w:hint="eastAsia" w:ascii="仿宋_GB2312" w:hAnsi="宋体" w:eastAsia="仿宋_GB2312" w:cs="宋体"/>
          <w:kern w:val="0"/>
          <w:sz w:val="32"/>
          <w:szCs w:val="32"/>
          <w:highlight w:val="none"/>
        </w:rPr>
        <w:t xml:space="preserve">  2022年一般公共预算“三公”经费数为</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2022年一般公共预算“三公”经费比上年增加 </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未安排预算</w:t>
      </w:r>
      <w:r>
        <w:rPr>
          <w:rFonts w:hint="eastAsia" w:ascii="仿宋_GB2312" w:hAnsi="宋体" w:eastAsia="仿宋_GB2312" w:cs="宋体"/>
          <w:kern w:val="0"/>
          <w:sz w:val="32"/>
          <w:szCs w:val="32"/>
          <w:highlight w:val="none"/>
        </w:rPr>
        <w:t>；公务用车购置费增加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未安排预算</w:t>
      </w:r>
      <w:r>
        <w:rPr>
          <w:rFonts w:hint="eastAsia" w:ascii="仿宋_GB2312" w:hAnsi="宋体" w:eastAsia="仿宋_GB2312" w:cs="宋体"/>
          <w:kern w:val="0"/>
          <w:sz w:val="32"/>
          <w:szCs w:val="32"/>
          <w:highlight w:val="none"/>
        </w:rPr>
        <w:t>；公务用车运行费增加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未安排预算</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2022年未安排预算</w:t>
      </w:r>
      <w:r>
        <w:rPr>
          <w:rFonts w:hint="eastAsia" w:ascii="仿宋_GB2312" w:hAnsi="宋体" w:eastAsia="仿宋_GB2312" w:cs="宋体"/>
          <w:kern w:val="0"/>
          <w:sz w:val="32"/>
          <w:szCs w:val="32"/>
          <w:highlight w:val="none"/>
        </w:rPr>
        <w:t>。</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楷体_GB2312" w:hAnsi="楷体_GB2312" w:eastAsia="楷体_GB2312" w:cs="楷体_GB2312"/>
          <w:b/>
          <w:bCs/>
          <w:kern w:val="0"/>
          <w:sz w:val="32"/>
          <w:szCs w:val="32"/>
          <w:highlight w:val="none"/>
        </w:rPr>
        <w:t>九、关于</w:t>
      </w:r>
      <w:r>
        <w:rPr>
          <w:rFonts w:hint="eastAsia" w:ascii="楷体_GB2312" w:hAnsi="楷体_GB2312" w:eastAsia="楷体_GB2312" w:cs="楷体_GB2312"/>
          <w:b/>
          <w:bCs/>
          <w:kern w:val="0"/>
          <w:sz w:val="32"/>
          <w:szCs w:val="32"/>
          <w:highlight w:val="none"/>
          <w:lang w:val="en-US" w:eastAsia="zh-CN"/>
        </w:rPr>
        <w:t>昌吉州环境污染监控中心</w:t>
      </w:r>
      <w:r>
        <w:rPr>
          <w:rFonts w:hint="eastAsia" w:ascii="楷体_GB2312" w:hAnsi="楷体_GB2312" w:eastAsia="楷体_GB2312" w:cs="楷体_GB2312"/>
          <w:b/>
          <w:bCs/>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昌吉州环境污染监控中心</w:t>
      </w:r>
      <w:r>
        <w:rPr>
          <w:rFonts w:hint="eastAsia" w:ascii="仿宋_GB2312" w:hAnsi="仿宋_GB2312" w:eastAsia="仿宋_GB2312" w:cs="仿宋_GB2312"/>
          <w:kern w:val="0"/>
          <w:sz w:val="32"/>
          <w:szCs w:val="32"/>
          <w:highlight w:val="none"/>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val="en-US" w:eastAsia="zh-CN"/>
        </w:rPr>
        <w:t>昌吉州环境污染监控中心</w:t>
      </w:r>
      <w:r>
        <w:rPr>
          <w:rFonts w:hint="eastAsia" w:ascii="仿宋_GB2312" w:hAnsi="仿宋_GB2312" w:eastAsia="仿宋_GB2312" w:cs="仿宋_GB2312"/>
          <w:kern w:val="0"/>
          <w:sz w:val="32"/>
          <w:szCs w:val="32"/>
          <w:highlight w:val="none"/>
        </w:rPr>
        <w:t>机关运行经费财政拨款预算</w:t>
      </w:r>
      <w:r>
        <w:rPr>
          <w:rFonts w:hint="eastAsia" w:ascii="仿宋_GB2312" w:hAnsi="仿宋_GB2312" w:eastAsia="仿宋_GB2312" w:cs="仿宋_GB2312"/>
          <w:kern w:val="0"/>
          <w:sz w:val="32"/>
          <w:szCs w:val="32"/>
          <w:highlight w:val="none"/>
          <w:lang w:val="en-US" w:eastAsia="zh-CN"/>
        </w:rPr>
        <w:t>10.67</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1.08</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11.26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日常办公经费增加</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仿宋_GB2312" w:eastAsia="仿宋_GB2312" w:cs="仿宋_GB2312"/>
          <w:kern w:val="0"/>
          <w:sz w:val="32"/>
          <w:szCs w:val="32"/>
          <w:highlight w:val="none"/>
          <w:lang w:val="en-US" w:eastAsia="zh-CN"/>
        </w:rPr>
        <w:t>昌吉州环境污染监控中心</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69.17</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5.06</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0.1</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64.01</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69.17</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3.04</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w:t>
      </w:r>
      <w:r>
        <w:rPr>
          <w:rFonts w:hint="eastAsia" w:ascii="仿宋_GB2312" w:hAnsi="仿宋_GB2312" w:eastAsia="仿宋_GB2312" w:cs="仿宋_GB2312"/>
          <w:kern w:val="0"/>
          <w:sz w:val="32"/>
          <w:szCs w:val="32"/>
          <w:highlight w:val="none"/>
          <w:lang w:val="en-US" w:eastAsia="zh-CN"/>
        </w:rPr>
        <w:t>昌吉州环境污染监控中心</w:t>
      </w:r>
      <w:r>
        <w:rPr>
          <w:rFonts w:hint="eastAsia" w:ascii="仿宋_GB2312" w:hAnsi="仿宋_GB2312" w:eastAsia="仿宋_GB2312" w:cs="仿宋_GB2312"/>
          <w:kern w:val="0"/>
          <w:sz w:val="32"/>
          <w:szCs w:val="32"/>
          <w:highlight w:val="none"/>
        </w:rPr>
        <w:t>占用使用国有资产总体情况为</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1.房屋</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平方米，价值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41.04</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万元；其他车辆</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41.04</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仿宋_GB2312" w:eastAsia="仿宋_GB2312" w:cs="仿宋_GB2312"/>
          <w:kern w:val="0"/>
          <w:sz w:val="32"/>
          <w:szCs w:val="32"/>
          <w:highlight w:val="none"/>
          <w:lang w:val="en-US" w:eastAsia="zh-CN"/>
        </w:rPr>
        <w:t>7.91</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818.16</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台，单位价值100万元以上大型设备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2022年部门（单位）预算未安排购置车辆经费，安排购置50万元以上大型设备0台，单位价值100万元以上大型设备0台。</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560" w:lineRule="exact"/>
        <w:ind w:firstLine="640" w:firstLineChars="200"/>
        <w:rPr>
          <w:rFonts w:hint="eastAsia" w:ascii="楷体_GB2312" w:hAnsi="宋体" w:eastAsia="楷体_GB2312" w:cs="宋体"/>
          <w:b/>
          <w:kern w:val="0"/>
          <w:sz w:val="32"/>
          <w:szCs w:val="32"/>
          <w:highlight w:val="none"/>
        </w:rPr>
      </w:pPr>
      <w:r>
        <w:rPr>
          <w:rFonts w:hint="eastAsia" w:ascii="仿宋_GB2312" w:hAnsi="仿宋_GB2312" w:eastAsia="仿宋_GB2312" w:cs="仿宋_GB2312"/>
          <w:kern w:val="0"/>
          <w:sz w:val="32"/>
          <w:szCs w:val="32"/>
          <w:highlight w:val="none"/>
        </w:rPr>
        <w:t>2022年，本年度预算绩效管理的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88</w:t>
      </w:r>
      <w:r>
        <w:rPr>
          <w:rFonts w:hint="eastAsia" w:ascii="仿宋_GB2312" w:hAnsi="仿宋_GB2312" w:eastAsia="仿宋_GB2312" w:cs="仿宋_GB2312"/>
          <w:kern w:val="0"/>
          <w:sz w:val="32"/>
          <w:szCs w:val="32"/>
          <w:highlight w:val="none"/>
        </w:rPr>
        <w:t>万元。具体情况见下表（按项目分别填报）：</w:t>
      </w:r>
    </w:p>
    <w:tbl>
      <w:tblPr>
        <w:tblStyle w:val="6"/>
        <w:tblW w:w="83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37"/>
        <w:gridCol w:w="1213"/>
        <w:gridCol w:w="1011"/>
        <w:gridCol w:w="1049"/>
        <w:gridCol w:w="738"/>
        <w:gridCol w:w="944"/>
        <w:gridCol w:w="1028"/>
        <w:gridCol w:w="14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91"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91" w:type="dxa"/>
            <w:gridSpan w:val="8"/>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01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昌吉回族自治州环境污染监控中心</w:t>
            </w:r>
          </w:p>
        </w:tc>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4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智慧环保过保软件续保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w:t>
            </w:r>
          </w:p>
        </w:tc>
        <w:tc>
          <w:tcPr>
            <w:tcW w:w="17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w:t>
            </w:r>
          </w:p>
        </w:tc>
        <w:tc>
          <w:tcPr>
            <w:tcW w:w="10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4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2"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45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智慧环保”系列软件中，其中环境空气质量信息发布系统web网页版和污染源在线监管系统；目标2：协助昌吉州环境保护主管部门对重点污染源自动监控体系监管，昌吉州环境应急指挥中心建设和日常管理，为昌吉州环境保护管理工作提供技术支持和咨询服务。过保软件续保平台数2套，环境空气质量信息发布系统接入终端数8个，污染源在线监管系统接入企业数80家，验收合格率95%，系统故障率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7" w:hRule="atLeast"/>
        </w:trPr>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过保软件续保平台数量</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环境空气质量信息发布系统接入终端数</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&gt;=8个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污染源在线监管系统接入企业数</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&gt;=80家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验收合格率</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系统故障率</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3"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系统故障修复处理时间</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系统运行维护响应时间</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合同约定当年运维成本</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确保我州系统及数据传输稳定</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6"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国发在线污染源国家考核传输率达到国家考核标准</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20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工作人员满意度</w:t>
            </w:r>
          </w:p>
        </w:tc>
        <w:tc>
          <w:tcPr>
            <w:tcW w:w="418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600" w:lineRule="exact"/>
        <w:ind w:firstLine="643" w:firstLineChars="200"/>
        <w:rPr>
          <w:rFonts w:hint="eastAsia" w:ascii="楷体_GB2312" w:hAnsi="宋体" w:eastAsia="楷体_GB2312" w:cs="宋体"/>
          <w:b/>
          <w:kern w:val="0"/>
          <w:sz w:val="32"/>
          <w:szCs w:val="32"/>
          <w:highlight w:val="none"/>
        </w:rPr>
      </w:pPr>
    </w:p>
    <w:tbl>
      <w:tblPr>
        <w:tblStyle w:val="6"/>
        <w:tblW w:w="83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516"/>
        <w:gridCol w:w="840"/>
        <w:gridCol w:w="1695"/>
        <w:gridCol w:w="1095"/>
        <w:gridCol w:w="1380"/>
        <w:gridCol w:w="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46"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highlight w:val="none"/>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46" w:type="dxa"/>
            <w:gridSpan w:val="8"/>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13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昌吉回族自治州环境污染监控中心</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0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移动式遥感监测设备运维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10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26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保证移动式遥感监测设备正常运行，实现遥感监测数据的正常传输。目标2：保障机动车路检路查、遥感监测工作正常开展。目标3：加大对高排放车辆的监督抽测频次，通过路检路查和遥感监测的方式加强对高排放车辆的监管力度，提高排放车辆深度治理能力。目标4：完善我州“天地车人”一体化监管网络建设，持续改善我州空气质量。遥感监测设备检定1次，遥感监测设备零配件维护、保养及更换2次，遥感监测设备与遥感监测平台联网率100%，设备及监测数据质量准确率100%，年故障率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遥感监测设备检定</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遥感监测设备零配件维护、保养及更换</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遥感监测设备与遥感监测平台联网率</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设备及监测数据质量准确率</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年故障率</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设备故障修复处理时间</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设备维护响应及时率</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2021年移动式遥感监测设备运维项目尾款支出</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&lt;=5.88万元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移动式遥感监测设备检定及保养成本</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&lt;=14.12万元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设备利用率</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设备正常使用年限</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305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31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600" w:lineRule="exact"/>
        <w:ind w:firstLine="643" w:firstLineChars="200"/>
        <w:rPr>
          <w:rFonts w:hint="eastAsia" w:ascii="楷体_GB2312" w:hAnsi="宋体" w:eastAsia="楷体_GB2312" w:cs="宋体"/>
          <w:b/>
          <w:kern w:val="0"/>
          <w:sz w:val="32"/>
          <w:szCs w:val="32"/>
          <w:highlight w:val="none"/>
        </w:rPr>
      </w:pPr>
    </w:p>
    <w:tbl>
      <w:tblPr>
        <w:tblStyle w:val="6"/>
        <w:tblpPr w:leftFromText="180" w:rightFromText="180" w:vertAnchor="text" w:horzAnchor="page" w:tblpX="1646" w:tblpY="205"/>
        <w:tblOverlap w:val="never"/>
        <w:tblW w:w="82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11"/>
        <w:gridCol w:w="285"/>
        <w:gridCol w:w="945"/>
        <w:gridCol w:w="960"/>
        <w:gridCol w:w="510"/>
        <w:gridCol w:w="1125"/>
        <w:gridCol w:w="1425"/>
        <w:gridCol w:w="9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256"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256"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71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昌吉回族自治州环境污染监控中心</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信息化运维及会议系统及音视频运维、电视电话会议连路费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17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保障会议系统及音视频运维及电视电话会议所需的链路正常使用，高效传达会议精神，迅速部署工作。目标2：确保与自治区环保厅进行视频会议组会，实现无缝对接以及电视电话会议硬件维保。网络设备运维数20台 全州16个视频点位巡检12次，电脑终端软件及网络运维数100台，设备故障排除率100%，硬件设备维修率100%，基层减负效率提升。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2"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网络设备运维数</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&gt;=20台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全州16个视频点位巡检</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电脑终端软件及网络运维数</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&gt;=100台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设备故障排除率</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硬件设备维修率</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系统运行维护响应时间</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运维工作完成截止时限</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视频设备运维成本</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网络运维成本</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基层减负效率提升</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系统正常使用年限</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219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工作人员满意度</w:t>
            </w:r>
          </w:p>
        </w:tc>
        <w:tc>
          <w:tcPr>
            <w:tcW w:w="39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600" w:lineRule="exact"/>
        <w:ind w:firstLine="643" w:firstLineChars="200"/>
        <w:rPr>
          <w:rFonts w:hint="eastAsia" w:ascii="楷体_GB2312" w:hAnsi="宋体" w:eastAsia="楷体_GB2312" w:cs="宋体"/>
          <w:b/>
          <w:kern w:val="0"/>
          <w:sz w:val="32"/>
          <w:szCs w:val="32"/>
          <w:highlight w:val="none"/>
        </w:rPr>
      </w:pPr>
    </w:p>
    <w:p>
      <w:pPr>
        <w:spacing w:line="600" w:lineRule="exact"/>
        <w:ind w:firstLine="643" w:firstLineChars="200"/>
        <w:rPr>
          <w:rFonts w:hint="eastAsia" w:ascii="楷体_GB2312" w:hAnsi="宋体" w:eastAsia="楷体_GB2312" w:cs="宋体"/>
          <w:b/>
          <w:kern w:val="0"/>
          <w:sz w:val="32"/>
          <w:szCs w:val="32"/>
          <w:highlight w:val="none"/>
        </w:rPr>
      </w:pPr>
    </w:p>
    <w:p>
      <w:pPr>
        <w:spacing w:line="600" w:lineRule="exact"/>
        <w:ind w:firstLine="643" w:firstLineChars="200"/>
        <w:rPr>
          <w:rFonts w:hint="eastAsia" w:ascii="楷体_GB2312" w:hAnsi="宋体" w:eastAsia="楷体_GB2312" w:cs="宋体"/>
          <w:b/>
          <w:kern w:val="0"/>
          <w:sz w:val="32"/>
          <w:szCs w:val="32"/>
          <w:highlight w:val="none"/>
        </w:rPr>
      </w:pPr>
    </w:p>
    <w:tbl>
      <w:tblPr>
        <w:tblStyle w:val="6"/>
        <w:tblW w:w="8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176"/>
        <w:gridCol w:w="390"/>
        <w:gridCol w:w="840"/>
        <w:gridCol w:w="1050"/>
        <w:gridCol w:w="375"/>
        <w:gridCol w:w="975"/>
        <w:gridCol w:w="12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31"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8331"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83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昌吉回族自治州环境污染监控中心</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通信费、链路费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w:t>
            </w:r>
          </w:p>
        </w:tc>
        <w:tc>
          <w:tcPr>
            <w:tcW w:w="14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25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保证昌吉州生态环境系统电视电话会议及环保专网业务链路的正常运行；目标2：保证视频监控中昌吉市及阜康高空瞭望链路的正常运行；目标3：保证在线污染源数据的有效接入链路传输；目标4：保证日常办公室电话通讯；电视电话会议链路数量8条，污染源互联网专线链路1条，高空瞭望视频链路数量2条，链路联通率100%，提高信息化水平，优化工作人员工作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电视电话会议链路数量</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污染源互联网专线链路</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高空瞭望视频链路数量</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链路联通率</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系统运行维护响应时间</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&lt;=24小时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各项工作完成截止时限</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电视电话链路成本</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高空瞭望链路成本</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污染源在线数据传输成本</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办公室日常电话费成本</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提高信息化水平，优化工作人员工作方式</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国发在线污染源传输率达国家考核标准</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2280"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工作人员满意度</w:t>
            </w:r>
          </w:p>
        </w:tc>
        <w:tc>
          <w:tcPr>
            <w:tcW w:w="379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tbl>
      <w:tblPr>
        <w:tblStyle w:val="6"/>
        <w:tblpPr w:leftFromText="180" w:rightFromText="180" w:vertAnchor="text" w:horzAnchor="page" w:tblpX="1831" w:tblpY="132"/>
        <w:tblOverlap w:val="never"/>
        <w:tblW w:w="83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386"/>
        <w:gridCol w:w="900"/>
        <w:gridCol w:w="1725"/>
        <w:gridCol w:w="619"/>
        <w:gridCol w:w="401"/>
        <w:gridCol w:w="1275"/>
        <w:gridCol w:w="9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8316"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3" w:hRule="atLeast"/>
        </w:trPr>
        <w:tc>
          <w:tcPr>
            <w:tcW w:w="8316" w:type="dxa"/>
            <w:gridSpan w:val="8"/>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01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昌吉回族自治州环境污染监控中心</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机关运行补助经费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2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完成重点污染源自动监控、机动车污染防治、环境信息化建设及信息宣传等方面工作。目标2：配合开展固体废物、辐射安全监督检查。目标3：改善现有办公设备，各项能力达到国家、自治区要求，完成上级部门下达的工作任务。污染源监控企业现场检查数量50家， 核技术利用单位监督性检查1次，开展废、经营单位规范化考核和专项检查 1次，保障车辆运转数量2辆，各类检查出差70人次，重点监控企业有效传输率90%，重点监控企业自行监测完成率90%，重点监控企业自行监测公布率 90%，降低企业污染物超标排放、机动车尾气排放行为 ，改善空气质量，优化社会环境。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污染源监控企业现场检查数量</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&gt;=50家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核技术利用单位监督性检查</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1"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开展废、经营单位规范化考核和专项检查</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1"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保障车辆运转数量</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8"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各类检查出差</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&gt;=70人次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重点监控企业有效传输率</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重点监控企业自行监测完成率</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7"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重点监控企业自行监测公布率</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1"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各项工作完成截止时间</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1"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各类检查开展及时率</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开展各类检查成本</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&lt;=25.95万元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3"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办公等其他专项业务成本</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&lt;=14.05万元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降低企业污染物超标排放、机动车尾气排放行为</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降低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改善空气质量，优化社会环境</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不断改善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3244"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2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bl>
    <w:p>
      <w:pPr>
        <w:spacing w:line="600" w:lineRule="exact"/>
        <w:rPr>
          <w:rFonts w:hint="eastAsia" w:ascii="楷体_GB2312" w:hAnsi="宋体" w:eastAsia="楷体_GB2312" w:cs="宋体"/>
          <w:b/>
          <w:kern w:val="0"/>
          <w:sz w:val="32"/>
          <w:szCs w:val="32"/>
          <w:highlight w:val="none"/>
        </w:rPr>
      </w:pPr>
    </w:p>
    <w:p>
      <w:pPr>
        <w:spacing w:line="600" w:lineRule="exac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rPr>
        <w:t>四、其他资金：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五、基本支出：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六、项目支出：</w:t>
      </w:r>
      <w:r>
        <w:rPr>
          <w:rFonts w:hint="eastAsia" w:ascii="仿宋_GB2312" w:eastAsia="仿宋_GB2312"/>
          <w:sz w:val="32"/>
          <w:szCs w:val="32"/>
          <w:highlight w:val="none"/>
        </w:rPr>
        <w:t>部门（单位）支出预算的组成部分，是</w:t>
      </w:r>
      <w:r>
        <w:rPr>
          <w:rFonts w:hint="eastAsia" w:ascii="仿宋_GB2312" w:eastAsia="仿宋_GB2312"/>
          <w:sz w:val="32"/>
          <w:szCs w:val="32"/>
          <w:highlight w:val="none"/>
          <w:lang w:val="en-US" w:eastAsia="zh-CN"/>
        </w:rPr>
        <w:t>州</w:t>
      </w:r>
      <w:r>
        <w:rPr>
          <w:rFonts w:hint="eastAsia" w:ascii="仿宋_GB2312" w:eastAsia="仿宋_GB2312"/>
          <w:sz w:val="32"/>
          <w:szCs w:val="32"/>
          <w:highlight w:val="none"/>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rPr>
        <w:t>七、“三公”经费：</w:t>
      </w:r>
      <w:r>
        <w:rPr>
          <w:rFonts w:hint="eastAsia" w:ascii="仿宋_GB2312" w:eastAsia="仿宋_GB2312"/>
          <w:sz w:val="32"/>
          <w:szCs w:val="32"/>
          <w:highlight w:val="none"/>
        </w:rPr>
        <w:t>指</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本级部门（单位）用一般公共预算财政拨款安排的因公出国（境）费、公务用车购置及运行费和公务接待费。其中，因公出国（境）</w:t>
      </w:r>
      <w:bookmarkStart w:id="0" w:name="_GoBack"/>
      <w:bookmarkEnd w:id="0"/>
      <w:r>
        <w:rPr>
          <w:rFonts w:hint="eastAsia" w:ascii="仿宋_GB2312" w:eastAsia="仿宋_GB2312"/>
          <w:sz w:val="32"/>
          <w:szCs w:val="32"/>
          <w:highlight w:val="none"/>
        </w:rPr>
        <w:t>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rPr>
        <w:t>八、机关运行经费：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highlight w:val="none"/>
        </w:rPr>
      </w:pPr>
    </w:p>
    <w:p>
      <w:pPr>
        <w:pStyle w:val="3"/>
        <w:rPr>
          <w:highlight w:val="none"/>
        </w:rPr>
      </w:pPr>
    </w:p>
    <w:p>
      <w:pPr>
        <w:spacing w:line="560" w:lineRule="exact"/>
        <w:ind w:left="5438" w:leftChars="304" w:hanging="4800" w:hangingChars="15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昌吉州</w:t>
      </w:r>
      <w:r>
        <w:rPr>
          <w:rFonts w:hint="eastAsia" w:ascii="仿宋_GB2312" w:hAnsi="宋体" w:eastAsia="仿宋_GB2312" w:cs="宋体"/>
          <w:kern w:val="0"/>
          <w:sz w:val="32"/>
          <w:szCs w:val="32"/>
          <w:highlight w:val="none"/>
          <w:lang w:val="en-US" w:eastAsia="zh-CN"/>
        </w:rPr>
        <w:t>环境污染监控中心</w:t>
      </w: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5D0FB8"/>
    <w:rsid w:val="008B6F74"/>
    <w:rsid w:val="0090107A"/>
    <w:rsid w:val="00933202"/>
    <w:rsid w:val="009448E5"/>
    <w:rsid w:val="00944B81"/>
    <w:rsid w:val="00AF3F7E"/>
    <w:rsid w:val="00B141E5"/>
    <w:rsid w:val="00C12D75"/>
    <w:rsid w:val="00CE4C77"/>
    <w:rsid w:val="00D85033"/>
    <w:rsid w:val="00E35E24"/>
    <w:rsid w:val="00F91EEB"/>
    <w:rsid w:val="01851587"/>
    <w:rsid w:val="01A46E4D"/>
    <w:rsid w:val="01A57A46"/>
    <w:rsid w:val="01C51D1E"/>
    <w:rsid w:val="01E0506C"/>
    <w:rsid w:val="0396405B"/>
    <w:rsid w:val="03B248D4"/>
    <w:rsid w:val="041264AF"/>
    <w:rsid w:val="043575E0"/>
    <w:rsid w:val="04723D8C"/>
    <w:rsid w:val="048D6D02"/>
    <w:rsid w:val="04AD1522"/>
    <w:rsid w:val="05077446"/>
    <w:rsid w:val="061D1D4C"/>
    <w:rsid w:val="06427E61"/>
    <w:rsid w:val="064A5380"/>
    <w:rsid w:val="066546B3"/>
    <w:rsid w:val="067B3A0C"/>
    <w:rsid w:val="06B119FB"/>
    <w:rsid w:val="06D002FA"/>
    <w:rsid w:val="06E00CF5"/>
    <w:rsid w:val="07D51B3B"/>
    <w:rsid w:val="081E32A7"/>
    <w:rsid w:val="082A1BF4"/>
    <w:rsid w:val="08676837"/>
    <w:rsid w:val="099D120F"/>
    <w:rsid w:val="0A781963"/>
    <w:rsid w:val="0B2227B6"/>
    <w:rsid w:val="0B775FD5"/>
    <w:rsid w:val="0B857D79"/>
    <w:rsid w:val="0B8E4F6D"/>
    <w:rsid w:val="0BC10EFF"/>
    <w:rsid w:val="0BD54672"/>
    <w:rsid w:val="0BD964EE"/>
    <w:rsid w:val="0C585CB7"/>
    <w:rsid w:val="0C5B5250"/>
    <w:rsid w:val="0C6B05A0"/>
    <w:rsid w:val="0C7068C3"/>
    <w:rsid w:val="0C7B49AE"/>
    <w:rsid w:val="0CDD314B"/>
    <w:rsid w:val="0D0238E1"/>
    <w:rsid w:val="0D127673"/>
    <w:rsid w:val="0D2E28B2"/>
    <w:rsid w:val="0D4E4C6A"/>
    <w:rsid w:val="0E025594"/>
    <w:rsid w:val="0E2E3189"/>
    <w:rsid w:val="0EE30B5C"/>
    <w:rsid w:val="0F22100A"/>
    <w:rsid w:val="0F485E35"/>
    <w:rsid w:val="0F583098"/>
    <w:rsid w:val="0F9871D4"/>
    <w:rsid w:val="0FBE5F1B"/>
    <w:rsid w:val="10AC41FC"/>
    <w:rsid w:val="10DC781F"/>
    <w:rsid w:val="112565C5"/>
    <w:rsid w:val="115400BA"/>
    <w:rsid w:val="11AA4966"/>
    <w:rsid w:val="11D95321"/>
    <w:rsid w:val="11FC5FCB"/>
    <w:rsid w:val="123B4943"/>
    <w:rsid w:val="129C0D9A"/>
    <w:rsid w:val="129D47EE"/>
    <w:rsid w:val="1398775C"/>
    <w:rsid w:val="13AB7646"/>
    <w:rsid w:val="13BA2869"/>
    <w:rsid w:val="13CE246A"/>
    <w:rsid w:val="14285E32"/>
    <w:rsid w:val="14440E2E"/>
    <w:rsid w:val="14804D8B"/>
    <w:rsid w:val="1481292C"/>
    <w:rsid w:val="148E31B9"/>
    <w:rsid w:val="14A24718"/>
    <w:rsid w:val="14C57C84"/>
    <w:rsid w:val="151610A3"/>
    <w:rsid w:val="156C7EC4"/>
    <w:rsid w:val="15A660C2"/>
    <w:rsid w:val="15B56E55"/>
    <w:rsid w:val="16BE0CA5"/>
    <w:rsid w:val="17283FB6"/>
    <w:rsid w:val="17587483"/>
    <w:rsid w:val="17980F97"/>
    <w:rsid w:val="17995406"/>
    <w:rsid w:val="17CE2AE9"/>
    <w:rsid w:val="17F23AAE"/>
    <w:rsid w:val="18274176"/>
    <w:rsid w:val="183338FD"/>
    <w:rsid w:val="186525DF"/>
    <w:rsid w:val="18C43062"/>
    <w:rsid w:val="192871AF"/>
    <w:rsid w:val="195E4271"/>
    <w:rsid w:val="196C570D"/>
    <w:rsid w:val="19B34F52"/>
    <w:rsid w:val="19C118DE"/>
    <w:rsid w:val="1A0C00EC"/>
    <w:rsid w:val="1A914323"/>
    <w:rsid w:val="1AA5352F"/>
    <w:rsid w:val="1AF31D7E"/>
    <w:rsid w:val="1B00735F"/>
    <w:rsid w:val="1B1B1004"/>
    <w:rsid w:val="1B233025"/>
    <w:rsid w:val="1BD11736"/>
    <w:rsid w:val="1C012B29"/>
    <w:rsid w:val="1C221827"/>
    <w:rsid w:val="1C3F5AF0"/>
    <w:rsid w:val="1CA52D29"/>
    <w:rsid w:val="1CAB189E"/>
    <w:rsid w:val="1CC8642B"/>
    <w:rsid w:val="1D1068B6"/>
    <w:rsid w:val="1D165220"/>
    <w:rsid w:val="1D210F90"/>
    <w:rsid w:val="1D586929"/>
    <w:rsid w:val="1D644927"/>
    <w:rsid w:val="1D747132"/>
    <w:rsid w:val="1DBD3B7F"/>
    <w:rsid w:val="1DF12F46"/>
    <w:rsid w:val="1E083CA8"/>
    <w:rsid w:val="1E8E1CD3"/>
    <w:rsid w:val="1EE34B5C"/>
    <w:rsid w:val="1EE90060"/>
    <w:rsid w:val="1F5755CD"/>
    <w:rsid w:val="1F5A54D3"/>
    <w:rsid w:val="1F6E2994"/>
    <w:rsid w:val="1FA51301"/>
    <w:rsid w:val="1FB27996"/>
    <w:rsid w:val="1FCF4CA6"/>
    <w:rsid w:val="203756C8"/>
    <w:rsid w:val="205A4143"/>
    <w:rsid w:val="20641809"/>
    <w:rsid w:val="206757D3"/>
    <w:rsid w:val="206D061B"/>
    <w:rsid w:val="20D23824"/>
    <w:rsid w:val="20D7228E"/>
    <w:rsid w:val="20D948C5"/>
    <w:rsid w:val="21186000"/>
    <w:rsid w:val="219550AD"/>
    <w:rsid w:val="21997086"/>
    <w:rsid w:val="22166575"/>
    <w:rsid w:val="22C252B0"/>
    <w:rsid w:val="22DC33FD"/>
    <w:rsid w:val="23953BAA"/>
    <w:rsid w:val="23957FF3"/>
    <w:rsid w:val="23C12E4B"/>
    <w:rsid w:val="242D746D"/>
    <w:rsid w:val="24FE1B8C"/>
    <w:rsid w:val="252B600D"/>
    <w:rsid w:val="2550547A"/>
    <w:rsid w:val="25EE15EA"/>
    <w:rsid w:val="25F53961"/>
    <w:rsid w:val="26186283"/>
    <w:rsid w:val="26500826"/>
    <w:rsid w:val="26AC692F"/>
    <w:rsid w:val="27360AAD"/>
    <w:rsid w:val="27846921"/>
    <w:rsid w:val="28952195"/>
    <w:rsid w:val="28A249B9"/>
    <w:rsid w:val="290756AA"/>
    <w:rsid w:val="293D21FD"/>
    <w:rsid w:val="295A6A6D"/>
    <w:rsid w:val="296B0A6C"/>
    <w:rsid w:val="29775C21"/>
    <w:rsid w:val="29C10255"/>
    <w:rsid w:val="29E45768"/>
    <w:rsid w:val="2A9F598F"/>
    <w:rsid w:val="2AE8393B"/>
    <w:rsid w:val="2BDC6E1E"/>
    <w:rsid w:val="2BDD6936"/>
    <w:rsid w:val="2C016AA1"/>
    <w:rsid w:val="2C1226D7"/>
    <w:rsid w:val="2CDB0032"/>
    <w:rsid w:val="2CF862D2"/>
    <w:rsid w:val="2D0A57AA"/>
    <w:rsid w:val="2D5C03D0"/>
    <w:rsid w:val="2DB91BAC"/>
    <w:rsid w:val="2E3755FF"/>
    <w:rsid w:val="2ECB4A7F"/>
    <w:rsid w:val="2F1837CC"/>
    <w:rsid w:val="2FB967E1"/>
    <w:rsid w:val="30160A60"/>
    <w:rsid w:val="303F64B6"/>
    <w:rsid w:val="30563738"/>
    <w:rsid w:val="312565DF"/>
    <w:rsid w:val="312F2527"/>
    <w:rsid w:val="31336EA8"/>
    <w:rsid w:val="313F3ED7"/>
    <w:rsid w:val="316E5B69"/>
    <w:rsid w:val="31927D5E"/>
    <w:rsid w:val="3198593C"/>
    <w:rsid w:val="321011B8"/>
    <w:rsid w:val="322A1026"/>
    <w:rsid w:val="32342ED6"/>
    <w:rsid w:val="33687AFD"/>
    <w:rsid w:val="33AA7455"/>
    <w:rsid w:val="348D51BC"/>
    <w:rsid w:val="35213734"/>
    <w:rsid w:val="352172D1"/>
    <w:rsid w:val="353F6478"/>
    <w:rsid w:val="3581159A"/>
    <w:rsid w:val="35E93D26"/>
    <w:rsid w:val="361E2D75"/>
    <w:rsid w:val="36D006B5"/>
    <w:rsid w:val="36F50AC4"/>
    <w:rsid w:val="37073CEC"/>
    <w:rsid w:val="374B6EA7"/>
    <w:rsid w:val="388130AE"/>
    <w:rsid w:val="388B7D6E"/>
    <w:rsid w:val="38E7731F"/>
    <w:rsid w:val="390C0C82"/>
    <w:rsid w:val="3949544B"/>
    <w:rsid w:val="3A6F0384"/>
    <w:rsid w:val="3AEE7465"/>
    <w:rsid w:val="3AF837A2"/>
    <w:rsid w:val="3B606FB9"/>
    <w:rsid w:val="3B854F41"/>
    <w:rsid w:val="3BC72E4E"/>
    <w:rsid w:val="3BCC01CC"/>
    <w:rsid w:val="3C86189D"/>
    <w:rsid w:val="3C9B7225"/>
    <w:rsid w:val="3CD549D2"/>
    <w:rsid w:val="3CF35D65"/>
    <w:rsid w:val="3D410652"/>
    <w:rsid w:val="3E3C5AD6"/>
    <w:rsid w:val="3E4326CE"/>
    <w:rsid w:val="3E4D2D14"/>
    <w:rsid w:val="3E6012E9"/>
    <w:rsid w:val="3E676E28"/>
    <w:rsid w:val="3EA44D57"/>
    <w:rsid w:val="3F6A7638"/>
    <w:rsid w:val="3FBA77CC"/>
    <w:rsid w:val="40560F0B"/>
    <w:rsid w:val="40D935C6"/>
    <w:rsid w:val="40E6072B"/>
    <w:rsid w:val="4115714F"/>
    <w:rsid w:val="415F4482"/>
    <w:rsid w:val="41CA22EC"/>
    <w:rsid w:val="41D243E5"/>
    <w:rsid w:val="42075F39"/>
    <w:rsid w:val="4224049D"/>
    <w:rsid w:val="42311BAA"/>
    <w:rsid w:val="42C20554"/>
    <w:rsid w:val="42E3250C"/>
    <w:rsid w:val="43DB42A2"/>
    <w:rsid w:val="44284CBE"/>
    <w:rsid w:val="44A75375"/>
    <w:rsid w:val="45013F27"/>
    <w:rsid w:val="45376BBD"/>
    <w:rsid w:val="456E6971"/>
    <w:rsid w:val="46604B18"/>
    <w:rsid w:val="466D3BE9"/>
    <w:rsid w:val="46E4105D"/>
    <w:rsid w:val="4789567D"/>
    <w:rsid w:val="47FB7F4E"/>
    <w:rsid w:val="48656124"/>
    <w:rsid w:val="48673221"/>
    <w:rsid w:val="488C4369"/>
    <w:rsid w:val="49172BAD"/>
    <w:rsid w:val="492C6C8A"/>
    <w:rsid w:val="496D7CE0"/>
    <w:rsid w:val="49746ADD"/>
    <w:rsid w:val="49A756DB"/>
    <w:rsid w:val="49C30394"/>
    <w:rsid w:val="49C651A8"/>
    <w:rsid w:val="4AC72B6E"/>
    <w:rsid w:val="4B126C83"/>
    <w:rsid w:val="4B225B0C"/>
    <w:rsid w:val="4B2360F5"/>
    <w:rsid w:val="4C287FF6"/>
    <w:rsid w:val="4C7857DD"/>
    <w:rsid w:val="4CE903E6"/>
    <w:rsid w:val="4D0960F6"/>
    <w:rsid w:val="4D0A2E93"/>
    <w:rsid w:val="4DA067A2"/>
    <w:rsid w:val="4DB367BF"/>
    <w:rsid w:val="4E615B1F"/>
    <w:rsid w:val="4E6E1B38"/>
    <w:rsid w:val="4ED67ECF"/>
    <w:rsid w:val="4F0D576D"/>
    <w:rsid w:val="4F523AEB"/>
    <w:rsid w:val="4F8C2039"/>
    <w:rsid w:val="4FE2053C"/>
    <w:rsid w:val="50715C6F"/>
    <w:rsid w:val="50720EE3"/>
    <w:rsid w:val="50796F14"/>
    <w:rsid w:val="5085701F"/>
    <w:rsid w:val="509D0F7B"/>
    <w:rsid w:val="50CE480A"/>
    <w:rsid w:val="50D02289"/>
    <w:rsid w:val="512F51EB"/>
    <w:rsid w:val="51A241BC"/>
    <w:rsid w:val="51A96048"/>
    <w:rsid w:val="51EE1C60"/>
    <w:rsid w:val="52254454"/>
    <w:rsid w:val="52D616BA"/>
    <w:rsid w:val="536E3379"/>
    <w:rsid w:val="53E47B98"/>
    <w:rsid w:val="54CE5C5D"/>
    <w:rsid w:val="54DB355F"/>
    <w:rsid w:val="55D76D6D"/>
    <w:rsid w:val="56186D41"/>
    <w:rsid w:val="56436D67"/>
    <w:rsid w:val="56680FCD"/>
    <w:rsid w:val="56FC40E2"/>
    <w:rsid w:val="57211D8E"/>
    <w:rsid w:val="57847E39"/>
    <w:rsid w:val="57EC6ED8"/>
    <w:rsid w:val="58E53A1B"/>
    <w:rsid w:val="59263D01"/>
    <w:rsid w:val="593334B4"/>
    <w:rsid w:val="59BA404E"/>
    <w:rsid w:val="59F3670A"/>
    <w:rsid w:val="59FB6E0D"/>
    <w:rsid w:val="5A470147"/>
    <w:rsid w:val="5A4A02B5"/>
    <w:rsid w:val="5A5F54E6"/>
    <w:rsid w:val="5A6A2EBB"/>
    <w:rsid w:val="5ABC6BED"/>
    <w:rsid w:val="5B082E44"/>
    <w:rsid w:val="5B71160F"/>
    <w:rsid w:val="5B8547AC"/>
    <w:rsid w:val="5B8E0BCF"/>
    <w:rsid w:val="5BC7603F"/>
    <w:rsid w:val="5BF756A8"/>
    <w:rsid w:val="5BFE206D"/>
    <w:rsid w:val="5C0C336B"/>
    <w:rsid w:val="5C6D7EF6"/>
    <w:rsid w:val="5CBF02A1"/>
    <w:rsid w:val="5CD27624"/>
    <w:rsid w:val="5D525067"/>
    <w:rsid w:val="5D7D781D"/>
    <w:rsid w:val="5D871825"/>
    <w:rsid w:val="5D8E7D02"/>
    <w:rsid w:val="5DC476DB"/>
    <w:rsid w:val="5E500624"/>
    <w:rsid w:val="5EF302B0"/>
    <w:rsid w:val="5F361A5B"/>
    <w:rsid w:val="5F496ED1"/>
    <w:rsid w:val="5F5678F3"/>
    <w:rsid w:val="5F6F794D"/>
    <w:rsid w:val="5FBD4090"/>
    <w:rsid w:val="5FEF1C39"/>
    <w:rsid w:val="60163C99"/>
    <w:rsid w:val="61384A68"/>
    <w:rsid w:val="61704507"/>
    <w:rsid w:val="61752984"/>
    <w:rsid w:val="61A1405A"/>
    <w:rsid w:val="61EB30FA"/>
    <w:rsid w:val="625D077B"/>
    <w:rsid w:val="626169D8"/>
    <w:rsid w:val="629B4DFE"/>
    <w:rsid w:val="62BB3B4C"/>
    <w:rsid w:val="62E805EA"/>
    <w:rsid w:val="63001AF2"/>
    <w:rsid w:val="637A3448"/>
    <w:rsid w:val="637B4B68"/>
    <w:rsid w:val="638244E0"/>
    <w:rsid w:val="63A44C80"/>
    <w:rsid w:val="63CC683F"/>
    <w:rsid w:val="63DB1612"/>
    <w:rsid w:val="63DB3284"/>
    <w:rsid w:val="63EE652C"/>
    <w:rsid w:val="64494A90"/>
    <w:rsid w:val="644D0789"/>
    <w:rsid w:val="64A07E62"/>
    <w:rsid w:val="64A15DCC"/>
    <w:rsid w:val="64D02BE6"/>
    <w:rsid w:val="64E610C5"/>
    <w:rsid w:val="654F2B07"/>
    <w:rsid w:val="656F0440"/>
    <w:rsid w:val="66035BF8"/>
    <w:rsid w:val="663D39CF"/>
    <w:rsid w:val="66894CC9"/>
    <w:rsid w:val="66AE7E30"/>
    <w:rsid w:val="66F66DDD"/>
    <w:rsid w:val="68550038"/>
    <w:rsid w:val="68C6059C"/>
    <w:rsid w:val="69C41F1B"/>
    <w:rsid w:val="69C935E0"/>
    <w:rsid w:val="6B413366"/>
    <w:rsid w:val="6BD04433"/>
    <w:rsid w:val="6D2023EC"/>
    <w:rsid w:val="6DEC5799"/>
    <w:rsid w:val="6E265827"/>
    <w:rsid w:val="6E7638C2"/>
    <w:rsid w:val="6EE80606"/>
    <w:rsid w:val="6EF711C3"/>
    <w:rsid w:val="6F6267F9"/>
    <w:rsid w:val="6F833647"/>
    <w:rsid w:val="6F835263"/>
    <w:rsid w:val="6FEB5085"/>
    <w:rsid w:val="70CC3642"/>
    <w:rsid w:val="70E5167D"/>
    <w:rsid w:val="71846C79"/>
    <w:rsid w:val="71912F45"/>
    <w:rsid w:val="71A56FB7"/>
    <w:rsid w:val="71CA4777"/>
    <w:rsid w:val="72313710"/>
    <w:rsid w:val="725B190C"/>
    <w:rsid w:val="729825FB"/>
    <w:rsid w:val="72A00289"/>
    <w:rsid w:val="73117F21"/>
    <w:rsid w:val="73396484"/>
    <w:rsid w:val="73D54AA3"/>
    <w:rsid w:val="74106CF8"/>
    <w:rsid w:val="746642E2"/>
    <w:rsid w:val="747B0ABC"/>
    <w:rsid w:val="74A1208A"/>
    <w:rsid w:val="74CC5DB6"/>
    <w:rsid w:val="752B7AE6"/>
    <w:rsid w:val="755D28E7"/>
    <w:rsid w:val="759967AE"/>
    <w:rsid w:val="760C7EDF"/>
    <w:rsid w:val="76166BF8"/>
    <w:rsid w:val="767B6E01"/>
    <w:rsid w:val="768A0D8C"/>
    <w:rsid w:val="76CF3C2A"/>
    <w:rsid w:val="76EB7EFE"/>
    <w:rsid w:val="780A0CBF"/>
    <w:rsid w:val="787C3B74"/>
    <w:rsid w:val="78904532"/>
    <w:rsid w:val="78A7636E"/>
    <w:rsid w:val="78CC2070"/>
    <w:rsid w:val="79036285"/>
    <w:rsid w:val="790679AA"/>
    <w:rsid w:val="790E27D2"/>
    <w:rsid w:val="793278FA"/>
    <w:rsid w:val="79417CFB"/>
    <w:rsid w:val="7946346E"/>
    <w:rsid w:val="7972438F"/>
    <w:rsid w:val="7A6B547A"/>
    <w:rsid w:val="7B1E6AFF"/>
    <w:rsid w:val="7BA622EE"/>
    <w:rsid w:val="7C3631C4"/>
    <w:rsid w:val="7C5E4F06"/>
    <w:rsid w:val="7CAA1818"/>
    <w:rsid w:val="7CC83DBD"/>
    <w:rsid w:val="7D6C32B8"/>
    <w:rsid w:val="7D8D373C"/>
    <w:rsid w:val="7D9B4254"/>
    <w:rsid w:val="7DFF5690"/>
    <w:rsid w:val="7E225FB7"/>
    <w:rsid w:val="7E307F16"/>
    <w:rsid w:val="7EFF0A48"/>
    <w:rsid w:val="7F3525DD"/>
    <w:rsid w:val="7F415C94"/>
    <w:rsid w:val="7F4172EC"/>
    <w:rsid w:val="7F7166B2"/>
    <w:rsid w:val="7FB31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29</Pages>
  <Words>10682</Words>
  <Characters>12377</Characters>
  <Lines>69</Lines>
  <Paragraphs>19</Paragraphs>
  <TotalTime>3</TotalTime>
  <ScaleCrop>false</ScaleCrop>
  <LinksUpToDate>false</LinksUpToDate>
  <CharactersWithSpaces>13085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2022-04-21T02:56:37Z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6F9F7B4D0D754C78B611E1937DF6B5AC</vt:lpwstr>
  </property>
</Properties>
</file>