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bookmarkStart w:id="0" w:name="_GoBack"/>
      <w:r>
        <w:rPr>
          <w:rFonts w:hint="eastAsia" w:ascii="方正小标宋_GBK" w:hAnsi="宋体" w:eastAsia="方正小标宋_GBK"/>
          <w:kern w:val="0"/>
          <w:sz w:val="44"/>
          <w:szCs w:val="44"/>
          <w:highlight w:val="none"/>
        </w:rPr>
        <w:t>昌吉州</w:t>
      </w:r>
      <w:r>
        <w:rPr>
          <w:rFonts w:hint="eastAsia" w:ascii="方正小标宋_GBK" w:hAnsi="宋体" w:eastAsia="方正小标宋_GBK"/>
          <w:kern w:val="0"/>
          <w:sz w:val="44"/>
          <w:szCs w:val="44"/>
          <w:highlight w:val="none"/>
          <w:lang w:eastAsia="zh-CN"/>
        </w:rPr>
        <w:t>生态环境局</w:t>
      </w:r>
      <w:r>
        <w:rPr>
          <w:rFonts w:hint="eastAsia" w:ascii="方正小标宋_GBK" w:hAnsi="宋体" w:eastAsia="方正小标宋_GBK"/>
          <w:kern w:val="0"/>
          <w:sz w:val="44"/>
          <w:szCs w:val="44"/>
          <w:highlight w:val="none"/>
        </w:rPr>
        <w:t>202</w:t>
      </w:r>
      <w:r>
        <w:rPr>
          <w:rFonts w:hint="eastAsia" w:ascii="方正小标宋_GBK" w:hAnsi="宋体" w:eastAsia="方正小标宋_GBK"/>
          <w:kern w:val="0"/>
          <w:sz w:val="44"/>
          <w:szCs w:val="44"/>
          <w:highlight w:val="none"/>
          <w:lang w:val="en-US" w:eastAsia="zh-CN"/>
        </w:rPr>
        <w:t>2</w:t>
      </w:r>
      <w:r>
        <w:rPr>
          <w:rFonts w:hint="eastAsia" w:ascii="方正小标宋_GBK" w:hAnsi="宋体" w:eastAsia="方正小标宋_GBK"/>
          <w:kern w:val="0"/>
          <w:sz w:val="44"/>
          <w:szCs w:val="44"/>
          <w:highlight w:val="none"/>
        </w:rPr>
        <w:t>年</w:t>
      </w:r>
      <w:r>
        <w:rPr>
          <w:rFonts w:hint="eastAsia" w:ascii="方正小标宋_GBK" w:hAnsi="宋体" w:eastAsia="方正小标宋_GBK"/>
          <w:kern w:val="0"/>
          <w:sz w:val="44"/>
          <w:szCs w:val="44"/>
          <w:highlight w:val="none"/>
          <w:lang w:eastAsia="zh-CN"/>
        </w:rPr>
        <w:t>部门</w:t>
      </w:r>
      <w:r>
        <w:rPr>
          <w:rFonts w:hint="eastAsia" w:ascii="方正小标宋_GBK" w:hAnsi="宋体" w:eastAsia="方正小标宋_GBK"/>
          <w:kern w:val="0"/>
          <w:sz w:val="44"/>
          <w:szCs w:val="44"/>
          <w:highlight w:val="none"/>
        </w:rPr>
        <w:t>预算公开</w:t>
      </w:r>
    </w:p>
    <w:bookmarkEnd w:id="0"/>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宋体" w:eastAsia="仿宋_GB2312"/>
          <w:b/>
          <w:kern w:val="0"/>
          <w:sz w:val="32"/>
          <w:szCs w:val="32"/>
          <w:highlight w:val="none"/>
        </w:rPr>
        <w:t>昌吉州</w:t>
      </w:r>
      <w:r>
        <w:rPr>
          <w:rFonts w:hint="eastAsia" w:ascii="仿宋_GB2312" w:hAnsi="宋体" w:eastAsia="仿宋_GB2312" w:cs="Times New Roman"/>
          <w:b/>
          <w:kern w:val="0"/>
          <w:sz w:val="32"/>
          <w:szCs w:val="32"/>
          <w:highlight w:val="none"/>
          <w:lang w:eastAsia="zh-CN"/>
        </w:rPr>
        <w:t>生态环境局</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2022年部门（单位）预算公开表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宋体" w:eastAsia="仿宋_GB2312"/>
          <w:kern w:val="0"/>
          <w:sz w:val="32"/>
          <w:szCs w:val="32"/>
          <w:highlight w:val="none"/>
        </w:rPr>
        <w:t>昌吉州</w:t>
      </w:r>
      <w:r>
        <w:rPr>
          <w:rFonts w:hint="eastAsia" w:ascii="仿宋_GB2312" w:hAnsi="宋体" w:eastAsia="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w:t>
      </w:r>
      <w:r>
        <w:rPr>
          <w:rFonts w:hint="eastAsia" w:ascii="黑体" w:hAnsi="黑体" w:eastAsia="黑体"/>
          <w:kern w:val="0"/>
          <w:sz w:val="32"/>
          <w:szCs w:val="32"/>
          <w:highlight w:val="none"/>
          <w:lang w:eastAsia="zh-CN"/>
        </w:rPr>
        <w:t>生态环境局</w:t>
      </w:r>
      <w:r>
        <w:rPr>
          <w:rFonts w:hint="eastAsia" w:ascii="黑体" w:hAnsi="黑体" w:eastAsia="黑体"/>
          <w:kern w:val="0"/>
          <w:sz w:val="32"/>
          <w:szCs w:val="32"/>
          <w:highlight w:val="none"/>
        </w:rPr>
        <w:t>单位概况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40" w:lineRule="exact"/>
        <w:jc w:val="left"/>
        <w:rPr>
          <w:rFonts w:ascii="仿宋_GB2312" w:hAnsi="宋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w:t>
      </w:r>
      <w:r>
        <w:rPr>
          <w:rFonts w:hint="eastAsia" w:ascii="仿宋_GB2312" w:hAnsi="宋体" w:eastAsia="仿宋_GB2312" w:cs="宋体"/>
          <w:kern w:val="0"/>
          <w:sz w:val="32"/>
          <w:szCs w:val="32"/>
          <w:highlight w:val="none"/>
        </w:rPr>
        <w:t>落实国家环境保护基本制度。负责重大环境问题的统筹协调和监督管理。承担落实自治区和自治州减排目标的责任。承担从源头上预防、控制环境污染和环境破坏的责任。负责环境污染防治的监督管理。指导、协调、监督生态保护工作。负责核安全和辐射安全的监督管理。负责环境监测和信息发布。开展环境保护科技工作。组织、指导和协调环境保护宣传教育工作。指导自治州环境保护队伍建设；规划与组织指导全州环保系统在职人员岗位培训。承担自治州人民政府交办的其他事项。　</w:t>
      </w:r>
      <w:r>
        <w:rPr>
          <w:rFonts w:hint="eastAsia" w:ascii="仿宋_GB2312" w:hAnsi="宋体" w:eastAsia="仿宋_GB2312" w:cs="宋体"/>
          <w:bCs/>
          <w:kern w:val="0"/>
          <w:sz w:val="32"/>
          <w:szCs w:val="32"/>
          <w:highlight w:val="none"/>
        </w:rPr>
        <w:t xml:space="preserve"> </w:t>
      </w:r>
    </w:p>
    <w:p>
      <w:pPr>
        <w:widowControl/>
        <w:spacing w:line="540" w:lineRule="exact"/>
        <w:ind w:firstLine="643" w:firstLineChars="200"/>
        <w:jc w:val="left"/>
        <w:rPr>
          <w:rFonts w:hint="eastAsia" w:ascii="仿宋_GB2312" w:hAnsi="宋体" w:eastAsia="仿宋_GB2312" w:cs="宋体"/>
          <w:b/>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lang w:eastAsia="zh-CN"/>
        </w:rPr>
        <w:t>昌吉州生态环境局</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7</w:t>
      </w:r>
      <w:r>
        <w:rPr>
          <w:rFonts w:hint="eastAsia" w:ascii="仿宋_GB2312" w:hAnsi="黑体" w:eastAsia="仿宋_GB2312" w:cs="宋体"/>
          <w:bCs/>
          <w:kern w:val="0"/>
          <w:sz w:val="32"/>
          <w:szCs w:val="32"/>
          <w:highlight w:val="none"/>
        </w:rPr>
        <w:t>个科室，分别是：</w:t>
      </w:r>
      <w:r>
        <w:rPr>
          <w:rFonts w:hint="eastAsia" w:ascii="仿宋_GB2312" w:hAnsi="宋体" w:eastAsia="仿宋_GB2312" w:cs="宋体"/>
          <w:kern w:val="0"/>
          <w:sz w:val="32"/>
          <w:szCs w:val="32"/>
          <w:highlight w:val="none"/>
          <w:lang w:eastAsia="zh-CN"/>
        </w:rPr>
        <w:t>办公室、组织人事宣教科、科技与财务科、大气环境科、水与土壤生态环境科、行政审批科、安全生产管理科。</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color w:val="auto"/>
          <w:kern w:val="0"/>
          <w:sz w:val="32"/>
          <w:szCs w:val="32"/>
          <w:highlight w:val="none"/>
          <w:lang w:eastAsia="zh-CN"/>
        </w:rPr>
        <w:t>昌吉州生态环境局</w:t>
      </w:r>
      <w:r>
        <w:rPr>
          <w:rFonts w:hint="eastAsia" w:ascii="仿宋_GB2312" w:hAnsi="宋体" w:eastAsia="仿宋_GB2312" w:cs="宋体"/>
          <w:kern w:val="0"/>
          <w:sz w:val="32"/>
          <w:szCs w:val="32"/>
          <w:highlight w:val="none"/>
        </w:rPr>
        <w:t>编制数</w:t>
      </w:r>
      <w:r>
        <w:rPr>
          <w:rFonts w:hint="eastAsia" w:ascii="仿宋_GB2312" w:hAnsi="宋体" w:eastAsia="仿宋_GB2312" w:cs="宋体"/>
          <w:kern w:val="0"/>
          <w:sz w:val="32"/>
          <w:szCs w:val="32"/>
          <w:highlight w:val="none"/>
          <w:lang w:val="en-US" w:eastAsia="zh-CN"/>
        </w:rPr>
        <w:t>23</w:t>
      </w:r>
      <w:r>
        <w:rPr>
          <w:rFonts w:hint="eastAsia" w:ascii="仿宋_GB2312" w:hAnsi="宋体" w:eastAsia="仿宋_GB2312" w:cs="宋体"/>
          <w:color w:val="auto"/>
          <w:kern w:val="0"/>
          <w:sz w:val="32"/>
          <w:szCs w:val="32"/>
          <w:highlight w:val="none"/>
          <w:lang w:val="en-US" w:eastAsia="zh-CN"/>
        </w:rPr>
        <w:t>人</w:t>
      </w:r>
      <w:r>
        <w:rPr>
          <w:rFonts w:hint="eastAsia" w:ascii="仿宋_GB2312" w:hAnsi="宋体" w:eastAsia="仿宋_GB2312" w:cs="宋体"/>
          <w:kern w:val="0"/>
          <w:sz w:val="32"/>
          <w:szCs w:val="32"/>
          <w:highlight w:val="none"/>
        </w:rPr>
        <w:t>，实有人数</w:t>
      </w:r>
      <w:r>
        <w:rPr>
          <w:rFonts w:hint="eastAsia" w:ascii="仿宋_GB2312" w:hAnsi="宋体" w:eastAsia="仿宋_GB2312" w:cs="宋体"/>
          <w:kern w:val="0"/>
          <w:sz w:val="32"/>
          <w:szCs w:val="32"/>
          <w:highlight w:val="none"/>
          <w:lang w:val="en-US" w:eastAsia="zh-CN"/>
        </w:rPr>
        <w:t>30</w:t>
      </w:r>
      <w:r>
        <w:rPr>
          <w:rFonts w:hint="eastAsia" w:ascii="仿宋_GB2312" w:hAnsi="宋体" w:eastAsia="仿宋_GB2312" w:cs="宋体"/>
          <w:kern w:val="0"/>
          <w:sz w:val="32"/>
          <w:szCs w:val="32"/>
          <w:highlight w:val="none"/>
        </w:rPr>
        <w:t xml:space="preserve">人，其中：在职 </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人，</w:t>
      </w:r>
      <w:r>
        <w:rPr>
          <w:rFonts w:hint="eastAsia" w:ascii="仿宋_GB2312" w:hAnsi="宋体" w:eastAsia="仿宋_GB2312" w:cs="宋体"/>
          <w:color w:val="auto"/>
          <w:kern w:val="0"/>
          <w:sz w:val="32"/>
          <w:szCs w:val="32"/>
          <w:highlight w:val="none"/>
          <w:lang w:eastAsia="zh-CN"/>
        </w:rPr>
        <w:t>增加</w:t>
      </w:r>
      <w:r>
        <w:rPr>
          <w:rFonts w:hint="eastAsia" w:ascii="仿宋_GB2312" w:hAnsi="宋体" w:eastAsia="仿宋_GB2312" w:cs="宋体"/>
          <w:color w:val="auto"/>
          <w:kern w:val="0"/>
          <w:sz w:val="32"/>
          <w:szCs w:val="32"/>
          <w:highlight w:val="none"/>
          <w:lang w:val="en-US" w:eastAsia="zh-CN"/>
        </w:rPr>
        <w:t>2</w:t>
      </w:r>
      <w:r>
        <w:rPr>
          <w:rFonts w:hint="eastAsia" w:ascii="仿宋_GB2312" w:hAnsi="宋体" w:eastAsia="仿宋_GB2312" w:cs="宋体"/>
          <w:color w:val="auto"/>
          <w:kern w:val="0"/>
          <w:sz w:val="32"/>
          <w:szCs w:val="32"/>
          <w:highlight w:val="none"/>
        </w:rPr>
        <w:t>人</w:t>
      </w:r>
      <w:r>
        <w:rPr>
          <w:rFonts w:hint="eastAsia" w:ascii="仿宋_GB2312" w:hAnsi="宋体" w:eastAsia="仿宋_GB2312" w:cs="宋体"/>
          <w:kern w:val="0"/>
          <w:sz w:val="32"/>
          <w:szCs w:val="32"/>
          <w:highlight w:val="none"/>
        </w:rPr>
        <w:t>；退休</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80" w:lineRule="exact"/>
        <w:ind w:firstLine="640"/>
        <w:jc w:val="left"/>
        <w:rPr>
          <w:rFonts w:ascii="仿宋_GB2312" w:hAnsi="宋体" w:eastAsia="仿宋_GB2312" w:cs="宋体"/>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both"/>
        <w:outlineLvl w:val="1"/>
        <w:rPr>
          <w:rFonts w:hint="eastAsia" w:ascii="仿宋_GB2312" w:hAnsi="宋体" w:eastAsia="仿宋_GB2312" w:cs="宋体"/>
          <w:b/>
          <w:kern w:val="0"/>
          <w:sz w:val="32"/>
          <w:szCs w:val="32"/>
          <w:highlight w:val="none"/>
        </w:rPr>
      </w:pPr>
    </w:p>
    <w:p>
      <w:pPr>
        <w:pStyle w:val="3"/>
        <w:rPr>
          <w:rFonts w:hint="eastAsia"/>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昌吉州生态环境局</w:t>
      </w:r>
      <w:r>
        <w:rPr>
          <w:rFonts w:hint="eastAsia" w:ascii="仿宋_GB2312" w:hAnsi="宋体" w:eastAsia="仿宋_GB2312"/>
          <w:kern w:val="0"/>
          <w:sz w:val="24"/>
          <w:highlight w:val="none"/>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632.35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172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632.35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161.968</w:t>
            </w:r>
          </w:p>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161.968</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30.52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23.24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hint="default" w:ascii="仿宋_GB2312" w:hAnsi="宋体" w:eastAsia="仿宋_GB2312" w:cs="宋体"/>
                <w:kern w:val="0"/>
                <w:sz w:val="18"/>
                <w:szCs w:val="18"/>
                <w:highlight w:val="none"/>
                <w:lang w:val="en-US"/>
              </w:rPr>
            </w:pPr>
            <w:r>
              <w:rPr>
                <w:rFonts w:hint="eastAsia" w:ascii="Calibri" w:hAnsi="Calibri" w:cs="Calibri"/>
                <w:i w:val="0"/>
                <w:color w:val="000000"/>
                <w:kern w:val="0"/>
                <w:sz w:val="18"/>
                <w:szCs w:val="18"/>
                <w:highlight w:val="none"/>
                <w:u w:val="none"/>
                <w:lang w:val="en-US" w:eastAsia="zh-CN" w:bidi="ar"/>
              </w:rPr>
              <w:t>540.34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default" w:ascii="Calibri" w:hAnsi="Calibri" w:eastAsia="宋体" w:cs="Calibri"/>
                <w:i w:val="0"/>
                <w:color w:val="000000"/>
                <w:kern w:val="0"/>
                <w:sz w:val="22"/>
                <w:szCs w:val="22"/>
                <w:highlight w:val="none"/>
                <w:u w:val="none"/>
                <w:lang w:val="en-US" w:eastAsia="zh-CN" w:bidi="ar"/>
              </w:rPr>
              <w:t>26.25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1.968</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hint="default" w:ascii="仿宋_GB2312" w:hAnsi="宋体" w:eastAsia="仿宋_GB2312" w:cs="宋体"/>
                <w:kern w:val="0"/>
                <w:sz w:val="18"/>
                <w:szCs w:val="18"/>
                <w:highlight w:val="none"/>
                <w:lang w:val="en-US"/>
              </w:rPr>
            </w:pPr>
            <w:r>
              <w:rPr>
                <w:rFonts w:hint="eastAsia" w:ascii="Calibri" w:hAnsi="Calibri" w:cs="Calibri"/>
                <w:i w:val="0"/>
                <w:color w:val="000000"/>
                <w:kern w:val="0"/>
                <w:sz w:val="22"/>
                <w:szCs w:val="22"/>
                <w:highlight w:val="none"/>
                <w:u w:val="none"/>
                <w:lang w:val="en-US" w:eastAsia="zh-CN" w:bidi="ar"/>
              </w:rPr>
              <w:t>794.318</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kern w:val="0"/>
                <w:sz w:val="18"/>
                <w:szCs w:val="18"/>
                <w:highlight w:val="none"/>
              </w:rPr>
            </w:pPr>
            <w:r>
              <w:rPr>
                <w:rFonts w:hint="eastAsia" w:ascii="Calibri" w:hAnsi="Calibri" w:cs="Calibri"/>
                <w:i w:val="0"/>
                <w:color w:val="000000"/>
                <w:kern w:val="0"/>
                <w:sz w:val="22"/>
                <w:szCs w:val="22"/>
                <w:highlight w:val="none"/>
                <w:u w:val="none"/>
                <w:lang w:val="en-US" w:eastAsia="zh-CN" w:bidi="ar"/>
              </w:rPr>
              <w:t>794.318</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昌吉州生态环境局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p>
      <w:pPr>
        <w:jc w:val="right"/>
        <w:rPr>
          <w:rFonts w:hint="eastAsia" w:ascii="仿宋_GB2312" w:eastAsia="仿宋_GB2312"/>
          <w:color w:val="000000"/>
          <w:sz w:val="20"/>
          <w:szCs w:val="20"/>
          <w:highlight w:val="none"/>
        </w:rPr>
      </w:pPr>
      <w:r>
        <w:rPr>
          <w:rFonts w:hint="eastAsia" w:ascii="仿宋_GB2312" w:eastAsia="仿宋_GB2312"/>
          <w:color w:val="000000"/>
          <w:sz w:val="20"/>
          <w:szCs w:val="20"/>
          <w:highlight w:val="none"/>
        </w:rPr>
        <w:t xml:space="preserve">                                    </w:t>
      </w:r>
    </w:p>
    <w:tbl>
      <w:tblPr>
        <w:tblStyle w:val="6"/>
        <w:tblW w:w="10148" w:type="dxa"/>
        <w:tblInd w:w="-450" w:type="dxa"/>
        <w:tblLayout w:type="fixed"/>
        <w:tblCellMar>
          <w:top w:w="0" w:type="dxa"/>
          <w:left w:w="108" w:type="dxa"/>
          <w:bottom w:w="0" w:type="dxa"/>
          <w:right w:w="108" w:type="dxa"/>
        </w:tblCellMar>
      </w:tblPr>
      <w:tblGrid>
        <w:gridCol w:w="594"/>
        <w:gridCol w:w="479"/>
        <w:gridCol w:w="495"/>
        <w:gridCol w:w="1740"/>
        <w:gridCol w:w="960"/>
        <w:gridCol w:w="915"/>
        <w:gridCol w:w="790"/>
        <w:gridCol w:w="795"/>
        <w:gridCol w:w="800"/>
        <w:gridCol w:w="781"/>
        <w:gridCol w:w="766"/>
        <w:gridCol w:w="1033"/>
      </w:tblGrid>
      <w:tr>
        <w:tblPrEx>
          <w:tblCellMar>
            <w:top w:w="0" w:type="dxa"/>
            <w:left w:w="108" w:type="dxa"/>
            <w:bottom w:w="0" w:type="dxa"/>
            <w:right w:w="108" w:type="dxa"/>
          </w:tblCellMar>
        </w:tblPrEx>
        <w:trPr>
          <w:trHeight w:val="98" w:hRule="atLeast"/>
        </w:trPr>
        <w:tc>
          <w:tcPr>
            <w:tcW w:w="1568" w:type="dxa"/>
            <w:gridSpan w:val="3"/>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w:t>
            </w:r>
            <w:r>
              <w:rPr>
                <w:rFonts w:hint="eastAsia" w:ascii="仿宋_GB2312" w:eastAsia="仿宋_GB2312"/>
                <w:color w:val="000000"/>
                <w:sz w:val="20"/>
                <w:szCs w:val="20"/>
                <w:highlight w:val="none"/>
              </w:rPr>
              <w:t>能分类科目编码</w:t>
            </w:r>
          </w:p>
        </w:tc>
        <w:tc>
          <w:tcPr>
            <w:tcW w:w="17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915" w:type="dxa"/>
            <w:tcBorders>
              <w:top w:val="single" w:color="auto" w:sz="4" w:space="0"/>
              <w:left w:val="single" w:color="auto" w:sz="4" w:space="0"/>
              <w:bottom w:val="single" w:color="000000" w:sz="4" w:space="0"/>
              <w:right w:val="single" w:color="auto" w:sz="4" w:space="0"/>
            </w:tcBorders>
            <w:vAlign w:val="center"/>
          </w:tcPr>
          <w:p>
            <w:pPr>
              <w:jc w:val="right"/>
              <w:rPr>
                <w:rFonts w:hint="eastAsia" w:ascii="仿宋_GB2312" w:eastAsia="仿宋_GB2312"/>
                <w:color w:val="000000"/>
                <w:sz w:val="20"/>
                <w:szCs w:val="20"/>
                <w:highlight w:val="none"/>
              </w:rPr>
            </w:pPr>
            <w:r>
              <w:rPr>
                <w:rFonts w:hint="eastAsia" w:ascii="仿宋_GB2312" w:eastAsia="仿宋_GB2312"/>
                <w:color w:val="000000"/>
                <w:sz w:val="20"/>
                <w:szCs w:val="20"/>
                <w:highlight w:val="none"/>
              </w:rPr>
              <w:t>一般公共预算拨款</w:t>
            </w:r>
          </w:p>
        </w:tc>
        <w:tc>
          <w:tcPr>
            <w:tcW w:w="7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8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78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6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103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28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7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74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60" w:type="dxa"/>
            <w:tcBorders>
              <w:top w:val="single" w:color="auto" w:sz="4" w:space="0"/>
              <w:left w:val="single" w:color="auto" w:sz="4" w:space="0"/>
              <w:bottom w:val="single" w:color="000000" w:sz="4" w:space="0"/>
              <w:right w:val="single" w:color="auto" w:sz="4" w:space="0"/>
            </w:tcBorders>
            <w:vAlign w:val="center"/>
          </w:tcPr>
          <w:p>
            <w:pPr>
              <w:jc w:val="right"/>
              <w:rPr>
                <w:rFonts w:ascii="仿宋_GB2312" w:hAnsi="宋体" w:eastAsia="仿宋_GB2312" w:cs="宋体"/>
                <w:color w:val="000000"/>
                <w:sz w:val="20"/>
                <w:szCs w:val="20"/>
                <w:highlight w:val="none"/>
              </w:rPr>
            </w:pPr>
          </w:p>
        </w:tc>
        <w:tc>
          <w:tcPr>
            <w:tcW w:w="91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9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0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8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66"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1033"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79" w:type="dxa"/>
            <w:tcBorders>
              <w:top w:val="nil"/>
              <w:left w:val="nil"/>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95" w:type="dxa"/>
            <w:tcBorders>
              <w:top w:val="nil"/>
              <w:left w:val="nil"/>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一般公共服务支出</w:t>
            </w:r>
          </w:p>
        </w:tc>
        <w:tc>
          <w:tcPr>
            <w:tcW w:w="96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c>
          <w:tcPr>
            <w:tcW w:w="915"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c>
          <w:tcPr>
            <w:tcW w:w="79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79" w:type="dxa"/>
            <w:tcBorders>
              <w:top w:val="nil"/>
              <w:left w:val="nil"/>
              <w:bottom w:val="single" w:color="auto" w:sz="4" w:space="0"/>
              <w:right w:val="single" w:color="auto" w:sz="4" w:space="0"/>
            </w:tcBorders>
            <w:shd w:val="clear" w:color="auto" w:fill="auto"/>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33</w:t>
            </w:r>
          </w:p>
        </w:tc>
        <w:tc>
          <w:tcPr>
            <w:tcW w:w="495" w:type="dxa"/>
            <w:tcBorders>
              <w:top w:val="nil"/>
              <w:left w:val="nil"/>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宣传事务</w:t>
            </w:r>
          </w:p>
        </w:tc>
        <w:tc>
          <w:tcPr>
            <w:tcW w:w="96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915"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79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79" w:type="dxa"/>
            <w:tcBorders>
              <w:top w:val="nil"/>
              <w:left w:val="nil"/>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33</w:t>
            </w:r>
          </w:p>
        </w:tc>
        <w:tc>
          <w:tcPr>
            <w:tcW w:w="495" w:type="dxa"/>
            <w:tcBorders>
              <w:top w:val="nil"/>
              <w:left w:val="nil"/>
              <w:bottom w:val="single" w:color="auto" w:sz="4" w:space="0"/>
              <w:right w:val="single" w:color="auto" w:sz="4" w:space="0"/>
            </w:tcBorders>
            <w:shd w:val="clear" w:color="auto" w:fill="auto"/>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04</w:t>
            </w:r>
          </w:p>
        </w:tc>
        <w:tc>
          <w:tcPr>
            <w:tcW w:w="17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宣传管理</w:t>
            </w:r>
          </w:p>
        </w:tc>
        <w:tc>
          <w:tcPr>
            <w:tcW w:w="96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915"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790" w:type="dxa"/>
            <w:tcBorders>
              <w:top w:val="nil"/>
              <w:left w:val="nil"/>
              <w:bottom w:val="single" w:color="auto" w:sz="4" w:space="0"/>
              <w:right w:val="single" w:color="auto" w:sz="4" w:space="0"/>
            </w:tcBorders>
            <w:shd w:val="clear" w:color="000000" w:fill="FFFFFF"/>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其他一般公共服务支出</w:t>
            </w:r>
          </w:p>
        </w:tc>
        <w:tc>
          <w:tcPr>
            <w:tcW w:w="960"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91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其他一般公共服务支出</w:t>
            </w:r>
          </w:p>
        </w:tc>
        <w:tc>
          <w:tcPr>
            <w:tcW w:w="960"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91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社会保障和就业支出</w:t>
            </w:r>
          </w:p>
        </w:tc>
        <w:tc>
          <w:tcPr>
            <w:tcW w:w="960"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91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行政事业单位养老支出</w:t>
            </w:r>
          </w:p>
        </w:tc>
        <w:tc>
          <w:tcPr>
            <w:tcW w:w="960"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91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行政单位离退休</w:t>
            </w:r>
          </w:p>
        </w:tc>
        <w:tc>
          <w:tcPr>
            <w:tcW w:w="960"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91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机关事业单位基本养老保险缴费支出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卫生健康支出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行政事业单位医疗</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行政单位医疗</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公务员医疗补助</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4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其他行政事业单位医疗支出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88"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节能环保支出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380.34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380.34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r>
      <w:tr>
        <w:tblPrEx>
          <w:tblCellMar>
            <w:top w:w="0" w:type="dxa"/>
            <w:left w:w="108" w:type="dxa"/>
            <w:bottom w:w="0" w:type="dxa"/>
            <w:right w:w="108" w:type="dxa"/>
          </w:tblCellMar>
        </w:tblPrEx>
        <w:trPr>
          <w:trHeight w:val="488"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211</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环境保护管理事务</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r>
      <w:tr>
        <w:tblPrEx>
          <w:tblCellMar>
            <w:top w:w="0" w:type="dxa"/>
            <w:left w:w="108" w:type="dxa"/>
            <w:bottom w:w="0" w:type="dxa"/>
            <w:right w:w="108" w:type="dxa"/>
          </w:tblCellMar>
        </w:tblPrEx>
        <w:trPr>
          <w:trHeight w:val="488"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211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行政运行</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b/>
                <w:bCs/>
                <w:color w:val="000000"/>
                <w:kern w:val="0"/>
                <w:sz w:val="20"/>
                <w:szCs w:val="20"/>
                <w:highlight w:val="none"/>
                <w:lang w:val="en-US"/>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b/>
                <w:bCs/>
                <w:color w:val="000000"/>
                <w:kern w:val="0"/>
                <w:sz w:val="20"/>
                <w:szCs w:val="20"/>
                <w:highlight w:val="none"/>
                <w:lang w:val="en-US"/>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160</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环境监测与监察</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建设项目环评审查与监督</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污染防治</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其他污染防治支出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住房保障支出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79"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住房改革支出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79"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95"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住房公积金</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790"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8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8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80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8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6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99</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80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8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6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99</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99</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96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c>
          <w:tcPr>
            <w:tcW w:w="91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80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8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6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　</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　</w:t>
            </w:r>
          </w:p>
        </w:tc>
        <w:tc>
          <w:tcPr>
            <w:tcW w:w="4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　</w:t>
            </w:r>
          </w:p>
        </w:tc>
        <w:tc>
          <w:tcPr>
            <w:tcW w:w="174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合  计　</w:t>
            </w:r>
          </w:p>
        </w:tc>
        <w:tc>
          <w:tcPr>
            <w:tcW w:w="960"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794.318</w:t>
            </w:r>
          </w:p>
        </w:tc>
        <w:tc>
          <w:tcPr>
            <w:tcW w:w="915"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632.35</w:t>
            </w:r>
          </w:p>
        </w:tc>
        <w:tc>
          <w:tcPr>
            <w:tcW w:w="79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80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8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76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1033"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161.968</w:t>
            </w:r>
          </w:p>
        </w:tc>
      </w:tr>
    </w:tbl>
    <w:p>
      <w:pPr>
        <w:widowControl/>
        <w:spacing w:line="280" w:lineRule="exact"/>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pStyle w:val="3"/>
        <w:rPr>
          <w:rFonts w:hint="eastAsia"/>
          <w:highlight w:val="none"/>
        </w:rPr>
      </w:pPr>
    </w:p>
    <w:p>
      <w:pPr>
        <w:widowControl/>
        <w:spacing w:line="280" w:lineRule="exact"/>
        <w:outlineLvl w:val="1"/>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昌吉州生态环境局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                                  </w:t>
      </w:r>
    </w:p>
    <w:tbl>
      <w:tblPr>
        <w:tblStyle w:val="6"/>
        <w:tblW w:w="9420" w:type="dxa"/>
        <w:tblInd w:w="-240" w:type="dxa"/>
        <w:tblLayout w:type="fixed"/>
        <w:tblCellMar>
          <w:top w:w="0" w:type="dxa"/>
          <w:left w:w="108" w:type="dxa"/>
          <w:bottom w:w="0" w:type="dxa"/>
          <w:right w:w="108" w:type="dxa"/>
        </w:tblCellMar>
      </w:tblPr>
      <w:tblGrid>
        <w:gridCol w:w="533"/>
        <w:gridCol w:w="480"/>
        <w:gridCol w:w="420"/>
        <w:gridCol w:w="2372"/>
        <w:gridCol w:w="1855"/>
        <w:gridCol w:w="1856"/>
        <w:gridCol w:w="1904"/>
      </w:tblGrid>
      <w:tr>
        <w:tblPrEx>
          <w:tblCellMar>
            <w:top w:w="0" w:type="dxa"/>
            <w:left w:w="108" w:type="dxa"/>
            <w:bottom w:w="0" w:type="dxa"/>
            <w:right w:w="108" w:type="dxa"/>
          </w:tblCellMar>
        </w:tblPrEx>
        <w:trPr>
          <w:trHeight w:val="380"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59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372" w:type="dxa"/>
            <w:tcBorders>
              <w:top w:val="nil"/>
              <w:left w:val="single" w:color="auto" w:sz="4" w:space="0"/>
              <w:bottom w:val="single" w:color="000000" w:sz="4" w:space="0"/>
              <w:right w:val="single" w:color="auto" w:sz="4" w:space="0"/>
            </w:tcBorders>
            <w:vAlign w:val="center"/>
          </w:tcPr>
          <w:p>
            <w:pPr>
              <w:widowControl/>
              <w:spacing w:line="280" w:lineRule="exact"/>
              <w:outlineLvl w:val="1"/>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w:t>
            </w:r>
            <w:r>
              <w:rPr>
                <w:rFonts w:hint="eastAsia" w:ascii="仿宋_GB2312" w:hAnsi="宋体" w:eastAsia="仿宋_GB2312"/>
                <w:b/>
                <w:kern w:val="0"/>
                <w:sz w:val="28"/>
                <w:szCs w:val="32"/>
                <w:highlight w:val="none"/>
              </w:rPr>
              <w:t>名称</w:t>
            </w:r>
          </w:p>
        </w:tc>
        <w:tc>
          <w:tcPr>
            <w:tcW w:w="1855"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3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8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372"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5"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6"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33</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宣传事务</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201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33</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04</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eastAsia="zh-CN"/>
              </w:rPr>
              <w:t>宣传管理</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60</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其他一般公共服务支出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201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其他一般公共服务支出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112</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widowControl/>
              <w:spacing w:line="280" w:lineRule="exact"/>
              <w:outlineLvl w:val="1"/>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widowControl/>
              <w:spacing w:line="280" w:lineRule="exact"/>
              <w:outlineLvl w:val="1"/>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372" w:type="dxa"/>
            <w:tcBorders>
              <w:top w:val="nil"/>
              <w:left w:val="nil"/>
              <w:bottom w:val="single" w:color="auto" w:sz="4" w:space="0"/>
              <w:right w:val="single" w:color="auto" w:sz="4" w:space="0"/>
            </w:tcBorders>
            <w:vAlign w:val="center"/>
          </w:tcPr>
          <w:p>
            <w:pPr>
              <w:widowControl/>
              <w:spacing w:line="280" w:lineRule="exact"/>
              <w:outlineLvl w:val="1"/>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行政单位离退休</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机关事业单位基本养老保险缴费支出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卫生健康支出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行政事业单位医疗</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行政单位医疗</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公务员医疗补助</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其他行政事业单位医疗支出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节能环保支出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540.34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 xml:space="preserve">             125</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环境保护管理事务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211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行政运行</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415.34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环境监测与监察</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02</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建设项目环评审查与监督</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污染防治</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其他污染防治支出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住房保障支出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住房改革支出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02</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住房公积金</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80"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229</w:t>
            </w:r>
          </w:p>
        </w:tc>
        <w:tc>
          <w:tcPr>
            <w:tcW w:w="48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420"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37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1.968</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1.968</w:t>
            </w:r>
          </w:p>
        </w:tc>
      </w:tr>
      <w:tr>
        <w:tblPrEx>
          <w:tblCellMar>
            <w:top w:w="0" w:type="dxa"/>
            <w:left w:w="108" w:type="dxa"/>
            <w:bottom w:w="0" w:type="dxa"/>
            <w:right w:w="108" w:type="dxa"/>
          </w:tblCellMar>
        </w:tblPrEx>
        <w:trPr>
          <w:trHeight w:val="405" w:hRule="atLeast"/>
        </w:trPr>
        <w:tc>
          <w:tcPr>
            <w:tcW w:w="533" w:type="dxa"/>
            <w:tcBorders>
              <w:top w:val="nil"/>
              <w:left w:val="single" w:color="auto" w:sz="4" w:space="0"/>
              <w:bottom w:val="single" w:color="auto" w:sz="4" w:space="0"/>
              <w:right w:val="single" w:color="auto" w:sz="4" w:space="0"/>
            </w:tcBorders>
            <w:vAlign w:val="center"/>
          </w:tcPr>
          <w:p>
            <w:pPr>
              <w:jc w:val="righ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sz w:val="20"/>
                <w:szCs w:val="20"/>
                <w:highlight w:val="none"/>
              </w:rPr>
              <w:t>　</w:t>
            </w:r>
          </w:p>
        </w:tc>
        <w:tc>
          <w:tcPr>
            <w:tcW w:w="48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sz w:val="20"/>
                <w:szCs w:val="20"/>
                <w:highlight w:val="none"/>
              </w:rPr>
              <w:t>　</w:t>
            </w:r>
          </w:p>
        </w:tc>
        <w:tc>
          <w:tcPr>
            <w:tcW w:w="420" w:type="dxa"/>
            <w:tcBorders>
              <w:top w:val="nil"/>
              <w:left w:val="nil"/>
              <w:bottom w:val="single" w:color="auto" w:sz="4" w:space="0"/>
              <w:right w:val="single" w:color="auto" w:sz="4" w:space="0"/>
            </w:tcBorders>
            <w:vAlign w:val="center"/>
          </w:tcPr>
          <w:p>
            <w:pPr>
              <w:jc w:val="right"/>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color w:val="000000"/>
                <w:sz w:val="20"/>
                <w:szCs w:val="20"/>
                <w:highlight w:val="none"/>
              </w:rPr>
              <w:t>　</w:t>
            </w:r>
          </w:p>
        </w:tc>
        <w:tc>
          <w:tcPr>
            <w:tcW w:w="2372"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kern w:val="0"/>
                <w:sz w:val="20"/>
                <w:szCs w:val="20"/>
                <w:highlight w:val="none"/>
              </w:rPr>
            </w:pPr>
            <w:r>
              <w:rPr>
                <w:rFonts w:hint="eastAsia" w:ascii="仿宋_GB2312" w:hAnsi="仿宋_GB2312" w:eastAsia="仿宋_GB2312" w:cs="仿宋_GB2312"/>
                <w:b/>
                <w:bCs/>
                <w:color w:val="000000"/>
                <w:sz w:val="20"/>
                <w:szCs w:val="20"/>
                <w:highlight w:val="none"/>
              </w:rPr>
              <w:t>合  计</w:t>
            </w:r>
            <w:r>
              <w:rPr>
                <w:rFonts w:hint="eastAsia" w:ascii="仿宋_GB2312" w:hAnsi="仿宋_GB2312" w:eastAsia="仿宋_GB2312" w:cs="仿宋_GB2312"/>
                <w:color w:val="000000"/>
                <w:sz w:val="20"/>
                <w:szCs w:val="20"/>
                <w:highlight w:val="none"/>
              </w:rPr>
              <w:t>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b/>
                <w:bCs/>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794.318</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b/>
                <w:bCs/>
                <w:color w:val="000000"/>
                <w:kern w:val="0"/>
                <w:sz w:val="20"/>
                <w:szCs w:val="20"/>
                <w:highlight w:val="none"/>
                <w:lang w:val="en-US"/>
              </w:rPr>
            </w:pPr>
            <w:r>
              <w:rPr>
                <w:rFonts w:hint="eastAsia" w:ascii="仿宋_GB2312" w:hAnsi="仿宋_GB2312" w:eastAsia="仿宋_GB2312" w:cs="仿宋_GB2312"/>
                <w:i w:val="0"/>
                <w:color w:val="000000"/>
                <w:kern w:val="0"/>
                <w:sz w:val="20"/>
                <w:szCs w:val="20"/>
                <w:highlight w:val="none"/>
                <w:u w:val="none"/>
                <w:lang w:val="en-US" w:eastAsia="zh-CN" w:bidi="ar"/>
              </w:rPr>
              <w:t>495.35</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298.968</w:t>
            </w:r>
          </w:p>
        </w:tc>
      </w:tr>
    </w:tbl>
    <w:p>
      <w:pPr>
        <w:widowControl/>
        <w:spacing w:line="280" w:lineRule="exact"/>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pStyle w:val="3"/>
        <w:rPr>
          <w:rFonts w:hint="eastAsia"/>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Cs w:val="21"/>
          <w:highlight w:val="none"/>
          <w:lang w:eastAsia="zh-CN"/>
        </w:rPr>
        <w:t>昌吉州生态环境局</w:t>
      </w:r>
      <w:r>
        <w:rPr>
          <w:rFonts w:hint="eastAsia" w:ascii="仿宋_GB2312" w:hAnsi="宋体" w:eastAsia="仿宋_GB2312"/>
          <w:kern w:val="0"/>
          <w:szCs w:val="21"/>
          <w:highlight w:val="none"/>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632.35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172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172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632.35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30.52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30.52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23.24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23.24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380.34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lang w:val="en-US" w:eastAsia="zh-CN"/>
              </w:rPr>
              <w:t>380.34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26.25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26.25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632.35</w:t>
            </w: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632.35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632.35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pStyle w:val="3"/>
        <w:rPr>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Cs w:val="21"/>
                <w:highlight w:val="none"/>
                <w:lang w:eastAsia="zh-CN"/>
              </w:rPr>
              <w:t>昌吉州生态环境局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172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33</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宣传事务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60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33</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04</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eastAsia="zh-CN"/>
              </w:rPr>
              <w:t>宣传管理</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60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60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其他一般公共服务支出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112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201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其他一般公共服务支出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112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112</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92"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outlineLvl w:val="1"/>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widowControl/>
              <w:spacing w:line="280" w:lineRule="exact"/>
              <w:outlineLvl w:val="1"/>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仿宋_GB2312" w:eastAsia="仿宋_GB2312" w:cs="仿宋_GB2312"/>
                <w:b w:val="0"/>
                <w:bCs w:val="0"/>
                <w:color w:val="000000"/>
                <w:kern w:val="0"/>
                <w:sz w:val="20"/>
                <w:szCs w:val="20"/>
                <w:highlight w:val="none"/>
                <w:lang w:val="en-US" w:eastAsia="zh-CN"/>
              </w:rPr>
            </w:pPr>
            <w:r>
              <w:rPr>
                <w:rFonts w:hint="eastAsia" w:ascii="仿宋_GB2312" w:hAnsi="仿宋_GB2312" w:eastAsia="仿宋_GB2312" w:cs="仿宋_GB2312"/>
                <w:b w:val="0"/>
                <w:bCs w:val="0"/>
                <w:color w:val="000000"/>
                <w:kern w:val="0"/>
                <w:sz w:val="20"/>
                <w:szCs w:val="20"/>
                <w:highlight w:val="none"/>
                <w:lang w:val="en-US" w:eastAsia="zh-CN"/>
              </w:rPr>
              <w:t>30.52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widowControl/>
              <w:spacing w:line="280" w:lineRule="exact"/>
              <w:outlineLvl w:val="1"/>
              <w:rPr>
                <w:rFonts w:ascii="宋体" w:hAnsi="宋体" w:cs="宋体"/>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行政单位离退休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both"/>
              <w:rPr>
                <w:rFonts w:ascii="宋体" w:hAnsi="宋体" w:cs="宋体"/>
                <w:color w:val="000000"/>
                <w:kern w:val="0"/>
                <w:sz w:val="20"/>
                <w:szCs w:val="20"/>
                <w:highlight w:val="none"/>
              </w:rPr>
            </w:pPr>
            <w:r>
              <w:rPr>
                <w:rFonts w:hint="eastAsia" w:ascii="仿宋_GB2312" w:hAnsi="仿宋_GB2312" w:eastAsia="仿宋_GB2312" w:cs="仿宋_GB2312"/>
                <w:b w:val="0"/>
                <w:bCs w:val="0"/>
                <w:color w:val="000000"/>
                <w:kern w:val="0"/>
                <w:sz w:val="20"/>
                <w:szCs w:val="20"/>
                <w:highlight w:val="none"/>
                <w:lang w:val="en-US" w:eastAsia="zh-CN"/>
              </w:rPr>
              <w:t>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208</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05</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29.52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92"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卫生健康支出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行政事业单位医疗</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23.24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行政单位医疗</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17.53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公务员医疗补助</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5.54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210</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11</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其他行政事业单位医疗支出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0.17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节能环保支出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380.34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ind w:firstLine="1000" w:firstLineChars="500"/>
              <w:jc w:val="left"/>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125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211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环境保护管理事务</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211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行政运行</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宋体" w:hAnsi="宋体" w:cs="宋体"/>
                <w:color w:val="000000"/>
                <w:kern w:val="0"/>
                <w:sz w:val="20"/>
                <w:szCs w:val="20"/>
                <w:highlight w:val="none"/>
                <w:lang w:val="en-US"/>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宋体" w:hAnsi="宋体" w:cs="宋体"/>
                <w:color w:val="000000"/>
                <w:kern w:val="0"/>
                <w:sz w:val="20"/>
                <w:szCs w:val="20"/>
                <w:highlight w:val="none"/>
                <w:lang w:val="en-US"/>
              </w:rPr>
            </w:pPr>
            <w:r>
              <w:rPr>
                <w:rFonts w:hint="eastAsia" w:ascii="仿宋_GB2312" w:hAnsi="仿宋_GB2312" w:eastAsia="仿宋_GB2312" w:cs="仿宋_GB2312"/>
                <w:i w:val="0"/>
                <w:color w:val="000000"/>
                <w:kern w:val="0"/>
                <w:sz w:val="20"/>
                <w:szCs w:val="20"/>
                <w:highlight w:val="none"/>
                <w:u w:val="none"/>
                <w:lang w:val="en-US" w:eastAsia="zh-CN" w:bidi="ar"/>
              </w:rPr>
              <w:t>255.34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环境监测与监察</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100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建设项目环评审查与监督</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100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污染防治</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03</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其他污染防治支出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92"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住房保障支出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92" w:type="dxa"/>
            <w:tcBorders>
              <w:top w:val="nil"/>
              <w:left w:val="nil"/>
              <w:bottom w:val="single" w:color="auto" w:sz="4" w:space="0"/>
              <w:right w:val="single" w:color="auto" w:sz="4" w:space="0"/>
            </w:tcBorders>
            <w:vAlign w:val="center"/>
          </w:tcPr>
          <w:p>
            <w:pPr>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both"/>
              <w:rPr>
                <w:rFonts w:hint="eastAsia" w:ascii="仿宋_GB2312" w:hAnsi="仿宋_GB2312" w:eastAsia="仿宋_GB2312" w:cs="仿宋_GB2312"/>
                <w:color w:val="000000"/>
                <w:sz w:val="20"/>
                <w:szCs w:val="20"/>
                <w:highlight w:val="none"/>
                <w:lang w:val="en-US" w:eastAsia="zh-CN"/>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住房改革支出</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i w:val="0"/>
                <w:color w:val="000000"/>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ascii="仿宋_GB2312" w:hAnsi="宋体" w:eastAsia="仿宋_GB2312" w:cs="宋体"/>
                <w:b/>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221</w:t>
            </w:r>
          </w:p>
        </w:tc>
        <w:tc>
          <w:tcPr>
            <w:tcW w:w="492"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02</w:t>
            </w:r>
          </w:p>
        </w:tc>
        <w:tc>
          <w:tcPr>
            <w:tcW w:w="417" w:type="dxa"/>
            <w:tcBorders>
              <w:top w:val="nil"/>
              <w:left w:val="nil"/>
              <w:bottom w:val="single" w:color="auto" w:sz="4" w:space="0"/>
              <w:right w:val="single" w:color="auto" w:sz="4" w:space="0"/>
            </w:tcBorders>
            <w:vAlign w:val="center"/>
          </w:tcPr>
          <w:p>
            <w:pPr>
              <w:jc w:val="both"/>
              <w:rPr>
                <w:rFonts w:ascii="仿宋_GB2312" w:hAnsi="宋体" w:eastAsia="仿宋_GB2312" w:cs="宋体"/>
                <w:b/>
                <w:color w:val="000000"/>
                <w:kern w:val="0"/>
                <w:sz w:val="20"/>
                <w:szCs w:val="20"/>
                <w:highlight w:val="none"/>
              </w:rPr>
            </w:pPr>
            <w:r>
              <w:rPr>
                <w:rFonts w:hint="eastAsia" w:ascii="仿宋_GB2312" w:hAnsi="仿宋_GB2312" w:eastAsia="仿宋_GB2312" w:cs="仿宋_GB2312"/>
                <w:color w:val="000000"/>
                <w:sz w:val="20"/>
                <w:szCs w:val="20"/>
                <w:highlight w:val="none"/>
                <w:lang w:val="en-US" w:eastAsia="zh-CN"/>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住房公积金</w:t>
            </w:r>
          </w:p>
        </w:tc>
        <w:tc>
          <w:tcPr>
            <w:tcW w:w="1684"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842"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ascii="宋体" w:hAnsi="宋体" w:cs="宋体"/>
                <w:color w:val="000000"/>
                <w:kern w:val="0"/>
                <w:sz w:val="20"/>
                <w:szCs w:val="20"/>
                <w:highlight w:val="none"/>
              </w:rPr>
            </w:pPr>
            <w:r>
              <w:rPr>
                <w:rFonts w:hint="eastAsia" w:ascii="仿宋_GB2312" w:hAnsi="仿宋_GB2312" w:eastAsia="仿宋_GB2312" w:cs="仿宋_GB2312"/>
                <w:i w:val="0"/>
                <w:color w:val="000000"/>
                <w:kern w:val="0"/>
                <w:sz w:val="20"/>
                <w:szCs w:val="20"/>
                <w:highlight w:val="none"/>
                <w:u w:val="none"/>
                <w:lang w:val="en-US" w:eastAsia="zh-CN" w:bidi="ar"/>
              </w:rPr>
              <w:t>26.25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highlight w:val="none"/>
              </w:rPr>
            </w:pPr>
            <w:r>
              <w:rPr>
                <w:rFonts w:hint="eastAsia" w:ascii="仿宋_GB2312" w:hAnsi="仿宋_GB2312" w:eastAsia="仿宋_GB2312" w:cs="仿宋_GB2312"/>
                <w:b/>
                <w:bCs/>
                <w:color w:val="000000"/>
                <w:sz w:val="20"/>
                <w:szCs w:val="20"/>
                <w:highlight w:val="none"/>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632.35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335.35</w:t>
            </w:r>
          </w:p>
        </w:tc>
        <w:tc>
          <w:tcPr>
            <w:tcW w:w="1701" w:type="dxa"/>
            <w:tcBorders>
              <w:top w:val="nil"/>
              <w:left w:val="nil"/>
              <w:bottom w:val="single" w:color="auto" w:sz="4" w:space="0"/>
              <w:right w:val="single" w:color="auto" w:sz="4" w:space="0"/>
            </w:tcBorders>
            <w:vAlign w:val="center"/>
          </w:tcPr>
          <w:p>
            <w:pPr>
              <w:widowControl/>
              <w:spacing w:line="280" w:lineRule="exact"/>
              <w:ind w:firstLine="1000" w:firstLineChars="500"/>
              <w:jc w:val="lef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297</w:t>
            </w:r>
          </w:p>
        </w:tc>
      </w:tr>
    </w:tbl>
    <w:p>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pStyle w:val="3"/>
        <w:rPr>
          <w:highlight w:val="none"/>
        </w:rPr>
      </w:pPr>
    </w:p>
    <w:p>
      <w:pPr>
        <w:rPr>
          <w:highlight w:val="none"/>
        </w:rPr>
      </w:pPr>
    </w:p>
    <w:p>
      <w:pPr>
        <w:pStyle w:val="3"/>
        <w:rPr>
          <w:highlight w:val="none"/>
        </w:rPr>
      </w:pPr>
    </w:p>
    <w:p>
      <w:pPr>
        <w:rPr>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Cs w:val="21"/>
                <w:highlight w:val="none"/>
                <w:lang w:eastAsia="zh-CN"/>
              </w:rPr>
              <w:t>昌吉州生态环境局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265.44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265.44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基本工资</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89.43</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89.43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津贴补贴</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89.69</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89.69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奖金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7.31</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7.31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29.52</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29.52</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城镇职工基本医疗保险缴费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17.53</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17.53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公务员医疗补助缴费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5.54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5.54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其他社会保障缴费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0.17</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0.17</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住房公积金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26.25</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26.25</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56.7</w:t>
            </w:r>
            <w:r>
              <w:rPr>
                <w:rFonts w:hint="eastAsia" w:ascii="仿宋_GB2312" w:hAnsi="仿宋_GB2312" w:eastAsia="仿宋_GB2312" w:cs="仿宋_GB2312"/>
                <w:color w:val="000000"/>
                <w:sz w:val="20"/>
                <w:szCs w:val="20"/>
                <w:highlight w:val="none"/>
                <w:lang w:val="en-US" w:eastAsia="zh-CN"/>
              </w:rPr>
              <w:t>7</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56.7</w:t>
            </w:r>
            <w:r>
              <w:rPr>
                <w:rFonts w:hint="eastAsia" w:ascii="仿宋_GB2312" w:hAnsi="仿宋_GB2312" w:eastAsia="仿宋_GB2312" w:cs="仿宋_GB2312"/>
                <w:color w:val="000000"/>
                <w:sz w:val="20"/>
                <w:szCs w:val="20"/>
                <w:highlight w:val="none"/>
                <w:lang w:val="en-US" w:eastAsia="zh-CN"/>
              </w:rPr>
              <w:t>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办公费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4.4</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4.4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邮电费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取暖费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24.72</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24.72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差旅费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3.8</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维修(护)费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公务接待费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0.39</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0.39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工会经费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3.47</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3.47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福利费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3.13</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3.13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公务用车运行维护费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其他交通费用</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0.3</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其他商品和服务支出</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3.56</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3.56</w:t>
            </w:r>
          </w:p>
        </w:tc>
      </w:tr>
      <w:tr>
        <w:tblPrEx>
          <w:tblCellMar>
            <w:top w:w="0" w:type="dxa"/>
            <w:left w:w="108" w:type="dxa"/>
            <w:bottom w:w="0" w:type="dxa"/>
            <w:right w:w="108" w:type="dxa"/>
          </w:tblCellMar>
        </w:tblPrEx>
        <w:trPr>
          <w:trHeight w:val="387"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对个人和家庭的补助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13.14</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13.14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387"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离休费</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医疗费补助</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10.89</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10.89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奖励金</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1.25</w:t>
            </w:r>
          </w:p>
        </w:tc>
        <w:tc>
          <w:tcPr>
            <w:tcW w:w="1701" w:type="dxa"/>
            <w:gridSpan w:val="2"/>
            <w:tcBorders>
              <w:top w:val="nil"/>
              <w:left w:val="nil"/>
              <w:bottom w:val="single" w:color="auto" w:sz="4" w:space="0"/>
              <w:right w:val="single" w:color="auto" w:sz="4" w:space="0"/>
            </w:tcBorders>
            <w:vAlign w:val="top"/>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default" w:ascii="仿宋_GB2312" w:hAnsi="仿宋_GB2312" w:eastAsia="仿宋_GB2312" w:cs="仿宋_GB2312"/>
                <w:color w:val="000000"/>
                <w:sz w:val="20"/>
                <w:szCs w:val="20"/>
                <w:highlight w:val="none"/>
                <w:lang w:val="en-US" w:eastAsia="zh-CN"/>
              </w:rPr>
              <w:t>1.25</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b/>
                <w:bCs/>
                <w:color w:val="000000"/>
                <w:sz w:val="20"/>
                <w:szCs w:val="20"/>
                <w:highlight w:val="none"/>
                <w:lang w:eastAsia="zh-CN"/>
              </w:rPr>
              <w:t>合  计</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335.35</w:t>
            </w:r>
          </w:p>
        </w:tc>
        <w:tc>
          <w:tcPr>
            <w:tcW w:w="1701" w:type="dxa"/>
            <w:gridSpan w:val="2"/>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278.58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56.7</w:t>
            </w:r>
            <w:r>
              <w:rPr>
                <w:rFonts w:hint="eastAsia" w:ascii="仿宋_GB2312" w:hAnsi="仿宋_GB2312" w:eastAsia="仿宋_GB2312" w:cs="仿宋_GB2312"/>
                <w:color w:val="000000"/>
                <w:sz w:val="20"/>
                <w:szCs w:val="20"/>
                <w:highlight w:val="none"/>
                <w:lang w:val="en-US" w:eastAsia="zh-CN"/>
              </w:rPr>
              <w:t>7</w:t>
            </w:r>
          </w:p>
        </w:tc>
      </w:tr>
    </w:tbl>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备注：无内容应公开空表并说明情况。</w:t>
      </w:r>
    </w:p>
    <w:p>
      <w:pPr>
        <w:pStyle w:val="3"/>
        <w:rPr>
          <w:rFonts w:hint="eastAsia" w:ascii="仿宋_GB2312" w:hAnsi="仿宋_GB2312" w:eastAsia="仿宋_GB2312" w:cs="仿宋_GB2312"/>
          <w:color w:val="000000"/>
          <w:sz w:val="20"/>
          <w:szCs w:val="20"/>
          <w:highlight w:val="none"/>
          <w:lang w:eastAsia="zh-CN"/>
        </w:rPr>
      </w:pPr>
    </w:p>
    <w:p>
      <w:pPr>
        <w:rPr>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8"/>
        <w:gridCol w:w="546"/>
        <w:gridCol w:w="480"/>
        <w:gridCol w:w="429"/>
        <w:gridCol w:w="1035"/>
        <w:gridCol w:w="1080"/>
        <w:gridCol w:w="670"/>
        <w:gridCol w:w="110"/>
        <w:gridCol w:w="585"/>
        <w:gridCol w:w="540"/>
        <w:gridCol w:w="52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Cs w:val="21"/>
                <w:highlight w:val="none"/>
                <w:lang w:eastAsia="zh-CN"/>
              </w:rPr>
              <w:t>昌吉州生态环境局</w:t>
            </w:r>
          </w:p>
        </w:tc>
        <w:tc>
          <w:tcPr>
            <w:tcW w:w="112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5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1463"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035"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080" w:type="dxa"/>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670"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695"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40"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522"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54"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80"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29"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035"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080" w:type="dxa"/>
            <w:tcBorders>
              <w:bottom w:val="single" w:color="auto" w:sz="4" w:space="0"/>
            </w:tcBorders>
          </w:tcPr>
          <w:p>
            <w:pPr>
              <w:widowControl/>
              <w:jc w:val="center"/>
              <w:outlineLvl w:val="1"/>
              <w:rPr>
                <w:rFonts w:hint="eastAsia" w:ascii="仿宋_GB2312" w:hAnsi="宋体" w:eastAsia="仿宋_GB2312"/>
                <w:kern w:val="0"/>
                <w:sz w:val="18"/>
                <w:szCs w:val="18"/>
                <w:highlight w:val="none"/>
                <w:lang w:val="en-US" w:eastAsia="zh-CN"/>
              </w:rPr>
            </w:pPr>
          </w:p>
        </w:tc>
        <w:tc>
          <w:tcPr>
            <w:tcW w:w="670"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95"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40"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22"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keepNext w:val="0"/>
              <w:keepLines w:val="0"/>
              <w:widowControl/>
              <w:suppressLineNumbers w:val="0"/>
              <w:jc w:val="left"/>
              <w:textAlignment w:val="top"/>
              <w:rPr>
                <w:rFonts w:hint="default" w:ascii="Calibri" w:hAnsi="Calibri" w:eastAsia="宋体" w:cs="Calibri"/>
                <w:i w:val="0"/>
                <w:color w:val="000000"/>
                <w:kern w:val="0"/>
                <w:sz w:val="18"/>
                <w:szCs w:val="18"/>
                <w:highlight w:val="none"/>
                <w:u w:val="none"/>
                <w:lang w:val="en-US" w:eastAsia="zh-CN" w:bidi="ar"/>
              </w:rPr>
            </w:pPr>
            <w:r>
              <w:rPr>
                <w:rFonts w:hint="eastAsia" w:ascii="Calibri" w:hAnsi="Calibri" w:cs="Calibri"/>
                <w:i w:val="0"/>
                <w:color w:val="000000"/>
                <w:kern w:val="0"/>
                <w:sz w:val="18"/>
                <w:szCs w:val="18"/>
                <w:highlight w:val="none"/>
                <w:u w:val="none"/>
                <w:lang w:val="en-US" w:eastAsia="zh-CN" w:bidi="ar"/>
              </w:rPr>
              <w:t>201</w:t>
            </w:r>
          </w:p>
        </w:tc>
        <w:tc>
          <w:tcPr>
            <w:tcW w:w="480" w:type="dxa"/>
          </w:tcPr>
          <w:p>
            <w:pPr>
              <w:keepNext w:val="0"/>
              <w:keepLines w:val="0"/>
              <w:widowControl/>
              <w:suppressLineNumbers w:val="0"/>
              <w:jc w:val="left"/>
              <w:textAlignment w:val="top"/>
              <w:rPr>
                <w:rFonts w:hint="eastAsia" w:ascii="仿宋_GB2312" w:hAnsi="宋体" w:eastAsia="仿宋_GB2312"/>
                <w:kern w:val="0"/>
                <w:sz w:val="18"/>
                <w:szCs w:val="18"/>
                <w:highlight w:val="none"/>
                <w:lang w:val="en-US" w:eastAsia="zh-CN"/>
              </w:rPr>
            </w:pPr>
          </w:p>
        </w:tc>
        <w:tc>
          <w:tcPr>
            <w:tcW w:w="429" w:type="dxa"/>
          </w:tcPr>
          <w:p>
            <w:pPr>
              <w:keepNext w:val="0"/>
              <w:keepLines w:val="0"/>
              <w:widowControl/>
              <w:suppressLineNumbers w:val="0"/>
              <w:jc w:val="left"/>
              <w:textAlignment w:val="top"/>
              <w:rPr>
                <w:rFonts w:hint="eastAsia" w:ascii="仿宋_GB2312" w:hAnsi="宋体" w:eastAsia="仿宋_GB2312"/>
                <w:kern w:val="0"/>
                <w:sz w:val="18"/>
                <w:szCs w:val="18"/>
                <w:highlight w:val="none"/>
                <w:lang w:val="en-US" w:eastAsia="zh-CN"/>
              </w:rPr>
            </w:pPr>
          </w:p>
        </w:tc>
        <w:tc>
          <w:tcPr>
            <w:tcW w:w="1035" w:type="dxa"/>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仿宋_GB2312" w:eastAsia="仿宋_GB2312" w:cs="仿宋_GB2312"/>
                <w:color w:val="000000"/>
                <w:sz w:val="20"/>
                <w:szCs w:val="20"/>
                <w:highlight w:val="none"/>
                <w:lang w:val="en-US" w:eastAsia="zh-CN"/>
              </w:rPr>
              <w:t>一般公共服务支出</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172</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172</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keepNext w:val="0"/>
              <w:keepLines w:val="0"/>
              <w:widowControl/>
              <w:suppressLineNumbers w:val="0"/>
              <w:jc w:val="left"/>
              <w:textAlignment w:val="top"/>
              <w:rPr>
                <w:rFonts w:hint="default" w:ascii="Calibri" w:hAnsi="Calibri" w:eastAsia="宋体" w:cs="Calibri"/>
                <w:i w:val="0"/>
                <w:color w:val="000000"/>
                <w:kern w:val="0"/>
                <w:sz w:val="18"/>
                <w:szCs w:val="18"/>
                <w:highlight w:val="none"/>
                <w:u w:val="none"/>
                <w:lang w:val="en-US" w:eastAsia="zh-CN" w:bidi="ar"/>
              </w:rPr>
            </w:pPr>
            <w:r>
              <w:rPr>
                <w:rFonts w:hint="eastAsia" w:ascii="Calibri" w:hAnsi="Calibri" w:cs="Calibri"/>
                <w:i w:val="0"/>
                <w:color w:val="000000"/>
                <w:kern w:val="0"/>
                <w:sz w:val="18"/>
                <w:szCs w:val="18"/>
                <w:highlight w:val="none"/>
                <w:u w:val="none"/>
                <w:lang w:val="en-US" w:eastAsia="zh-CN" w:bidi="ar"/>
              </w:rPr>
              <w:t>201</w:t>
            </w:r>
          </w:p>
        </w:tc>
        <w:tc>
          <w:tcPr>
            <w:tcW w:w="480" w:type="dxa"/>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33</w:t>
            </w:r>
          </w:p>
        </w:tc>
        <w:tc>
          <w:tcPr>
            <w:tcW w:w="429" w:type="dxa"/>
          </w:tcPr>
          <w:p>
            <w:pPr>
              <w:keepNext w:val="0"/>
              <w:keepLines w:val="0"/>
              <w:widowControl/>
              <w:suppressLineNumbers w:val="0"/>
              <w:jc w:val="left"/>
              <w:textAlignment w:val="top"/>
              <w:rPr>
                <w:rFonts w:hint="eastAsia" w:ascii="仿宋_GB2312" w:hAnsi="宋体" w:eastAsia="仿宋_GB2312"/>
                <w:kern w:val="0"/>
                <w:sz w:val="18"/>
                <w:szCs w:val="18"/>
                <w:highlight w:val="none"/>
                <w:lang w:val="en-US" w:eastAsia="zh-CN"/>
              </w:rPr>
            </w:pPr>
          </w:p>
        </w:tc>
        <w:tc>
          <w:tcPr>
            <w:tcW w:w="1035" w:type="dxa"/>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仿宋_GB2312" w:eastAsia="仿宋_GB2312" w:cs="仿宋_GB2312"/>
                <w:color w:val="000000"/>
                <w:sz w:val="20"/>
                <w:szCs w:val="20"/>
                <w:highlight w:val="none"/>
                <w:lang w:val="en-US" w:eastAsia="zh-CN"/>
              </w:rPr>
              <w:t>宣传事务</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60</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60</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keepNext w:val="0"/>
              <w:keepLines w:val="0"/>
              <w:widowControl/>
              <w:suppressLineNumbers w:val="0"/>
              <w:jc w:val="left"/>
              <w:textAlignment w:val="top"/>
              <w:rPr>
                <w:rFonts w:ascii="仿宋_GB2312" w:hAnsi="宋体" w:eastAsia="仿宋_GB2312"/>
                <w:kern w:val="0"/>
                <w:sz w:val="18"/>
                <w:szCs w:val="18"/>
                <w:highlight w:val="none"/>
              </w:rPr>
            </w:pPr>
            <w:r>
              <w:rPr>
                <w:rFonts w:hint="default" w:ascii="Calibri" w:hAnsi="Calibri" w:eastAsia="宋体" w:cs="Calibri"/>
                <w:i w:val="0"/>
                <w:color w:val="000000"/>
                <w:kern w:val="0"/>
                <w:sz w:val="18"/>
                <w:szCs w:val="18"/>
                <w:highlight w:val="none"/>
                <w:u w:val="none"/>
                <w:lang w:val="en-US" w:eastAsia="zh-CN" w:bidi="ar"/>
              </w:rPr>
              <w:t>201</w:t>
            </w:r>
          </w:p>
        </w:tc>
        <w:tc>
          <w:tcPr>
            <w:tcW w:w="480" w:type="dxa"/>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33</w:t>
            </w:r>
          </w:p>
        </w:tc>
        <w:tc>
          <w:tcPr>
            <w:tcW w:w="429" w:type="dxa"/>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04</w:t>
            </w:r>
          </w:p>
        </w:tc>
        <w:tc>
          <w:tcPr>
            <w:tcW w:w="1035" w:type="dxa"/>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宣传管理</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环境宣传教育</w:t>
            </w: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60</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60</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201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99+</w:t>
            </w:r>
          </w:p>
        </w:tc>
        <w:tc>
          <w:tcPr>
            <w:tcW w:w="429" w:type="dxa"/>
          </w:tcPr>
          <w:p>
            <w:pPr>
              <w:widowControl/>
              <w:jc w:val="center"/>
              <w:outlineLvl w:val="1"/>
              <w:rPr>
                <w:rFonts w:hint="eastAsia" w:ascii="仿宋_GB2312" w:hAnsi="宋体" w:eastAsia="仿宋_GB2312"/>
                <w:kern w:val="0"/>
                <w:sz w:val="18"/>
                <w:szCs w:val="18"/>
                <w:highlight w:val="none"/>
                <w:lang w:val="en-US" w:eastAsia="zh-CN"/>
              </w:rPr>
            </w:pPr>
          </w:p>
        </w:tc>
        <w:tc>
          <w:tcPr>
            <w:tcW w:w="1035" w:type="dxa"/>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其他一般公共服务支出</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112</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112</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201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99</w:t>
            </w:r>
          </w:p>
        </w:tc>
        <w:tc>
          <w:tcPr>
            <w:tcW w:w="42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99</w:t>
            </w:r>
          </w:p>
        </w:tc>
        <w:tc>
          <w:tcPr>
            <w:tcW w:w="1035" w:type="dxa"/>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其他一般公共服务支出</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机关运行补助经费</w:t>
            </w: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97</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ascii="仿宋_GB2312" w:hAnsi="宋体" w:eastAsia="仿宋_GB2312"/>
                <w:kern w:val="0"/>
                <w:sz w:val="32"/>
                <w:szCs w:val="32"/>
                <w:highlight w:val="none"/>
              </w:rPr>
            </w:pPr>
            <w:r>
              <w:rPr>
                <w:rFonts w:hint="default" w:ascii="仿宋_GB2312" w:hAnsi="宋体" w:eastAsia="仿宋_GB2312"/>
                <w:kern w:val="0"/>
                <w:sz w:val="18"/>
                <w:szCs w:val="18"/>
                <w:highlight w:val="none"/>
                <w:lang w:val="en-US" w:eastAsia="zh-CN"/>
              </w:rPr>
              <w:t>201</w:t>
            </w:r>
          </w:p>
        </w:tc>
        <w:tc>
          <w:tcPr>
            <w:tcW w:w="480" w:type="dxa"/>
            <w:vAlign w:val="top"/>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99</w:t>
            </w:r>
          </w:p>
        </w:tc>
        <w:tc>
          <w:tcPr>
            <w:tcW w:w="429" w:type="dxa"/>
            <w:vAlign w:val="top"/>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 w:val="18"/>
                <w:szCs w:val="18"/>
                <w:highlight w:val="none"/>
                <w:lang w:val="en-US" w:eastAsia="zh-CN"/>
              </w:rPr>
              <w:t>99</w:t>
            </w:r>
          </w:p>
        </w:tc>
        <w:tc>
          <w:tcPr>
            <w:tcW w:w="1035" w:type="dxa"/>
            <w:vAlign w:val="top"/>
          </w:tcPr>
          <w:p>
            <w:pPr>
              <w:widowControl/>
              <w:jc w:val="center"/>
              <w:outlineLvl w:val="1"/>
              <w:rPr>
                <w:rFonts w:hint="eastAsia"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其他一般公共服务支出</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购置应急物资</w:t>
            </w: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15</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15</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211</w:t>
            </w:r>
          </w:p>
        </w:tc>
        <w:tc>
          <w:tcPr>
            <w:tcW w:w="480" w:type="dxa"/>
          </w:tcPr>
          <w:p>
            <w:pPr>
              <w:widowControl/>
              <w:jc w:val="center"/>
              <w:outlineLvl w:val="1"/>
              <w:rPr>
                <w:rFonts w:hint="eastAsia" w:ascii="仿宋_GB2312" w:hAnsi="宋体" w:eastAsia="仿宋_GB2312"/>
                <w:kern w:val="0"/>
                <w:sz w:val="18"/>
                <w:szCs w:val="18"/>
                <w:highlight w:val="none"/>
                <w:lang w:val="en-US" w:eastAsia="zh-CN"/>
              </w:rPr>
            </w:pPr>
          </w:p>
        </w:tc>
        <w:tc>
          <w:tcPr>
            <w:tcW w:w="429" w:type="dxa"/>
          </w:tcPr>
          <w:p>
            <w:pPr>
              <w:widowControl/>
              <w:jc w:val="center"/>
              <w:outlineLvl w:val="1"/>
              <w:rPr>
                <w:rFonts w:hint="eastAsia" w:ascii="仿宋_GB2312" w:hAnsi="宋体" w:eastAsia="仿宋_GB2312"/>
                <w:kern w:val="0"/>
                <w:sz w:val="18"/>
                <w:szCs w:val="18"/>
                <w:highlight w:val="none"/>
                <w:lang w:val="en-US" w:eastAsia="zh-CN"/>
              </w:rPr>
            </w:pPr>
          </w:p>
        </w:tc>
        <w:tc>
          <w:tcPr>
            <w:tcW w:w="1035" w:type="dxa"/>
            <w:vAlign w:val="top"/>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节能环保支出</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125</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125</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keepNext w:val="0"/>
              <w:keepLines w:val="0"/>
              <w:widowControl/>
              <w:suppressLineNumbers w:val="0"/>
              <w:jc w:val="both"/>
              <w:textAlignment w:val="top"/>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211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02</w:t>
            </w:r>
          </w:p>
        </w:tc>
        <w:tc>
          <w:tcPr>
            <w:tcW w:w="429" w:type="dxa"/>
          </w:tcPr>
          <w:p>
            <w:pPr>
              <w:widowControl/>
              <w:jc w:val="center"/>
              <w:outlineLvl w:val="1"/>
              <w:rPr>
                <w:rFonts w:hint="eastAsia" w:ascii="仿宋_GB2312" w:hAnsi="宋体" w:eastAsia="仿宋_GB2312"/>
                <w:kern w:val="0"/>
                <w:sz w:val="18"/>
                <w:szCs w:val="18"/>
                <w:highlight w:val="none"/>
                <w:lang w:val="en-US" w:eastAsia="zh-CN"/>
              </w:rPr>
            </w:pPr>
          </w:p>
        </w:tc>
        <w:tc>
          <w:tcPr>
            <w:tcW w:w="1035" w:type="dxa"/>
            <w:vAlign w:val="top"/>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环境保护管理事务</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keepNext w:val="0"/>
              <w:keepLines w:val="0"/>
              <w:widowControl/>
              <w:suppressLineNumbers w:val="0"/>
              <w:jc w:val="both"/>
              <w:textAlignment w:val="top"/>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211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02</w:t>
            </w:r>
          </w:p>
        </w:tc>
        <w:tc>
          <w:tcPr>
            <w:tcW w:w="42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03</w:t>
            </w:r>
          </w:p>
        </w:tc>
        <w:tc>
          <w:tcPr>
            <w:tcW w:w="1035" w:type="dxa"/>
            <w:vAlign w:val="top"/>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建设项目环评审查与监督</w:t>
            </w:r>
          </w:p>
        </w:tc>
        <w:tc>
          <w:tcPr>
            <w:tcW w:w="1080"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环境影响评价技术评估费（含排污许可技术审核专家费</w:t>
            </w: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695" w:type="dxa"/>
            <w:gridSpan w:val="2"/>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522" w:type="dxa"/>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keepNext w:val="0"/>
              <w:keepLines w:val="0"/>
              <w:widowControl/>
              <w:suppressLineNumbers w:val="0"/>
              <w:jc w:val="both"/>
              <w:textAlignment w:val="top"/>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211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03</w:t>
            </w:r>
          </w:p>
        </w:tc>
        <w:tc>
          <w:tcPr>
            <w:tcW w:w="429" w:type="dxa"/>
          </w:tcPr>
          <w:p>
            <w:pPr>
              <w:widowControl/>
              <w:jc w:val="center"/>
              <w:outlineLvl w:val="1"/>
              <w:rPr>
                <w:rFonts w:hint="eastAsia" w:ascii="仿宋_GB2312" w:hAnsi="宋体" w:eastAsia="仿宋_GB2312"/>
                <w:kern w:val="0"/>
                <w:sz w:val="18"/>
                <w:szCs w:val="18"/>
                <w:highlight w:val="none"/>
                <w:lang w:val="en-US" w:eastAsia="zh-CN"/>
              </w:rPr>
            </w:pPr>
          </w:p>
        </w:tc>
        <w:tc>
          <w:tcPr>
            <w:tcW w:w="1035" w:type="dxa"/>
            <w:vAlign w:val="top"/>
          </w:tcPr>
          <w:p>
            <w:pPr>
              <w:keepNext w:val="0"/>
              <w:keepLines w:val="0"/>
              <w:widowControl/>
              <w:suppressLineNumbers w:val="0"/>
              <w:jc w:val="left"/>
              <w:textAlignment w:val="top"/>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污染防治</w:t>
            </w:r>
          </w:p>
        </w:tc>
        <w:tc>
          <w:tcPr>
            <w:tcW w:w="108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w:t>
            </w:r>
          </w:p>
        </w:tc>
        <w:tc>
          <w:tcPr>
            <w:tcW w:w="695" w:type="dxa"/>
            <w:gridSpan w:val="2"/>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w:t>
            </w:r>
          </w:p>
        </w:tc>
        <w:tc>
          <w:tcPr>
            <w:tcW w:w="522"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vAlign w:val="top"/>
          </w:tcPr>
          <w:p>
            <w:pPr>
              <w:widowControl/>
              <w:jc w:val="center"/>
              <w:outlineLvl w:val="1"/>
              <w:rPr>
                <w:rFonts w:hint="default"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211</w:t>
            </w:r>
          </w:p>
        </w:tc>
        <w:tc>
          <w:tcPr>
            <w:tcW w:w="480"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03</w:t>
            </w:r>
          </w:p>
        </w:tc>
        <w:tc>
          <w:tcPr>
            <w:tcW w:w="429" w:type="dxa"/>
          </w:tcPr>
          <w:p>
            <w:pPr>
              <w:widowControl/>
              <w:jc w:val="center"/>
              <w:outlineLvl w:val="1"/>
              <w:rPr>
                <w:rFonts w:hint="default" w:ascii="仿宋_GB2312" w:hAnsi="宋体" w:eastAsia="仿宋_GB2312"/>
                <w:kern w:val="0"/>
                <w:sz w:val="18"/>
                <w:szCs w:val="18"/>
                <w:highlight w:val="none"/>
                <w:lang w:val="en-US" w:eastAsia="zh-CN"/>
              </w:rPr>
            </w:pPr>
            <w:r>
              <w:rPr>
                <w:rFonts w:hint="eastAsia" w:ascii="仿宋_GB2312" w:hAnsi="宋体" w:eastAsia="仿宋_GB2312"/>
                <w:kern w:val="0"/>
                <w:sz w:val="18"/>
                <w:szCs w:val="18"/>
                <w:highlight w:val="none"/>
                <w:lang w:val="en-US" w:eastAsia="zh-CN"/>
              </w:rPr>
              <w:t>99</w:t>
            </w:r>
          </w:p>
        </w:tc>
        <w:tc>
          <w:tcPr>
            <w:tcW w:w="1035" w:type="dxa"/>
            <w:vAlign w:val="top"/>
          </w:tcPr>
          <w:p>
            <w:pPr>
              <w:keepNext w:val="0"/>
              <w:keepLines w:val="0"/>
              <w:widowControl/>
              <w:suppressLineNumbers w:val="0"/>
              <w:jc w:val="left"/>
              <w:textAlignment w:val="top"/>
              <w:rPr>
                <w:rFonts w:hint="eastAsia" w:ascii="仿宋_GB2312" w:hAnsi="宋体" w:eastAsia="仿宋_GB2312"/>
                <w:kern w:val="0"/>
                <w:sz w:val="18"/>
                <w:szCs w:val="18"/>
                <w:highlight w:val="none"/>
                <w:lang w:val="en-US" w:eastAsia="zh-CN"/>
              </w:rPr>
            </w:pPr>
            <w:r>
              <w:rPr>
                <w:rFonts w:hint="default" w:ascii="仿宋_GB2312" w:hAnsi="宋体" w:eastAsia="仿宋_GB2312"/>
                <w:kern w:val="0"/>
                <w:sz w:val="18"/>
                <w:szCs w:val="18"/>
                <w:highlight w:val="none"/>
                <w:lang w:val="en-US" w:eastAsia="zh-CN"/>
              </w:rPr>
              <w:t>其他污染防治支出</w:t>
            </w:r>
          </w:p>
        </w:tc>
        <w:tc>
          <w:tcPr>
            <w:tcW w:w="108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环境领域问题外聘专家费</w:t>
            </w:r>
          </w:p>
        </w:tc>
        <w:tc>
          <w:tcPr>
            <w:tcW w:w="67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w:t>
            </w:r>
          </w:p>
        </w:tc>
        <w:tc>
          <w:tcPr>
            <w:tcW w:w="695" w:type="dxa"/>
            <w:gridSpan w:val="2"/>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p>
        </w:tc>
        <w:tc>
          <w:tcPr>
            <w:tcW w:w="540"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25</w:t>
            </w:r>
          </w:p>
        </w:tc>
        <w:tc>
          <w:tcPr>
            <w:tcW w:w="522" w:type="dxa"/>
          </w:tcPr>
          <w:p>
            <w:pPr>
              <w:keepNext w:val="0"/>
              <w:keepLines w:val="0"/>
              <w:widowControl/>
              <w:suppressLineNumbers w:val="0"/>
              <w:jc w:val="both"/>
              <w:textAlignment w:val="top"/>
              <w:rPr>
                <w:rFonts w:hint="default"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4" w:type="dxa"/>
            <w:gridSpan w:val="2"/>
          </w:tcPr>
          <w:p>
            <w:pPr>
              <w:widowControl/>
              <w:jc w:val="center"/>
              <w:outlineLvl w:val="1"/>
              <w:rPr>
                <w:rFonts w:ascii="仿宋_GB2312" w:hAnsi="宋体" w:eastAsia="仿宋_GB2312"/>
                <w:kern w:val="0"/>
                <w:sz w:val="32"/>
                <w:szCs w:val="32"/>
                <w:highlight w:val="none"/>
              </w:rPr>
            </w:pPr>
          </w:p>
        </w:tc>
        <w:tc>
          <w:tcPr>
            <w:tcW w:w="480" w:type="dxa"/>
          </w:tcPr>
          <w:p>
            <w:pPr>
              <w:widowControl/>
              <w:jc w:val="center"/>
              <w:outlineLvl w:val="1"/>
              <w:rPr>
                <w:rFonts w:ascii="仿宋_GB2312" w:hAnsi="宋体" w:eastAsia="仿宋_GB2312"/>
                <w:kern w:val="0"/>
                <w:sz w:val="32"/>
                <w:szCs w:val="32"/>
                <w:highlight w:val="none"/>
              </w:rPr>
            </w:pPr>
          </w:p>
        </w:tc>
        <w:tc>
          <w:tcPr>
            <w:tcW w:w="429" w:type="dxa"/>
          </w:tcPr>
          <w:p>
            <w:pPr>
              <w:widowControl/>
              <w:jc w:val="center"/>
              <w:outlineLvl w:val="1"/>
              <w:rPr>
                <w:rFonts w:ascii="仿宋_GB2312" w:hAnsi="宋体" w:eastAsia="仿宋_GB2312"/>
                <w:kern w:val="0"/>
                <w:sz w:val="32"/>
                <w:szCs w:val="32"/>
                <w:highlight w:val="none"/>
              </w:rPr>
            </w:pPr>
          </w:p>
        </w:tc>
        <w:tc>
          <w:tcPr>
            <w:tcW w:w="1035" w:type="dxa"/>
          </w:tcPr>
          <w:p>
            <w:pPr>
              <w:widowControl/>
              <w:jc w:val="center"/>
              <w:outlineLvl w:val="1"/>
              <w:rPr>
                <w:rFonts w:ascii="仿宋_GB2312" w:hAnsi="宋体" w:eastAsia="仿宋_GB2312"/>
                <w:kern w:val="0"/>
                <w:sz w:val="32"/>
                <w:szCs w:val="32"/>
                <w:highlight w:val="none"/>
              </w:rPr>
            </w:pPr>
          </w:p>
        </w:tc>
        <w:tc>
          <w:tcPr>
            <w:tcW w:w="1080"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670" w:type="dxa"/>
            <w:vAlign w:val="center"/>
          </w:tcPr>
          <w:p>
            <w:pPr>
              <w:widowControl/>
              <w:jc w:val="right"/>
              <w:outlineLvl w:val="1"/>
              <w:rPr>
                <w:rFonts w:hint="default" w:ascii="仿宋_GB2312" w:hAnsi="宋体" w:eastAsia="仿宋_GB2312"/>
                <w:kern w:val="0"/>
                <w:szCs w:val="21"/>
                <w:highlight w:val="none"/>
                <w:lang w:val="en-US" w:eastAsia="zh-CN"/>
              </w:rPr>
            </w:pPr>
            <w:r>
              <w:rPr>
                <w:rFonts w:hint="eastAsia" w:ascii="仿宋_GB2312" w:hAnsi="仿宋_GB2312" w:eastAsia="仿宋_GB2312" w:cs="仿宋_GB2312"/>
                <w:color w:val="000000"/>
                <w:sz w:val="20"/>
                <w:szCs w:val="20"/>
                <w:highlight w:val="none"/>
                <w:lang w:val="en-US" w:eastAsia="zh-CN"/>
              </w:rPr>
              <w:t>297</w:t>
            </w:r>
          </w:p>
        </w:tc>
        <w:tc>
          <w:tcPr>
            <w:tcW w:w="695" w:type="dxa"/>
            <w:gridSpan w:val="2"/>
          </w:tcPr>
          <w:p>
            <w:pPr>
              <w:widowControl/>
              <w:jc w:val="right"/>
              <w:outlineLvl w:val="1"/>
              <w:rPr>
                <w:rFonts w:ascii="仿宋_GB2312" w:hAnsi="宋体" w:eastAsia="仿宋_GB2312"/>
                <w:kern w:val="0"/>
                <w:sz w:val="32"/>
                <w:szCs w:val="32"/>
                <w:highlight w:val="none"/>
              </w:rPr>
            </w:pPr>
          </w:p>
        </w:tc>
        <w:tc>
          <w:tcPr>
            <w:tcW w:w="540" w:type="dxa"/>
            <w:vAlign w:val="center"/>
          </w:tcPr>
          <w:p>
            <w:pPr>
              <w:widowControl/>
              <w:jc w:val="both"/>
              <w:outlineLvl w:val="1"/>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297</w:t>
            </w:r>
          </w:p>
        </w:tc>
        <w:tc>
          <w:tcPr>
            <w:tcW w:w="522" w:type="dxa"/>
            <w:vAlign w:val="center"/>
          </w:tcPr>
          <w:p>
            <w:pPr>
              <w:widowControl/>
              <w:jc w:val="both"/>
              <w:outlineLvl w:val="1"/>
              <w:rPr>
                <w:rFonts w:hint="eastAsia" w:ascii="仿宋_GB2312" w:hAnsi="仿宋_GB2312" w:eastAsia="仿宋_GB2312" w:cs="仿宋_GB2312"/>
                <w:color w:val="000000"/>
                <w:sz w:val="20"/>
                <w:szCs w:val="20"/>
                <w:highlight w:val="none"/>
                <w:lang w:val="en-US" w:eastAsia="zh-CN"/>
              </w:rPr>
            </w:pPr>
          </w:p>
        </w:tc>
        <w:tc>
          <w:tcPr>
            <w:tcW w:w="652"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419"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20" w:type="dxa"/>
          </w:tcPr>
          <w:p>
            <w:pPr>
              <w:widowControl/>
              <w:jc w:val="right"/>
              <w:outlineLvl w:val="1"/>
              <w:rPr>
                <w:rFonts w:ascii="仿宋_GB2312" w:hAnsi="宋体" w:eastAsia="仿宋_GB2312"/>
                <w:kern w:val="0"/>
                <w:sz w:val="32"/>
                <w:szCs w:val="32"/>
                <w:highlight w:val="none"/>
              </w:rPr>
            </w:pPr>
          </w:p>
        </w:tc>
        <w:tc>
          <w:tcPr>
            <w:tcW w:w="468"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keepNext w:val="0"/>
        <w:keepLines w:val="0"/>
        <w:widowControl/>
        <w:suppressLineNumbers w:val="0"/>
        <w:jc w:val="both"/>
        <w:textAlignment w:val="top"/>
        <w:rPr>
          <w:rFonts w:hint="eastAsia" w:ascii="宋体" w:hAnsi="宋体" w:cs="宋体"/>
          <w:color w:val="000000"/>
          <w:kern w:val="0"/>
          <w:sz w:val="20"/>
          <w:szCs w:val="20"/>
          <w:highlight w:val="none"/>
          <w:lang w:bidi="ar"/>
        </w:rPr>
      </w:pPr>
    </w:p>
    <w:p>
      <w:pPr>
        <w:keepNext w:val="0"/>
        <w:keepLines w:val="0"/>
        <w:widowControl/>
        <w:suppressLineNumbers w:val="0"/>
        <w:jc w:val="both"/>
        <w:textAlignment w:val="top"/>
        <w:rPr>
          <w:highlight w:val="none"/>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Cs w:val="21"/>
          <w:highlight w:val="none"/>
          <w:lang w:eastAsia="zh-CN"/>
        </w:rPr>
        <w:t>昌吉州生态环境局</w:t>
      </w:r>
      <w:r>
        <w:rPr>
          <w:rFonts w:hint="eastAsia"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                        </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6.39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both"/>
              <w:textAlignment w:val="top"/>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0.39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hint="eastAsia"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pStyle w:val="3"/>
        <w:rPr>
          <w:highlight w:val="none"/>
        </w:rPr>
      </w:pPr>
    </w:p>
    <w:p>
      <w:pPr>
        <w:rPr>
          <w:highlight w:val="none"/>
        </w:rPr>
      </w:pPr>
    </w:p>
    <w:p>
      <w:pPr>
        <w:pStyle w:val="3"/>
        <w:rPr>
          <w:highlight w:val="none"/>
        </w:rPr>
      </w:pPr>
    </w:p>
    <w:p>
      <w:pPr>
        <w:rPr>
          <w:highlight w:val="none"/>
        </w:rPr>
      </w:pPr>
    </w:p>
    <w:p>
      <w:pPr>
        <w:pStyle w:val="3"/>
        <w:rPr>
          <w:highlight w:val="none"/>
        </w:rPr>
      </w:pPr>
    </w:p>
    <w:p>
      <w:pPr>
        <w:rPr>
          <w:highlight w:val="none"/>
        </w:rPr>
      </w:pPr>
    </w:p>
    <w:p>
      <w:pPr>
        <w:pStyle w:val="3"/>
        <w:rPr>
          <w:highlight w:val="none"/>
        </w:rPr>
      </w:pPr>
    </w:p>
    <w:p>
      <w:pPr>
        <w:rPr>
          <w:highlight w:val="none"/>
        </w:rPr>
      </w:pPr>
    </w:p>
    <w:p>
      <w:pPr>
        <w:pStyle w:val="3"/>
        <w:rPr>
          <w:highlight w:val="none"/>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hint="eastAsia"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pStyle w:val="3"/>
        <w:rPr>
          <w:highlight w:val="none"/>
        </w:rPr>
      </w:pP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 xml:space="preserve">编制部门（单位）： </w:t>
      </w:r>
      <w:r>
        <w:rPr>
          <w:rFonts w:hint="eastAsia" w:ascii="仿宋_GB2312" w:hAnsi="宋体" w:eastAsia="仿宋_GB2312"/>
          <w:kern w:val="0"/>
          <w:sz w:val="24"/>
          <w:highlight w:val="none"/>
          <w:lang w:eastAsia="zh-CN"/>
        </w:rPr>
        <w:t>昌吉州生态环境局</w:t>
      </w:r>
      <w:r>
        <w:rPr>
          <w:rFonts w:hint="eastAsia" w:ascii="仿宋_GB2312" w:hAnsi="宋体" w:eastAsia="仿宋_GB2312"/>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pPr>
        <w:widowControl/>
        <w:spacing w:line="280" w:lineRule="exact"/>
        <w:jc w:val="left"/>
        <w:outlineLvl w:val="1"/>
        <w:rPr>
          <w:rFonts w:ascii="仿宋_GB2312" w:hAnsi="宋体" w:eastAsia="仿宋_GB2312"/>
          <w:kern w:val="0"/>
          <w:sz w:val="32"/>
          <w:szCs w:val="32"/>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2022年昌吉州</w:t>
      </w:r>
      <w:r>
        <w:rPr>
          <w:rFonts w:hint="eastAsia" w:ascii="黑体" w:hAnsi="黑体" w:eastAsia="黑体" w:cs="Times New Roman"/>
          <w:kern w:val="0"/>
          <w:sz w:val="32"/>
          <w:szCs w:val="32"/>
          <w:highlight w:val="none"/>
          <w:lang w:val="en-US" w:eastAsia="zh-CN"/>
        </w:rPr>
        <w:t>生态环境局</w:t>
      </w:r>
      <w:r>
        <w:rPr>
          <w:rFonts w:hint="eastAsia" w:ascii="黑体" w:hAnsi="黑体" w:eastAsia="黑体"/>
          <w:kern w:val="0"/>
          <w:sz w:val="32"/>
          <w:szCs w:val="32"/>
          <w:highlight w:val="none"/>
        </w:rPr>
        <w:t>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w:t>
      </w:r>
      <w:r>
        <w:rPr>
          <w:rFonts w:hint="eastAsia" w:ascii="仿宋_GB2312" w:hAnsi="宋体" w:eastAsia="仿宋_GB2312" w:cs="宋体"/>
          <w:b/>
          <w:bCs/>
          <w:kern w:val="0"/>
          <w:sz w:val="32"/>
          <w:szCs w:val="32"/>
          <w:highlight w:val="none"/>
        </w:rPr>
        <w:t>昌吉州</w:t>
      </w:r>
      <w:r>
        <w:rPr>
          <w:rFonts w:hint="eastAsia" w:ascii="仿宋_GB2312" w:hAnsi="宋体" w:eastAsia="仿宋_GB2312" w:cs="宋体"/>
          <w:b/>
          <w:bCs/>
          <w:kern w:val="0"/>
          <w:sz w:val="32"/>
          <w:szCs w:val="32"/>
          <w:highlight w:val="none"/>
          <w:lang w:eastAsia="zh-CN"/>
        </w:rPr>
        <w:t>生态环境局</w:t>
      </w:r>
      <w:r>
        <w:rPr>
          <w:rFonts w:hint="eastAsia" w:ascii="楷体_GB2312" w:hAnsi="楷体_GB2312" w:eastAsia="楷体_GB2312" w:cs="楷体_GB2312"/>
          <w:b/>
          <w:kern w:val="0"/>
          <w:sz w:val="32"/>
          <w:szCs w:val="32"/>
          <w:highlight w:val="none"/>
        </w:rPr>
        <w:t>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w:t>
      </w:r>
      <w:r>
        <w:rPr>
          <w:rFonts w:hint="eastAsia" w:ascii="仿宋_GB2312" w:hAnsi="宋体" w:eastAsia="仿宋_GB2312" w:cs="宋体"/>
          <w:kern w:val="0"/>
          <w:sz w:val="32"/>
          <w:szCs w:val="32"/>
          <w:highlight w:val="none"/>
          <w:lang w:eastAsia="zh-CN"/>
        </w:rPr>
        <w:t>生态环境局</w:t>
      </w:r>
      <w:r>
        <w:rPr>
          <w:rFonts w:hint="eastAsia" w:ascii="仿宋_GB2312" w:hAnsi="宋体" w:eastAsia="仿宋_GB2312" w:cs="宋体"/>
          <w:kern w:val="0"/>
          <w:sz w:val="32"/>
          <w:szCs w:val="32"/>
          <w:highlight w:val="none"/>
        </w:rPr>
        <w:t>2022年所有收入和支出均纳入部门（单位）预算管理。收支总预算</w:t>
      </w:r>
      <w:r>
        <w:rPr>
          <w:rFonts w:hint="eastAsia" w:ascii="仿宋_GB2312" w:hAnsi="宋体" w:eastAsia="仿宋_GB2312" w:cs="宋体"/>
          <w:kern w:val="0"/>
          <w:sz w:val="32"/>
          <w:szCs w:val="32"/>
          <w:highlight w:val="none"/>
          <w:lang w:val="en-US" w:eastAsia="zh-CN"/>
        </w:rPr>
        <w:t>794.318</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632.35万元</w:t>
      </w:r>
      <w:r>
        <w:rPr>
          <w:rFonts w:hint="eastAsia" w:ascii="仿宋_GB2312" w:hAnsi="宋体" w:eastAsia="仿宋_GB2312" w:cs="宋体"/>
          <w:kern w:val="0"/>
          <w:sz w:val="32"/>
          <w:szCs w:val="32"/>
          <w:highlight w:val="none"/>
        </w:rPr>
        <w:t>、 单位其他资金收入</w:t>
      </w:r>
      <w:r>
        <w:rPr>
          <w:rFonts w:hint="eastAsia" w:ascii="仿宋_GB2312" w:hAnsi="宋体" w:eastAsia="仿宋_GB2312" w:cs="宋体"/>
          <w:kern w:val="0"/>
          <w:sz w:val="32"/>
          <w:szCs w:val="32"/>
          <w:highlight w:val="none"/>
          <w:lang w:val="en-US" w:eastAsia="zh-CN"/>
        </w:rPr>
        <w:t>161.968万元</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w:t>
      </w:r>
      <w:r>
        <w:rPr>
          <w:rFonts w:hint="eastAsia" w:ascii="仿宋_GB2312" w:hAnsi="宋体" w:eastAsia="仿宋_GB2312" w:cs="宋体"/>
          <w:kern w:val="0"/>
          <w:sz w:val="32"/>
          <w:szCs w:val="32"/>
          <w:highlight w:val="none"/>
          <w:lang w:val="en-US" w:eastAsia="zh-CN"/>
        </w:rPr>
        <w:t>172万元</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30.52万元</w:t>
      </w:r>
      <w:r>
        <w:rPr>
          <w:rFonts w:hint="eastAsia" w:ascii="仿宋_GB2312" w:hAnsi="宋体" w:eastAsia="仿宋_GB2312" w:cs="宋体"/>
          <w:kern w:val="0"/>
          <w:sz w:val="32"/>
          <w:szCs w:val="32"/>
          <w:highlight w:val="none"/>
        </w:rPr>
        <w:t>、医疗卫生健康支出</w:t>
      </w:r>
      <w:r>
        <w:rPr>
          <w:rFonts w:hint="eastAsia" w:ascii="仿宋_GB2312" w:hAnsi="宋体" w:eastAsia="仿宋_GB2312" w:cs="宋体"/>
          <w:kern w:val="0"/>
          <w:sz w:val="32"/>
          <w:szCs w:val="32"/>
          <w:highlight w:val="none"/>
          <w:lang w:val="en-US" w:eastAsia="zh-CN"/>
        </w:rPr>
        <w:t>23.24万元</w:t>
      </w:r>
      <w:r>
        <w:rPr>
          <w:rFonts w:hint="eastAsia" w:ascii="仿宋_GB2312" w:hAnsi="宋体" w:eastAsia="仿宋_GB2312" w:cs="宋体"/>
          <w:kern w:val="0"/>
          <w:sz w:val="32"/>
          <w:szCs w:val="32"/>
          <w:highlight w:val="none"/>
        </w:rPr>
        <w:t>、节能环保支出</w:t>
      </w:r>
      <w:r>
        <w:rPr>
          <w:rFonts w:hint="eastAsia" w:ascii="仿宋_GB2312" w:hAnsi="宋体" w:eastAsia="仿宋_GB2312" w:cs="宋体"/>
          <w:kern w:val="0"/>
          <w:sz w:val="32"/>
          <w:szCs w:val="32"/>
          <w:highlight w:val="none"/>
          <w:lang w:val="en-US" w:eastAsia="zh-CN"/>
        </w:rPr>
        <w:t>540.34万元</w:t>
      </w:r>
      <w:r>
        <w:rPr>
          <w:rFonts w:hint="eastAsia" w:ascii="仿宋_GB2312" w:hAnsi="宋体" w:eastAsia="仿宋_GB2312" w:cs="宋体"/>
          <w:kern w:val="0"/>
          <w:sz w:val="32"/>
          <w:szCs w:val="32"/>
          <w:highlight w:val="none"/>
        </w:rPr>
        <w:t>、住房保障支出</w:t>
      </w:r>
      <w:r>
        <w:rPr>
          <w:rFonts w:hint="eastAsia" w:ascii="仿宋_GB2312" w:hAnsi="宋体" w:eastAsia="仿宋_GB2312" w:cs="宋体"/>
          <w:kern w:val="0"/>
          <w:sz w:val="32"/>
          <w:szCs w:val="32"/>
          <w:highlight w:val="none"/>
          <w:lang w:val="en-US" w:eastAsia="zh-CN"/>
        </w:rPr>
        <w:t>26.25万元、</w:t>
      </w:r>
      <w:r>
        <w:rPr>
          <w:rFonts w:hint="eastAsia" w:ascii="仿宋_GB2312" w:hAnsi="宋体" w:eastAsia="仿宋_GB2312" w:cs="宋体"/>
          <w:kern w:val="0"/>
          <w:sz w:val="32"/>
          <w:szCs w:val="32"/>
          <w:highlight w:val="none"/>
        </w:rPr>
        <w:t>其他支出</w:t>
      </w:r>
      <w:r>
        <w:rPr>
          <w:rFonts w:hint="eastAsia" w:ascii="仿宋_GB2312" w:hAnsi="宋体" w:eastAsia="仿宋_GB2312" w:cs="宋体"/>
          <w:kern w:val="0"/>
          <w:sz w:val="32"/>
          <w:szCs w:val="32"/>
          <w:highlight w:val="none"/>
          <w:lang w:val="en-US" w:eastAsia="zh-CN"/>
        </w:rPr>
        <w:t>1.968万元</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二、关于昌吉州</w:t>
      </w:r>
      <w:r>
        <w:rPr>
          <w:rFonts w:hint="eastAsia" w:ascii="楷体_GB2312" w:hAnsi="楷体_GB2312" w:eastAsia="楷体_GB2312" w:cs="楷体_GB2312"/>
          <w:b/>
          <w:bCs/>
          <w:kern w:val="0"/>
          <w:sz w:val="32"/>
          <w:szCs w:val="32"/>
          <w:highlight w:val="none"/>
          <w:lang w:eastAsia="zh-CN"/>
        </w:rPr>
        <w:t>生态环境局</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794.318</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632.35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79.61</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119.63</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23.33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本年年初预算项目是</w:t>
      </w:r>
      <w:r>
        <w:rPr>
          <w:rFonts w:hint="eastAsia" w:ascii="仿宋_GB2312" w:hAnsi="宋体" w:eastAsia="仿宋_GB2312" w:cs="宋体"/>
          <w:kern w:val="0"/>
          <w:sz w:val="32"/>
          <w:szCs w:val="32"/>
          <w:highlight w:val="none"/>
          <w:lang w:val="en-US" w:eastAsia="zh-CN"/>
        </w:rPr>
        <w:t>5个项目，上年只有两个项目，本年预算相应增加</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单位其他资金收入</w:t>
      </w:r>
      <w:r>
        <w:rPr>
          <w:rFonts w:hint="eastAsia" w:ascii="仿宋_GB2312" w:hAnsi="宋体" w:eastAsia="仿宋_GB2312" w:cs="宋体"/>
          <w:kern w:val="0"/>
          <w:sz w:val="32"/>
          <w:szCs w:val="32"/>
          <w:highlight w:val="none"/>
          <w:lang w:val="en-US" w:eastAsia="zh-CN"/>
        </w:rPr>
        <w:t>161.968万</w:t>
      </w:r>
      <w:r>
        <w:rPr>
          <w:rFonts w:hint="eastAsia" w:ascii="仿宋_GB2312" w:hAnsi="宋体" w:eastAsia="仿宋_GB2312" w:cs="宋体"/>
          <w:kern w:val="0"/>
          <w:sz w:val="32"/>
          <w:szCs w:val="32"/>
          <w:highlight w:val="none"/>
        </w:rPr>
        <w:t>元，占</w:t>
      </w:r>
      <w:r>
        <w:rPr>
          <w:rFonts w:hint="eastAsia" w:ascii="仿宋_GB2312" w:hAnsi="宋体" w:eastAsia="仿宋_GB2312" w:cs="宋体"/>
          <w:kern w:val="0"/>
          <w:sz w:val="32"/>
          <w:szCs w:val="32"/>
          <w:highlight w:val="none"/>
          <w:lang w:val="en-US" w:eastAsia="zh-CN"/>
        </w:rPr>
        <w:t>20.39</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161.968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上年州财政未将单位其他资金收入纳入上年预算</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三、关于昌吉州</w:t>
      </w:r>
      <w:r>
        <w:rPr>
          <w:rFonts w:hint="eastAsia" w:ascii="楷体_GB2312" w:hAnsi="楷体_GB2312" w:eastAsia="楷体_GB2312" w:cs="楷体_GB2312"/>
          <w:b/>
          <w:bCs/>
          <w:kern w:val="0"/>
          <w:sz w:val="32"/>
          <w:szCs w:val="32"/>
          <w:highlight w:val="none"/>
          <w:lang w:eastAsia="zh-CN"/>
        </w:rPr>
        <w:t>生态环境局</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宋体" w:eastAsia="仿宋_GB2312" w:cs="宋体"/>
          <w:kern w:val="0"/>
          <w:sz w:val="32"/>
          <w:szCs w:val="32"/>
          <w:highlight w:val="none"/>
        </w:rPr>
        <w:t>2022年支出预算</w:t>
      </w:r>
      <w:r>
        <w:rPr>
          <w:rFonts w:hint="eastAsia" w:ascii="仿宋_GB2312" w:hAnsi="宋体" w:eastAsia="仿宋_GB2312" w:cs="宋体"/>
          <w:kern w:val="0"/>
          <w:sz w:val="32"/>
          <w:szCs w:val="32"/>
          <w:highlight w:val="none"/>
          <w:lang w:val="en-US" w:eastAsia="zh-CN"/>
        </w:rPr>
        <w:t>794.318</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495.35</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62.36</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77.63</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18.58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上年州财政未将单位其他资金收入纳入上年预算</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298.968</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占37.64</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203.968</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214.7</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本年年初预算项目是</w:t>
      </w:r>
      <w:r>
        <w:rPr>
          <w:rFonts w:hint="eastAsia" w:ascii="仿宋_GB2312" w:hAnsi="宋体" w:eastAsia="仿宋_GB2312" w:cs="宋体"/>
          <w:kern w:val="0"/>
          <w:sz w:val="32"/>
          <w:szCs w:val="32"/>
          <w:highlight w:val="none"/>
          <w:lang w:val="en-US" w:eastAsia="zh-CN"/>
        </w:rPr>
        <w:t>5个项目，上年只有两个项目，本年预算相应增加</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四、关于昌吉州</w:t>
      </w:r>
      <w:r>
        <w:rPr>
          <w:rFonts w:hint="eastAsia" w:ascii="楷体_GB2312" w:hAnsi="楷体_GB2312" w:eastAsia="楷体_GB2312" w:cs="楷体_GB2312"/>
          <w:b/>
          <w:bCs/>
          <w:kern w:val="0"/>
          <w:sz w:val="32"/>
          <w:szCs w:val="32"/>
          <w:highlight w:val="none"/>
          <w:lang w:eastAsia="zh-CN"/>
        </w:rPr>
        <w:t>生态环境局</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632.35</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632.35</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172</w:t>
      </w:r>
      <w:r>
        <w:rPr>
          <w:rFonts w:hint="eastAsia" w:ascii="仿宋_GB2312" w:hAnsi="宋体" w:eastAsia="仿宋_GB2312" w:cs="宋体"/>
          <w:kern w:val="0"/>
          <w:sz w:val="32"/>
          <w:szCs w:val="32"/>
          <w:highlight w:val="none"/>
        </w:rPr>
        <w:t>万元，主要用于环境宣传教育</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机关运行补助经费、购置应急物资支出；</w:t>
      </w:r>
      <w:r>
        <w:rPr>
          <w:rFonts w:hint="eastAsia" w:ascii="仿宋_GB2312" w:hAnsi="宋体" w:eastAsia="仿宋_GB2312" w:cs="宋体"/>
          <w:spacing w:val="-6"/>
          <w:kern w:val="0"/>
          <w:sz w:val="32"/>
          <w:szCs w:val="32"/>
          <w:highlight w:val="none"/>
          <w:lang w:val="en-US" w:eastAsia="zh-CN"/>
        </w:rPr>
        <w:t>社会保障和就业支出30.52</w:t>
      </w:r>
      <w:r>
        <w:rPr>
          <w:rFonts w:hint="eastAsia" w:ascii="仿宋_GB2312" w:hAnsi="宋体" w:eastAsia="仿宋_GB2312" w:cs="宋体"/>
          <w:spacing w:val="-6"/>
          <w:kern w:val="0"/>
          <w:sz w:val="32"/>
          <w:szCs w:val="32"/>
          <w:highlight w:val="none"/>
        </w:rPr>
        <w:t>万元</w:t>
      </w:r>
      <w:r>
        <w:rPr>
          <w:rFonts w:hint="eastAsia" w:ascii="仿宋_GB2312" w:hAnsi="宋体" w:eastAsia="仿宋_GB2312" w:cs="宋体"/>
          <w:spacing w:val="-6"/>
          <w:kern w:val="0"/>
          <w:sz w:val="32"/>
          <w:szCs w:val="32"/>
          <w:highlight w:val="none"/>
          <w:lang w:eastAsia="zh-CN"/>
        </w:rPr>
        <w:t>，主要</w:t>
      </w:r>
      <w:r>
        <w:rPr>
          <w:rFonts w:hint="eastAsia" w:ascii="仿宋_GB2312" w:hAnsi="宋体" w:eastAsia="仿宋_GB2312" w:cs="宋体"/>
          <w:spacing w:val="-6"/>
          <w:kern w:val="0"/>
          <w:sz w:val="32"/>
          <w:szCs w:val="32"/>
          <w:highlight w:val="none"/>
        </w:rPr>
        <w:t>用于机关事业单位基本养老保险缴费支出</w:t>
      </w:r>
      <w:r>
        <w:rPr>
          <w:rFonts w:hint="eastAsia" w:ascii="仿宋_GB2312" w:hAnsi="宋体" w:eastAsia="仿宋_GB2312" w:cs="宋体"/>
          <w:spacing w:val="-6"/>
          <w:kern w:val="0"/>
          <w:sz w:val="32"/>
          <w:szCs w:val="32"/>
          <w:highlight w:val="none"/>
          <w:lang w:eastAsia="zh-CN"/>
        </w:rPr>
        <w:t>；卫生健康支出</w:t>
      </w:r>
      <w:r>
        <w:rPr>
          <w:rFonts w:hint="eastAsia" w:ascii="仿宋_GB2312" w:hAnsi="宋体" w:eastAsia="仿宋_GB2312" w:cs="宋体"/>
          <w:spacing w:val="-6"/>
          <w:kern w:val="0"/>
          <w:sz w:val="32"/>
          <w:szCs w:val="32"/>
          <w:highlight w:val="none"/>
          <w:lang w:val="en-US" w:eastAsia="zh-CN"/>
        </w:rPr>
        <w:t>23.24万元，主要用于行政单位医疗和公务员医疗补助；节能环保支出380.34万元，主要用于人员经费、日常公用经费及项目支出；住房保障支出26.25，主要用于人员住房公积金支出。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关于昌吉州</w:t>
      </w:r>
      <w:r>
        <w:rPr>
          <w:rFonts w:hint="eastAsia" w:ascii="楷体_GB2312" w:hAnsi="楷体_GB2312" w:eastAsia="楷体_GB2312" w:cs="楷体_GB2312"/>
          <w:b/>
          <w:bCs/>
          <w:spacing w:val="-6"/>
          <w:kern w:val="0"/>
          <w:sz w:val="32"/>
          <w:szCs w:val="32"/>
          <w:highlight w:val="none"/>
          <w:lang w:eastAsia="zh-CN"/>
        </w:rPr>
        <w:t>生态环境局</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昌吉州</w:t>
      </w:r>
      <w:r>
        <w:rPr>
          <w:rFonts w:hint="eastAsia" w:ascii="仿宋_GB2312" w:hAnsi="仿宋_GB2312" w:eastAsia="仿宋_GB2312" w:cs="仿宋_GB2312"/>
          <w:kern w:val="0"/>
          <w:sz w:val="32"/>
          <w:szCs w:val="32"/>
          <w:highlight w:val="none"/>
          <w:lang w:eastAsia="zh-CN"/>
        </w:rPr>
        <w:t>生态环境局</w:t>
      </w:r>
      <w:r>
        <w:rPr>
          <w:rFonts w:hint="eastAsia" w:ascii="仿宋_GB2312" w:hAnsi="仿宋_GB2312" w:eastAsia="仿宋_GB2312" w:cs="仿宋_GB2312"/>
          <w:kern w:val="0"/>
          <w:sz w:val="32"/>
          <w:szCs w:val="32"/>
          <w:highlight w:val="none"/>
        </w:rPr>
        <w:t>2022年一般公共预算拨款合计</w:t>
      </w:r>
      <w:r>
        <w:rPr>
          <w:rFonts w:hint="eastAsia" w:ascii="仿宋_GB2312" w:hAnsi="仿宋_GB2312" w:eastAsia="仿宋_GB2312" w:cs="仿宋_GB2312"/>
          <w:kern w:val="0"/>
          <w:sz w:val="32"/>
          <w:szCs w:val="32"/>
          <w:highlight w:val="none"/>
          <w:lang w:val="en-US" w:eastAsia="zh-CN"/>
        </w:rPr>
        <w:t>632.35</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335.35</w:t>
      </w:r>
      <w:r>
        <w:rPr>
          <w:rFonts w:hint="eastAsia" w:ascii="仿宋_GB2312" w:hAnsi="仿宋_GB2312" w:eastAsia="仿宋_GB2312" w:cs="仿宋_GB2312"/>
          <w:kern w:val="0"/>
          <w:sz w:val="32"/>
          <w:szCs w:val="32"/>
          <w:highlight w:val="none"/>
        </w:rPr>
        <w:t>万元，比</w:t>
      </w:r>
      <w:r>
        <w:rPr>
          <w:rFonts w:hint="eastAsia" w:ascii="仿宋_GB2312" w:hAnsi="仿宋_GB2312" w:eastAsia="仿宋_GB2312" w:cs="仿宋_GB2312"/>
          <w:kern w:val="0"/>
          <w:sz w:val="32"/>
          <w:szCs w:val="32"/>
          <w:highlight w:val="none"/>
          <w:lang w:eastAsia="zh-CN"/>
        </w:rPr>
        <w:t>上年预</w:t>
      </w:r>
      <w:r>
        <w:rPr>
          <w:rFonts w:hint="eastAsia" w:ascii="仿宋_GB2312" w:hAnsi="仿宋_GB2312" w:eastAsia="仿宋_GB2312" w:cs="仿宋_GB2312"/>
          <w:kern w:val="0"/>
          <w:sz w:val="32"/>
          <w:szCs w:val="32"/>
          <w:highlight w:val="none"/>
        </w:rPr>
        <w:t>算减少</w:t>
      </w:r>
      <w:r>
        <w:rPr>
          <w:rFonts w:hint="eastAsia" w:ascii="仿宋_GB2312" w:hAnsi="仿宋_GB2312" w:eastAsia="仿宋_GB2312" w:cs="仿宋_GB2312"/>
          <w:kern w:val="0"/>
          <w:sz w:val="32"/>
          <w:szCs w:val="32"/>
          <w:highlight w:val="none"/>
          <w:lang w:val="en-US" w:eastAsia="zh-CN"/>
        </w:rPr>
        <w:t>82.37</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19.72</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eastAsia="zh-CN"/>
        </w:rPr>
        <w:t>上年机关运行补助经费在基本支出里反映，本年在项目支出里反映</w:t>
      </w:r>
      <w:r>
        <w:rPr>
          <w:rFonts w:hint="eastAsia" w:ascii="仿宋_GB2312" w:hAnsi="仿宋_GB2312" w:eastAsia="仿宋_GB2312" w:cs="仿宋_GB2312"/>
          <w:kern w:val="0"/>
          <w:sz w:val="32"/>
          <w:szCs w:val="32"/>
          <w:highlight w:val="none"/>
        </w:rPr>
        <w:t>。项目支出</w:t>
      </w:r>
      <w:r>
        <w:rPr>
          <w:rFonts w:hint="eastAsia" w:ascii="仿宋_GB2312" w:hAnsi="仿宋_GB2312" w:eastAsia="仿宋_GB2312" w:cs="仿宋_GB2312"/>
          <w:kern w:val="0"/>
          <w:sz w:val="32"/>
          <w:szCs w:val="32"/>
          <w:highlight w:val="none"/>
          <w:lang w:val="en-US" w:eastAsia="zh-CN"/>
        </w:rPr>
        <w:t>297</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202</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47.03</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eastAsia="zh-CN"/>
        </w:rPr>
        <w:t>本年年初预算项目是</w:t>
      </w:r>
      <w:r>
        <w:rPr>
          <w:rFonts w:hint="eastAsia" w:ascii="仿宋_GB2312" w:hAnsi="宋体" w:eastAsia="仿宋_GB2312" w:cs="宋体"/>
          <w:kern w:val="0"/>
          <w:sz w:val="32"/>
          <w:szCs w:val="32"/>
          <w:highlight w:val="none"/>
          <w:lang w:val="en-US" w:eastAsia="zh-CN"/>
        </w:rPr>
        <w:t>5个项目，上年只有两个项目，本年预算相应增加</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（二）一般公共预算当年拨款结构情况</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rPr>
        <w:t>1.一般公共服务支出</w:t>
      </w:r>
      <w:r>
        <w:rPr>
          <w:rFonts w:hint="eastAsia" w:ascii="仿宋_GB2312" w:hAnsi="宋体" w:eastAsia="仿宋_GB2312" w:cs="宋体"/>
          <w:color w:val="auto"/>
          <w:kern w:val="0"/>
          <w:sz w:val="32"/>
          <w:szCs w:val="32"/>
          <w:highlight w:val="none"/>
          <w:lang w:val="en-US" w:eastAsia="zh-CN"/>
        </w:rPr>
        <w:t>172</w:t>
      </w:r>
      <w:r>
        <w:rPr>
          <w:rFonts w:hint="eastAsia" w:ascii="仿宋_GB2312" w:hAnsi="仿宋_GB2312" w:eastAsia="仿宋_GB2312" w:cs="仿宋_GB2312"/>
          <w:color w:val="auto"/>
          <w:kern w:val="0"/>
          <w:sz w:val="32"/>
          <w:szCs w:val="32"/>
          <w:highlight w:val="none"/>
        </w:rPr>
        <w:t>万元，占</w:t>
      </w:r>
      <w:r>
        <w:rPr>
          <w:rFonts w:hint="eastAsia" w:ascii="仿宋_GB2312" w:hAnsi="宋体" w:eastAsia="仿宋_GB2312" w:cs="宋体"/>
          <w:color w:val="auto"/>
          <w:kern w:val="0"/>
          <w:sz w:val="32"/>
          <w:szCs w:val="32"/>
          <w:highlight w:val="none"/>
          <w:lang w:val="en-US" w:eastAsia="zh-CN"/>
        </w:rPr>
        <w:t>27.2</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2.社会保障和就业支出</w:t>
      </w:r>
      <w:r>
        <w:rPr>
          <w:rFonts w:hint="eastAsia" w:ascii="仿宋_GB2312" w:hAnsi="宋体" w:eastAsia="仿宋_GB2312" w:cs="宋体"/>
          <w:color w:val="auto"/>
          <w:kern w:val="0"/>
          <w:sz w:val="32"/>
          <w:szCs w:val="32"/>
          <w:highlight w:val="none"/>
          <w:lang w:val="en-US" w:eastAsia="zh-CN"/>
        </w:rPr>
        <w:t>30.52</w:t>
      </w:r>
      <w:r>
        <w:rPr>
          <w:rFonts w:hint="eastAsia" w:ascii="仿宋_GB2312" w:hAnsi="仿宋_GB2312" w:eastAsia="仿宋_GB2312" w:cs="仿宋_GB2312"/>
          <w:color w:val="auto"/>
          <w:kern w:val="0"/>
          <w:sz w:val="32"/>
          <w:szCs w:val="32"/>
          <w:highlight w:val="none"/>
        </w:rPr>
        <w:t>万元，占</w:t>
      </w:r>
      <w:r>
        <w:rPr>
          <w:rFonts w:hint="eastAsia" w:ascii="仿宋_GB2312" w:hAnsi="宋体" w:eastAsia="仿宋_GB2312" w:cs="宋体"/>
          <w:color w:val="auto"/>
          <w:kern w:val="0"/>
          <w:sz w:val="32"/>
          <w:szCs w:val="32"/>
          <w:highlight w:val="none"/>
          <w:lang w:val="en-US" w:eastAsia="zh-CN"/>
        </w:rPr>
        <w:t>4.83</w:t>
      </w:r>
      <w:r>
        <w:rPr>
          <w:rFonts w:hint="eastAsia" w:ascii="仿宋_GB2312" w:hAnsi="仿宋_GB2312" w:eastAsia="仿宋_GB2312" w:cs="仿宋_GB2312"/>
          <w:color w:val="auto"/>
          <w:kern w:val="0"/>
          <w:sz w:val="32"/>
          <w:szCs w:val="32"/>
          <w:highlight w:val="none"/>
        </w:rPr>
        <w:t>%。</w:t>
      </w:r>
    </w:p>
    <w:p>
      <w:pPr>
        <w:spacing w:line="560" w:lineRule="exact"/>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2.卫生健康支出</w:t>
      </w:r>
      <w:r>
        <w:rPr>
          <w:rFonts w:hint="eastAsia" w:ascii="仿宋_GB2312" w:hAnsi="仿宋_GB2312" w:eastAsia="仿宋_GB2312" w:cs="仿宋_GB2312"/>
          <w:color w:val="auto"/>
          <w:kern w:val="0"/>
          <w:sz w:val="32"/>
          <w:szCs w:val="32"/>
          <w:highlight w:val="none"/>
          <w:lang w:val="en-US" w:eastAsia="zh-CN"/>
        </w:rPr>
        <w:t>23.24万元，占3.68%。</w:t>
      </w:r>
    </w:p>
    <w:p>
      <w:pPr>
        <w:pStyle w:val="3"/>
        <w:ind w:left="0"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3.节能环保支出380.34万元，占</w:t>
      </w:r>
      <w:r>
        <w:rPr>
          <w:rFonts w:hint="eastAsia" w:cs="仿宋_GB2312"/>
          <w:b w:val="0"/>
          <w:bCs w:val="0"/>
          <w:color w:val="auto"/>
          <w:kern w:val="0"/>
          <w:sz w:val="32"/>
          <w:szCs w:val="32"/>
          <w:highlight w:val="none"/>
          <w:lang w:val="en-US" w:eastAsia="zh-CN" w:bidi="ar-SA"/>
        </w:rPr>
        <w:t>60.14</w:t>
      </w:r>
      <w:r>
        <w:rPr>
          <w:rFonts w:hint="eastAsia" w:ascii="仿宋_GB2312" w:hAnsi="仿宋_GB2312" w:eastAsia="仿宋_GB2312" w:cs="仿宋_GB2312"/>
          <w:b w:val="0"/>
          <w:bCs w:val="0"/>
          <w:color w:val="auto"/>
          <w:kern w:val="0"/>
          <w:sz w:val="32"/>
          <w:szCs w:val="32"/>
          <w:highlight w:val="none"/>
          <w:lang w:val="en-US" w:eastAsia="zh-CN" w:bidi="ar-SA"/>
        </w:rPr>
        <w:t>%。</w:t>
      </w:r>
    </w:p>
    <w:p>
      <w:pPr>
        <w:ind w:firstLine="64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4.住房保障支出26.25万元，占4.15%。</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仿宋_GB2312" w:eastAsia="仿宋_GB2312" w:cs="仿宋_GB2312"/>
          <w:kern w:val="0"/>
          <w:sz w:val="32"/>
          <w:szCs w:val="32"/>
          <w:highlight w:val="none"/>
        </w:rPr>
        <w:t>1.一般公共服务</w:t>
      </w:r>
      <w:r>
        <w:rPr>
          <w:rFonts w:hint="eastAsia" w:ascii="仿宋_GB2312" w:hAnsi="仿宋_GB2312" w:eastAsia="仿宋_GB2312" w:cs="仿宋_GB2312"/>
          <w:kern w:val="0"/>
          <w:sz w:val="32"/>
          <w:szCs w:val="32"/>
          <w:highlight w:val="none"/>
          <w:lang w:eastAsia="zh-CN"/>
        </w:rPr>
        <w:t>支出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类</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宣传</w:t>
      </w:r>
      <w:r>
        <w:rPr>
          <w:rFonts w:hint="eastAsia" w:ascii="仿宋_GB2312" w:hAnsi="仿宋_GB2312" w:eastAsia="仿宋_GB2312" w:cs="仿宋_GB2312"/>
          <w:kern w:val="0"/>
          <w:sz w:val="32"/>
          <w:szCs w:val="32"/>
          <w:highlight w:val="none"/>
        </w:rPr>
        <w:t>事务（</w:t>
      </w:r>
      <w:r>
        <w:rPr>
          <w:rFonts w:hint="eastAsia" w:ascii="仿宋_GB2312" w:hAnsi="仿宋_GB2312" w:eastAsia="仿宋_GB2312" w:cs="仿宋_GB2312"/>
          <w:kern w:val="0"/>
          <w:sz w:val="32"/>
          <w:szCs w:val="32"/>
          <w:highlight w:val="none"/>
          <w:lang w:val="en-US" w:eastAsia="zh-CN"/>
        </w:rPr>
        <w:t>款</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宣传管理</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项</w:t>
      </w:r>
      <w:r>
        <w:rPr>
          <w:rFonts w:hint="eastAsia" w:ascii="仿宋_GB2312" w:hAnsi="仿宋_GB2312" w:eastAsia="仿宋_GB2312" w:cs="仿宋_GB2312"/>
          <w:kern w:val="0"/>
          <w:sz w:val="32"/>
          <w:szCs w:val="32"/>
          <w:highlight w:val="none"/>
        </w:rPr>
        <w:t>）:2022年预算数为</w:t>
      </w:r>
      <w:r>
        <w:rPr>
          <w:rFonts w:hint="eastAsia" w:ascii="仿宋_GB2312" w:hAnsi="宋体" w:eastAsia="仿宋_GB2312" w:cs="宋体"/>
          <w:kern w:val="0"/>
          <w:sz w:val="32"/>
          <w:szCs w:val="32"/>
          <w:highlight w:val="none"/>
          <w:lang w:val="en-US" w:eastAsia="zh-CN"/>
        </w:rPr>
        <w:t>60</w:t>
      </w:r>
      <w:r>
        <w:rPr>
          <w:rFonts w:hint="eastAsia" w:ascii="仿宋_GB2312" w:hAnsi="仿宋_GB2312" w:eastAsia="仿宋_GB2312" w:cs="仿宋_GB2312"/>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eastAsia="zh-CN"/>
        </w:rPr>
        <w:t>本年与上年预算数一致。</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2.</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eastAsia="zh-CN"/>
        </w:rPr>
        <w:t>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其他一般公共服务支出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仿宋_GB2312" w:eastAsia="仿宋_GB2312" w:cs="仿宋_GB2312"/>
          <w:kern w:val="0"/>
          <w:sz w:val="32"/>
          <w:szCs w:val="32"/>
          <w:highlight w:val="none"/>
        </w:rPr>
        <w:t>其他一般公共服务支出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112</w:t>
      </w:r>
      <w:r>
        <w:rPr>
          <w:rFonts w:ascii="仿宋_GB2312" w:hAnsi="宋体" w:eastAsia="仿宋_GB2312" w:cs="宋体"/>
          <w:kern w:val="0"/>
          <w:sz w:val="32"/>
          <w:szCs w:val="32"/>
          <w:highlight w:val="none"/>
        </w:rPr>
        <w:t>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112</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上年</w:t>
      </w:r>
      <w:r>
        <w:rPr>
          <w:rFonts w:hint="eastAsia" w:ascii="仿宋_GB2312" w:hAnsi="仿宋_GB2312" w:eastAsia="仿宋_GB2312" w:cs="仿宋_GB2312"/>
          <w:kern w:val="0"/>
          <w:sz w:val="32"/>
          <w:szCs w:val="32"/>
          <w:highlight w:val="none"/>
        </w:rPr>
        <w:t>其他一般公共服务支出</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行政单位离退休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w:t>
      </w:r>
      <w:r>
        <w:rPr>
          <w:rFonts w:ascii="仿宋_GB2312" w:hAnsi="宋体" w:eastAsia="仿宋_GB2312" w:cs="宋体"/>
          <w:kern w:val="0"/>
          <w:sz w:val="32"/>
          <w:szCs w:val="32"/>
          <w:highlight w:val="none"/>
        </w:rPr>
        <w:t>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rPr>
        <w:t>上年行政单位离退休未列入此款类项中。</w:t>
      </w:r>
    </w:p>
    <w:p>
      <w:pPr>
        <w:spacing w:line="56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社会保障和就业支出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机关事业单位基本养老保险缴费支出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29.52</w:t>
      </w:r>
      <w:r>
        <w:rPr>
          <w:rFonts w:ascii="仿宋_GB2312" w:hAnsi="宋体" w:eastAsia="仿宋_GB2312" w:cs="宋体"/>
          <w:kern w:val="0"/>
          <w:sz w:val="32"/>
          <w:szCs w:val="32"/>
          <w:highlight w:val="none"/>
        </w:rPr>
        <w:t>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3.98</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15.58</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eastAsia="zh-CN"/>
        </w:rPr>
        <w:t>本年调入</w:t>
      </w:r>
      <w:r>
        <w:rPr>
          <w:rFonts w:hint="eastAsia" w:ascii="仿宋_GB2312" w:hAnsi="宋体" w:eastAsia="仿宋_GB2312" w:cs="宋体"/>
          <w:kern w:val="0"/>
          <w:sz w:val="32"/>
          <w:szCs w:val="32"/>
          <w:highlight w:val="none"/>
          <w:lang w:val="en-US" w:eastAsia="zh-CN"/>
        </w:rPr>
        <w:t>2人</w:t>
      </w:r>
      <w:r>
        <w:rPr>
          <w:rFonts w:hint="eastAsia" w:ascii="仿宋_GB2312" w:hAnsi="仿宋_GB2312" w:eastAsia="仿宋_GB2312" w:cs="仿宋_GB2312"/>
          <w:kern w:val="0"/>
          <w:sz w:val="32"/>
          <w:szCs w:val="32"/>
          <w:highlight w:val="none"/>
          <w:lang w:eastAsia="zh-CN"/>
        </w:rPr>
        <w:t>。</w:t>
      </w:r>
    </w:p>
    <w:p>
      <w:pPr>
        <w:pStyle w:val="3"/>
        <w:ind w:left="0" w:leftChars="0" w:firstLine="640" w:firstLineChars="200"/>
        <w:rPr>
          <w:rFonts w:hint="eastAsia" w:ascii="仿宋_GB2312" w:hAnsi="宋体" w:eastAsia="仿宋_GB2312" w:cs="宋体"/>
          <w:b w:val="0"/>
          <w:bCs w:val="0"/>
          <w:kern w:val="0"/>
          <w:sz w:val="32"/>
          <w:szCs w:val="32"/>
          <w:highlight w:val="none"/>
          <w:lang w:val="en-US" w:eastAsia="zh-CN" w:bidi="ar-SA"/>
        </w:rPr>
      </w:pPr>
      <w:r>
        <w:rPr>
          <w:rFonts w:hint="eastAsia" w:ascii="仿宋_GB2312" w:hAnsi="宋体" w:eastAsia="仿宋_GB2312" w:cs="宋体"/>
          <w:b w:val="0"/>
          <w:bCs w:val="0"/>
          <w:kern w:val="0"/>
          <w:sz w:val="32"/>
          <w:szCs w:val="32"/>
          <w:highlight w:val="none"/>
          <w:lang w:val="en-US" w:eastAsia="zh-CN" w:bidi="ar-SA"/>
        </w:rPr>
        <w:t>5.卫生健康支出（</w:t>
      </w:r>
      <w:r>
        <w:rPr>
          <w:rFonts w:hint="eastAsia" w:hAnsi="宋体" w:cs="宋体"/>
          <w:b w:val="0"/>
          <w:bCs w:val="0"/>
          <w:kern w:val="0"/>
          <w:sz w:val="32"/>
          <w:szCs w:val="32"/>
          <w:highlight w:val="none"/>
          <w:lang w:val="en-US" w:eastAsia="zh-CN" w:bidi="ar-SA"/>
        </w:rPr>
        <w:t>类</w:t>
      </w:r>
      <w:r>
        <w:rPr>
          <w:rFonts w:hint="eastAsia" w:ascii="仿宋_GB2312" w:hAnsi="宋体" w:eastAsia="仿宋_GB2312" w:cs="宋体"/>
          <w:b w:val="0"/>
          <w:bCs w:val="0"/>
          <w:kern w:val="0"/>
          <w:sz w:val="32"/>
          <w:szCs w:val="32"/>
          <w:highlight w:val="none"/>
          <w:lang w:val="en-US" w:eastAsia="zh-CN" w:bidi="ar-SA"/>
        </w:rPr>
        <w:t>）行政事业单位医疗（</w:t>
      </w:r>
      <w:r>
        <w:rPr>
          <w:rFonts w:hint="eastAsia" w:hAnsi="宋体" w:cs="宋体"/>
          <w:b w:val="0"/>
          <w:bCs w:val="0"/>
          <w:kern w:val="0"/>
          <w:sz w:val="32"/>
          <w:szCs w:val="32"/>
          <w:highlight w:val="none"/>
          <w:lang w:val="en-US" w:eastAsia="zh-CN" w:bidi="ar-SA"/>
        </w:rPr>
        <w:t>款</w:t>
      </w:r>
      <w:r>
        <w:rPr>
          <w:rFonts w:hint="eastAsia" w:ascii="仿宋_GB2312" w:hAnsi="宋体" w:eastAsia="仿宋_GB2312" w:cs="宋体"/>
          <w:b w:val="0"/>
          <w:bCs w:val="0"/>
          <w:kern w:val="0"/>
          <w:sz w:val="32"/>
          <w:szCs w:val="32"/>
          <w:highlight w:val="none"/>
          <w:lang w:val="en-US" w:eastAsia="zh-CN" w:bidi="ar-SA"/>
        </w:rPr>
        <w:t>）行政单位医疗（</w:t>
      </w:r>
      <w:r>
        <w:rPr>
          <w:rFonts w:hint="eastAsia" w:hAnsi="宋体" w:cs="宋体"/>
          <w:b w:val="0"/>
          <w:bCs w:val="0"/>
          <w:kern w:val="0"/>
          <w:sz w:val="32"/>
          <w:szCs w:val="32"/>
          <w:highlight w:val="none"/>
          <w:lang w:val="en-US" w:eastAsia="zh-CN" w:bidi="ar-SA"/>
        </w:rPr>
        <w:t>项</w:t>
      </w:r>
      <w:r>
        <w:rPr>
          <w:rFonts w:hint="eastAsia" w:ascii="仿宋_GB2312" w:hAnsi="宋体" w:eastAsia="仿宋_GB2312" w:cs="宋体"/>
          <w:b w:val="0"/>
          <w:bCs w:val="0"/>
          <w:kern w:val="0"/>
          <w:sz w:val="32"/>
          <w:szCs w:val="32"/>
          <w:highlight w:val="none"/>
          <w:lang w:val="en-US" w:eastAsia="zh-CN" w:bidi="ar-SA"/>
        </w:rPr>
        <w:t>）:2022年预算数17.53万元，比上年预算数减少5.19万元，减少22.84%，主要原因是本年行政单位医疗缴纳比例</w:t>
      </w:r>
      <w:r>
        <w:rPr>
          <w:rFonts w:hint="eastAsia" w:hAnsi="宋体" w:cs="宋体"/>
          <w:b w:val="0"/>
          <w:bCs w:val="0"/>
          <w:kern w:val="0"/>
          <w:sz w:val="32"/>
          <w:szCs w:val="32"/>
          <w:highlight w:val="none"/>
          <w:lang w:val="en-US" w:eastAsia="zh-CN" w:bidi="ar-SA"/>
        </w:rPr>
        <w:t>降低</w:t>
      </w:r>
      <w:r>
        <w:rPr>
          <w:rFonts w:hint="eastAsia" w:ascii="仿宋_GB2312" w:hAnsi="宋体" w:eastAsia="仿宋_GB2312" w:cs="宋体"/>
          <w:b w:val="0"/>
          <w:bCs w:val="0"/>
          <w:kern w:val="0"/>
          <w:sz w:val="32"/>
          <w:szCs w:val="32"/>
          <w:highlight w:val="none"/>
          <w:lang w:val="en-US" w:eastAsia="zh-CN" w:bidi="ar-SA"/>
        </w:rPr>
        <w:t>。</w:t>
      </w:r>
    </w:p>
    <w:p>
      <w:pPr>
        <w:pStyle w:val="3"/>
        <w:ind w:left="0" w:leftChars="0" w:firstLine="640" w:firstLineChars="200"/>
        <w:rPr>
          <w:rFonts w:hint="eastAsia" w:ascii="仿宋_GB2312" w:hAnsi="宋体" w:eastAsia="仿宋_GB2312" w:cs="宋体"/>
          <w:b w:val="0"/>
          <w:bCs w:val="0"/>
          <w:kern w:val="0"/>
          <w:sz w:val="32"/>
          <w:szCs w:val="32"/>
          <w:highlight w:val="none"/>
          <w:lang w:val="en-US" w:eastAsia="zh-CN" w:bidi="ar-SA"/>
        </w:rPr>
      </w:pPr>
      <w:r>
        <w:rPr>
          <w:rFonts w:hint="eastAsia" w:ascii="仿宋_GB2312" w:hAnsi="宋体" w:eastAsia="仿宋_GB2312" w:cs="宋体"/>
          <w:b w:val="0"/>
          <w:bCs w:val="0"/>
          <w:kern w:val="0"/>
          <w:sz w:val="32"/>
          <w:szCs w:val="32"/>
          <w:highlight w:val="none"/>
          <w:lang w:val="en-US" w:eastAsia="zh-CN" w:bidi="ar-SA"/>
        </w:rPr>
        <w:t>6.卫生健康支出（</w:t>
      </w:r>
      <w:r>
        <w:rPr>
          <w:rFonts w:hint="eastAsia" w:hAnsi="宋体" w:cs="宋体"/>
          <w:b w:val="0"/>
          <w:bCs w:val="0"/>
          <w:kern w:val="0"/>
          <w:sz w:val="32"/>
          <w:szCs w:val="32"/>
          <w:highlight w:val="none"/>
          <w:lang w:val="en-US" w:eastAsia="zh-CN" w:bidi="ar-SA"/>
        </w:rPr>
        <w:t>类</w:t>
      </w:r>
      <w:r>
        <w:rPr>
          <w:rFonts w:hint="eastAsia" w:ascii="仿宋_GB2312" w:hAnsi="宋体" w:eastAsia="仿宋_GB2312" w:cs="宋体"/>
          <w:b w:val="0"/>
          <w:bCs w:val="0"/>
          <w:kern w:val="0"/>
          <w:sz w:val="32"/>
          <w:szCs w:val="32"/>
          <w:highlight w:val="none"/>
          <w:lang w:val="en-US" w:eastAsia="zh-CN" w:bidi="ar-SA"/>
        </w:rPr>
        <w:t>）行政事业单位医疗（</w:t>
      </w:r>
      <w:r>
        <w:rPr>
          <w:rFonts w:hint="eastAsia" w:hAnsi="宋体" w:cs="宋体"/>
          <w:b w:val="0"/>
          <w:bCs w:val="0"/>
          <w:kern w:val="0"/>
          <w:sz w:val="32"/>
          <w:szCs w:val="32"/>
          <w:highlight w:val="none"/>
          <w:lang w:val="en-US" w:eastAsia="zh-CN" w:bidi="ar-SA"/>
        </w:rPr>
        <w:t>款</w:t>
      </w:r>
      <w:r>
        <w:rPr>
          <w:rFonts w:hint="eastAsia" w:ascii="仿宋_GB2312" w:hAnsi="宋体" w:eastAsia="仿宋_GB2312" w:cs="宋体"/>
          <w:b w:val="0"/>
          <w:bCs w:val="0"/>
          <w:kern w:val="0"/>
          <w:sz w:val="32"/>
          <w:szCs w:val="32"/>
          <w:highlight w:val="none"/>
          <w:lang w:val="en-US" w:eastAsia="zh-CN" w:bidi="ar-SA"/>
        </w:rPr>
        <w:t>）公务员医疗补助（</w:t>
      </w:r>
      <w:r>
        <w:rPr>
          <w:rFonts w:hint="eastAsia" w:hAnsi="宋体" w:cs="宋体"/>
          <w:b w:val="0"/>
          <w:bCs w:val="0"/>
          <w:kern w:val="0"/>
          <w:sz w:val="32"/>
          <w:szCs w:val="32"/>
          <w:highlight w:val="none"/>
          <w:lang w:val="en-US" w:eastAsia="zh-CN" w:bidi="ar-SA"/>
        </w:rPr>
        <w:t>项</w:t>
      </w:r>
      <w:r>
        <w:rPr>
          <w:rFonts w:hint="eastAsia" w:ascii="仿宋_GB2312" w:hAnsi="宋体" w:eastAsia="仿宋_GB2312" w:cs="宋体"/>
          <w:b w:val="0"/>
          <w:bCs w:val="0"/>
          <w:kern w:val="0"/>
          <w:sz w:val="32"/>
          <w:szCs w:val="32"/>
          <w:highlight w:val="none"/>
          <w:lang w:val="en-US" w:eastAsia="zh-CN" w:bidi="ar-SA"/>
        </w:rPr>
        <w:t>）:2022年预算数为5.54万元，比上年预算数减少1.77万元，减少24.21%，主要原因是公务员医疗补助缴纳比例</w:t>
      </w:r>
      <w:r>
        <w:rPr>
          <w:rFonts w:hint="eastAsia" w:hAnsi="宋体" w:cs="宋体"/>
          <w:b w:val="0"/>
          <w:bCs w:val="0"/>
          <w:kern w:val="0"/>
          <w:sz w:val="32"/>
          <w:szCs w:val="32"/>
          <w:highlight w:val="none"/>
          <w:lang w:val="en-US" w:eastAsia="zh-CN" w:bidi="ar-SA"/>
        </w:rPr>
        <w:t>降低</w:t>
      </w:r>
      <w:r>
        <w:rPr>
          <w:rFonts w:hint="eastAsia" w:ascii="仿宋_GB2312" w:hAnsi="宋体" w:eastAsia="仿宋_GB2312" w:cs="宋体"/>
          <w:b w:val="0"/>
          <w:bCs w:val="0"/>
          <w:kern w:val="0"/>
          <w:sz w:val="32"/>
          <w:szCs w:val="32"/>
          <w:highlight w:val="none"/>
          <w:lang w:val="en-US" w:eastAsia="zh-CN" w:bidi="ar-SA"/>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b w:val="0"/>
          <w:bCs w:val="0"/>
          <w:kern w:val="0"/>
          <w:sz w:val="32"/>
          <w:szCs w:val="32"/>
          <w:highlight w:val="none"/>
          <w:lang w:val="en-US" w:eastAsia="zh-CN" w:bidi="ar-SA"/>
        </w:rPr>
        <w:t>7.卫生健康支出（类）行政事业单位医疗（款）其他行政事业单位医疗支出（项）:2022年预算数为0.17万元，比上年预算增加0.17万元，</w:t>
      </w:r>
      <w:r>
        <w:rPr>
          <w:rFonts w:hint="eastAsia" w:ascii="仿宋_GB2312" w:hAnsi="仿宋_GB2312" w:eastAsia="仿宋_GB2312" w:cs="仿宋_GB2312"/>
          <w:kern w:val="0"/>
          <w:sz w:val="32"/>
          <w:szCs w:val="32"/>
          <w:highlight w:val="none"/>
        </w:rPr>
        <w:t>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w:t>
      </w:r>
      <w:r>
        <w:rPr>
          <w:rFonts w:hint="eastAsia" w:ascii="仿宋_GB2312" w:hAnsi="宋体" w:eastAsia="仿宋_GB2312" w:cs="宋体"/>
          <w:b w:val="0"/>
          <w:bCs w:val="0"/>
          <w:kern w:val="0"/>
          <w:sz w:val="32"/>
          <w:szCs w:val="32"/>
          <w:highlight w:val="none"/>
          <w:lang w:val="en-US" w:eastAsia="zh-CN" w:bidi="ar-SA"/>
        </w:rPr>
        <w:t>，主要原因是</w:t>
      </w:r>
      <w:r>
        <w:rPr>
          <w:rFonts w:hint="eastAsia" w:ascii="仿宋_GB2312" w:hAnsi="宋体" w:eastAsia="仿宋_GB2312" w:cs="宋体"/>
          <w:kern w:val="0"/>
          <w:sz w:val="32"/>
          <w:szCs w:val="32"/>
          <w:highlight w:val="none"/>
        </w:rPr>
        <w:t>上年</w:t>
      </w:r>
      <w:r>
        <w:rPr>
          <w:rFonts w:hint="eastAsia" w:ascii="仿宋_GB2312" w:hAnsi="宋体" w:eastAsia="仿宋_GB2312" w:cs="宋体"/>
          <w:b w:val="0"/>
          <w:bCs w:val="0"/>
          <w:kern w:val="0"/>
          <w:sz w:val="32"/>
          <w:szCs w:val="32"/>
          <w:highlight w:val="none"/>
          <w:lang w:val="en-US" w:eastAsia="zh-CN" w:bidi="ar-SA"/>
        </w:rPr>
        <w:t>其他行政事业单位医疗支出</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hAnsi="宋体" w:cs="宋体"/>
          <w:b w:val="0"/>
          <w:bCs w:val="0"/>
          <w:kern w:val="0"/>
          <w:sz w:val="32"/>
          <w:szCs w:val="32"/>
          <w:highlight w:val="none"/>
          <w:lang w:val="en-US" w:eastAsia="zh-CN" w:bidi="ar-SA"/>
        </w:rPr>
        <w:t>8.</w:t>
      </w:r>
      <w:r>
        <w:rPr>
          <w:rFonts w:hint="eastAsia" w:ascii="仿宋_GB2312" w:hAnsi="宋体" w:eastAsia="仿宋_GB2312" w:cs="宋体"/>
          <w:b w:val="0"/>
          <w:bCs w:val="0"/>
          <w:kern w:val="0"/>
          <w:sz w:val="32"/>
          <w:szCs w:val="32"/>
          <w:highlight w:val="none"/>
          <w:lang w:val="en-US" w:eastAsia="zh-CN" w:bidi="ar-SA"/>
        </w:rPr>
        <w:t>节能环保支出（类）环境保护管理事务（款）行政运行（项）:2022年预算数为255.34万元，比上年预算减少106.81万元，减少29.49%，主要原因是本年机关运行补助经费在项目支出反映，</w:t>
      </w:r>
      <w:r>
        <w:rPr>
          <w:rFonts w:hint="eastAsia" w:ascii="仿宋_GB2312" w:hAnsi="宋体" w:eastAsia="仿宋_GB2312" w:cs="宋体"/>
          <w:kern w:val="0"/>
          <w:sz w:val="32"/>
          <w:szCs w:val="32"/>
          <w:highlight w:val="none"/>
          <w:lang w:eastAsia="zh-CN"/>
        </w:rPr>
        <w:t>而上年在行政运行反映。</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b w:val="0"/>
          <w:bCs w:val="0"/>
          <w:kern w:val="0"/>
          <w:sz w:val="32"/>
          <w:szCs w:val="32"/>
          <w:highlight w:val="none"/>
          <w:lang w:val="en-US" w:eastAsia="zh-CN" w:bidi="ar-SA"/>
        </w:rPr>
        <w:t>9.节能环保支出（类）环境监测与监察（款）</w:t>
      </w:r>
      <w:r>
        <w:rPr>
          <w:rFonts w:hint="eastAsia" w:ascii="仿宋_GB2312" w:hAnsi="仿宋_GB2312" w:eastAsia="仿宋_GB2312" w:cs="仿宋_GB2312"/>
          <w:b w:val="0"/>
          <w:bCs w:val="0"/>
          <w:kern w:val="0"/>
          <w:sz w:val="32"/>
          <w:szCs w:val="32"/>
          <w:highlight w:val="none"/>
          <w:lang w:val="en-US" w:eastAsia="zh-CN" w:bidi="ar-SA"/>
        </w:rPr>
        <w:t>建设项目环评审查与监督支出</w:t>
      </w:r>
      <w:r>
        <w:rPr>
          <w:rFonts w:hint="eastAsia" w:ascii="仿宋_GB2312" w:hAnsi="宋体" w:eastAsia="仿宋_GB2312" w:cs="宋体"/>
          <w:b w:val="0"/>
          <w:bCs w:val="0"/>
          <w:kern w:val="0"/>
          <w:sz w:val="32"/>
          <w:szCs w:val="32"/>
          <w:highlight w:val="none"/>
          <w:lang w:val="en-US" w:eastAsia="zh-CN" w:bidi="ar-SA"/>
        </w:rPr>
        <w:t>（项）:2022年预算数为100万元，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w:t>
      </w:r>
      <w:r>
        <w:rPr>
          <w:rFonts w:hint="eastAsia" w:ascii="仿宋_GB2312" w:hAnsi="宋体" w:eastAsia="仿宋_GB2312" w:cs="宋体"/>
          <w:b w:val="0"/>
          <w:bCs w:val="0"/>
          <w:kern w:val="0"/>
          <w:sz w:val="32"/>
          <w:szCs w:val="32"/>
          <w:highlight w:val="none"/>
          <w:lang w:val="en-US" w:eastAsia="zh-CN" w:bidi="ar-SA"/>
        </w:rPr>
        <w:t>，主要原因是</w:t>
      </w:r>
      <w:r>
        <w:rPr>
          <w:rFonts w:hint="eastAsia" w:ascii="仿宋_GB2312" w:hAnsi="宋体" w:eastAsia="仿宋_GB2312" w:cs="宋体"/>
          <w:kern w:val="0"/>
          <w:sz w:val="32"/>
          <w:szCs w:val="32"/>
          <w:highlight w:val="none"/>
        </w:rPr>
        <w:t>上年</w:t>
      </w:r>
      <w:r>
        <w:rPr>
          <w:rFonts w:hint="eastAsia" w:ascii="仿宋_GB2312" w:hAnsi="仿宋_GB2312" w:eastAsia="仿宋_GB2312" w:cs="仿宋_GB2312"/>
          <w:b w:val="0"/>
          <w:bCs w:val="0"/>
          <w:kern w:val="0"/>
          <w:sz w:val="32"/>
          <w:szCs w:val="32"/>
          <w:highlight w:val="none"/>
          <w:lang w:val="en-US" w:eastAsia="zh-CN" w:bidi="ar-SA"/>
        </w:rPr>
        <w:t>建设项目环评审查与监督支出</w:t>
      </w:r>
      <w:r>
        <w:rPr>
          <w:rFonts w:hint="eastAsia" w:ascii="仿宋_GB2312" w:hAnsi="宋体" w:eastAsia="仿宋_GB2312" w:cs="宋体"/>
          <w:kern w:val="0"/>
          <w:sz w:val="32"/>
          <w:szCs w:val="32"/>
          <w:highlight w:val="none"/>
        </w:rPr>
        <w:t>未列入此款类项中。</w:t>
      </w:r>
    </w:p>
    <w:p>
      <w:pPr>
        <w:spacing w:line="560" w:lineRule="exact"/>
        <w:ind w:firstLine="640" w:firstLineChars="200"/>
        <w:rPr>
          <w:rFonts w:hint="eastAsia" w:ascii="仿宋_GB2312" w:hAnsi="宋体" w:eastAsia="仿宋_GB2312" w:cs="宋体"/>
          <w:b w:val="0"/>
          <w:bCs w:val="0"/>
          <w:kern w:val="0"/>
          <w:sz w:val="32"/>
          <w:szCs w:val="32"/>
          <w:highlight w:val="none"/>
          <w:lang w:val="en-US" w:eastAsia="zh-CN" w:bidi="ar-SA"/>
        </w:rPr>
      </w:pPr>
    </w:p>
    <w:p>
      <w:pPr>
        <w:ind w:firstLine="640" w:firstLineChars="200"/>
        <w:rPr>
          <w:rFonts w:hint="default"/>
          <w:highlight w:val="none"/>
          <w:lang w:val="en-US" w:eastAsia="zh-CN"/>
        </w:rPr>
      </w:pPr>
      <w:r>
        <w:rPr>
          <w:rFonts w:hint="eastAsia" w:ascii="仿宋_GB2312" w:hAnsi="仿宋_GB2312" w:eastAsia="仿宋_GB2312" w:cs="仿宋_GB2312"/>
          <w:b w:val="0"/>
          <w:bCs w:val="0"/>
          <w:kern w:val="0"/>
          <w:sz w:val="32"/>
          <w:szCs w:val="32"/>
          <w:highlight w:val="none"/>
          <w:lang w:val="en-US" w:eastAsia="zh-CN" w:bidi="ar-SA"/>
        </w:rPr>
        <w:t>1</w:t>
      </w:r>
      <w:r>
        <w:rPr>
          <w:rFonts w:hint="eastAsia" w:ascii="仿宋_GB2312" w:hAnsi="宋体" w:eastAsia="仿宋_GB2312" w:cs="宋体"/>
          <w:b w:val="0"/>
          <w:bCs w:val="0"/>
          <w:kern w:val="0"/>
          <w:sz w:val="32"/>
          <w:szCs w:val="32"/>
          <w:highlight w:val="none"/>
          <w:lang w:val="en-US" w:eastAsia="zh-CN" w:bidi="ar-SA"/>
        </w:rPr>
        <w:t>0.节能环保支出（类）污染防治（款）</w:t>
      </w:r>
      <w:r>
        <w:rPr>
          <w:rFonts w:hint="eastAsia" w:ascii="仿宋_GB2312" w:hAnsi="仿宋_GB2312" w:eastAsia="仿宋_GB2312" w:cs="仿宋_GB2312"/>
          <w:b w:val="0"/>
          <w:bCs w:val="0"/>
          <w:kern w:val="0"/>
          <w:sz w:val="32"/>
          <w:szCs w:val="32"/>
          <w:highlight w:val="none"/>
          <w:lang w:val="en-US" w:eastAsia="zh-CN" w:bidi="ar-SA"/>
        </w:rPr>
        <w:t>其他污染防治支出</w:t>
      </w:r>
      <w:r>
        <w:rPr>
          <w:rFonts w:hint="eastAsia" w:ascii="仿宋_GB2312" w:hAnsi="宋体" w:eastAsia="仿宋_GB2312" w:cs="宋体"/>
          <w:b w:val="0"/>
          <w:bCs w:val="0"/>
          <w:kern w:val="0"/>
          <w:sz w:val="32"/>
          <w:szCs w:val="32"/>
          <w:highlight w:val="none"/>
          <w:lang w:val="en-US" w:eastAsia="zh-CN" w:bidi="ar-SA"/>
        </w:rPr>
        <w:t>（项）:2022年预算数为25万元，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25</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w:t>
      </w:r>
      <w:r>
        <w:rPr>
          <w:rFonts w:hint="eastAsia" w:ascii="仿宋_GB2312" w:hAnsi="宋体" w:eastAsia="仿宋_GB2312" w:cs="宋体"/>
          <w:b w:val="0"/>
          <w:bCs w:val="0"/>
          <w:kern w:val="0"/>
          <w:sz w:val="32"/>
          <w:szCs w:val="32"/>
          <w:highlight w:val="none"/>
          <w:lang w:val="en-US" w:eastAsia="zh-CN" w:bidi="ar-SA"/>
        </w:rPr>
        <w:t>，主要原因是</w:t>
      </w:r>
      <w:r>
        <w:rPr>
          <w:rFonts w:hint="eastAsia" w:ascii="仿宋_GB2312" w:hAnsi="宋体" w:eastAsia="仿宋_GB2312" w:cs="宋体"/>
          <w:kern w:val="0"/>
          <w:sz w:val="32"/>
          <w:szCs w:val="32"/>
          <w:highlight w:val="none"/>
        </w:rPr>
        <w:t>本年增加</w:t>
      </w:r>
      <w:r>
        <w:rPr>
          <w:rFonts w:hint="eastAsia" w:ascii="仿宋_GB2312" w:hAnsi="宋体" w:eastAsia="仿宋_GB2312" w:cs="宋体"/>
          <w:kern w:val="0"/>
          <w:sz w:val="32"/>
          <w:szCs w:val="32"/>
          <w:highlight w:val="none"/>
          <w:lang w:eastAsia="zh-CN"/>
        </w:rPr>
        <w:t>环境领域问题专家费</w:t>
      </w:r>
      <w:r>
        <w:rPr>
          <w:rFonts w:hint="eastAsia" w:ascii="仿宋_GB2312" w:hAnsi="宋体" w:eastAsia="仿宋_GB2312" w:cs="宋体"/>
          <w:kern w:val="0"/>
          <w:sz w:val="32"/>
          <w:szCs w:val="32"/>
          <w:highlight w:val="none"/>
          <w:lang w:val="en-US" w:eastAsia="zh-CN"/>
        </w:rPr>
        <w:t>25万元</w:t>
      </w:r>
      <w:r>
        <w:rPr>
          <w:rFonts w:hint="eastAsia" w:ascii="仿宋_GB2312" w:hAnsi="仿宋_GB2312" w:eastAsia="仿宋_GB2312" w:cs="仿宋_GB2312"/>
          <w:b w:val="0"/>
          <w:bCs w:val="0"/>
          <w:kern w:val="0"/>
          <w:sz w:val="32"/>
          <w:szCs w:val="32"/>
          <w:highlight w:val="none"/>
          <w:lang w:val="en-US" w:eastAsia="zh-CN" w:bidi="ar-SA"/>
        </w:rPr>
        <w:t>。</w:t>
      </w:r>
    </w:p>
    <w:p>
      <w:pPr>
        <w:spacing w:line="560" w:lineRule="exact"/>
        <w:ind w:firstLine="640" w:firstLineChars="200"/>
        <w:rPr>
          <w:rFonts w:ascii="仿宋_GB2312" w:hAnsi="宋体" w:eastAsia="仿宋_GB2312" w:cs="宋体"/>
          <w:kern w:val="0"/>
          <w:sz w:val="32"/>
          <w:szCs w:val="32"/>
          <w:highlight w:val="none"/>
        </w:rPr>
      </w:pPr>
      <w:r>
        <w:rPr>
          <w:rFonts w:hint="eastAsia" w:cs="仿宋_GB2312"/>
          <w:b w:val="0"/>
          <w:bCs w:val="0"/>
          <w:kern w:val="0"/>
          <w:sz w:val="32"/>
          <w:szCs w:val="32"/>
          <w:highlight w:val="none"/>
          <w:lang w:val="en-US" w:eastAsia="zh-CN" w:bidi="ar-SA"/>
        </w:rPr>
        <w:t>11.</w:t>
      </w:r>
      <w:r>
        <w:rPr>
          <w:rFonts w:hint="eastAsia" w:ascii="仿宋_GB2312" w:hAnsi="宋体" w:eastAsia="仿宋_GB2312" w:cs="宋体"/>
          <w:b w:val="0"/>
          <w:bCs w:val="0"/>
          <w:kern w:val="0"/>
          <w:sz w:val="32"/>
          <w:szCs w:val="32"/>
          <w:highlight w:val="none"/>
          <w:lang w:val="en-US" w:eastAsia="zh-CN" w:bidi="ar-SA"/>
        </w:rPr>
        <w:t>住房保障支出（类）住房改革支出（款）住房公积金（项）:2022年预算数为26.25万元，</w:t>
      </w:r>
      <w:r>
        <w:rPr>
          <w:rFonts w:hint="eastAsia" w:ascii="仿宋_GB2312" w:hAnsi="仿宋_GB2312" w:eastAsia="仿宋_GB2312" w:cs="仿宋_GB2312"/>
          <w:kern w:val="0"/>
          <w:sz w:val="32"/>
          <w:szCs w:val="32"/>
          <w:highlight w:val="none"/>
        </w:rPr>
        <w:t>比上年预算增加</w:t>
      </w:r>
      <w:r>
        <w:rPr>
          <w:rFonts w:hint="eastAsia" w:ascii="仿宋_GB2312" w:hAnsi="仿宋_GB2312" w:eastAsia="仿宋_GB2312" w:cs="仿宋_GB2312"/>
          <w:kern w:val="0"/>
          <w:sz w:val="32"/>
          <w:szCs w:val="32"/>
          <w:highlight w:val="none"/>
          <w:lang w:val="en-US" w:eastAsia="zh-CN"/>
        </w:rPr>
        <w:t>26.25</w:t>
      </w:r>
      <w:r>
        <w:rPr>
          <w:rFonts w:hint="eastAsia" w:ascii="仿宋_GB2312" w:hAnsi="仿宋_GB2312" w:eastAsia="仿宋_GB2312" w:cs="仿宋_GB2312"/>
          <w:kern w:val="0"/>
          <w:sz w:val="32"/>
          <w:szCs w:val="32"/>
          <w:highlight w:val="none"/>
        </w:rPr>
        <w:t>万元，</w:t>
      </w:r>
      <w:r>
        <w:rPr>
          <w:rFonts w:hint="eastAsia" w:ascii="仿宋_GB2312" w:hAnsi="宋体" w:eastAsia="仿宋_GB2312" w:cs="宋体"/>
          <w:b w:val="0"/>
          <w:bCs w:val="0"/>
          <w:kern w:val="0"/>
          <w:sz w:val="32"/>
          <w:szCs w:val="32"/>
          <w:highlight w:val="none"/>
          <w:lang w:val="en-US" w:eastAsia="zh-CN" w:bidi="ar-SA"/>
        </w:rPr>
        <w:t>增长100%，主要原因是</w:t>
      </w:r>
      <w:r>
        <w:rPr>
          <w:rFonts w:hint="eastAsia" w:ascii="仿宋_GB2312" w:hAnsi="宋体" w:eastAsia="仿宋_GB2312" w:cs="宋体"/>
          <w:kern w:val="0"/>
          <w:sz w:val="32"/>
          <w:szCs w:val="32"/>
          <w:highlight w:val="none"/>
        </w:rPr>
        <w:t>上年住房公积金未列入此款类项中。</w:t>
      </w:r>
    </w:p>
    <w:p>
      <w:pPr>
        <w:spacing w:line="560" w:lineRule="exact"/>
        <w:ind w:firstLine="640" w:firstLineChars="200"/>
        <w:rPr>
          <w:rFonts w:hint="eastAsia" w:ascii="仿宋_GB2312" w:hAnsi="仿宋_GB2312" w:eastAsia="仿宋_GB2312" w:cs="仿宋_GB2312"/>
          <w:kern w:val="0"/>
          <w:sz w:val="32"/>
          <w:szCs w:val="32"/>
          <w:highlight w:val="none"/>
          <w:lang w:eastAsia="zh-CN"/>
        </w:rPr>
      </w:pP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关于昌吉州</w:t>
      </w:r>
      <w:r>
        <w:rPr>
          <w:rFonts w:hint="eastAsia" w:ascii="楷体_GB2312" w:hAnsi="楷体_GB2312" w:eastAsia="楷体_GB2312" w:cs="楷体_GB2312"/>
          <w:b/>
          <w:bCs/>
          <w:spacing w:val="-6"/>
          <w:kern w:val="0"/>
          <w:sz w:val="32"/>
          <w:szCs w:val="32"/>
          <w:highlight w:val="none"/>
          <w:lang w:eastAsia="zh-CN"/>
        </w:rPr>
        <w:t>生态环境局</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昌吉州</w:t>
      </w:r>
      <w:r>
        <w:rPr>
          <w:rFonts w:hint="eastAsia" w:ascii="仿宋_GB2312" w:hAnsi="宋体" w:eastAsia="仿宋_GB2312" w:cs="宋体"/>
          <w:spacing w:val="-6"/>
          <w:kern w:val="0"/>
          <w:sz w:val="32"/>
          <w:szCs w:val="32"/>
          <w:highlight w:val="none"/>
          <w:lang w:eastAsia="zh-CN"/>
        </w:rPr>
        <w:t>生态环境局</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spacing w:val="-6"/>
          <w:kern w:val="0"/>
          <w:sz w:val="32"/>
          <w:szCs w:val="32"/>
          <w:highlight w:val="none"/>
          <w:lang w:val="en-US" w:eastAsia="zh-CN"/>
        </w:rPr>
        <w:t>335.35</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278.58</w:t>
      </w:r>
      <w:r>
        <w:rPr>
          <w:rFonts w:hint="eastAsia" w:ascii="仿宋_GB2312" w:hAnsi="宋体" w:eastAsia="仿宋_GB2312" w:cs="宋体"/>
          <w:kern w:val="0"/>
          <w:sz w:val="32"/>
          <w:szCs w:val="32"/>
          <w:highlight w:val="none"/>
        </w:rPr>
        <w:t>万元，主要包括：基本工资</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津贴补贴、奖金、机关事业单位基本养老保险缴费、职工基本医疗保险缴费、公务员医疗补助缴费、其他社会保障缴费、住房公积金、退休费、医疗费补助、奖励金</w:t>
      </w:r>
      <w:r>
        <w:rPr>
          <w:rFonts w:hint="eastAsia" w:ascii="仿宋_GB2312" w:hAnsi="宋体" w:eastAsia="仿宋_GB2312" w:cs="宋体"/>
          <w:kern w:val="0"/>
          <w:sz w:val="32"/>
          <w:szCs w:val="32"/>
          <w:highlight w:val="none"/>
          <w:lang w:eastAsia="zh-CN"/>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56.77</w:t>
      </w:r>
      <w:r>
        <w:rPr>
          <w:rFonts w:hint="eastAsia" w:ascii="仿宋_GB2312" w:hAnsi="宋体" w:eastAsia="仿宋_GB2312" w:cs="宋体"/>
          <w:kern w:val="0"/>
          <w:sz w:val="32"/>
          <w:szCs w:val="32"/>
          <w:highlight w:val="none"/>
        </w:rPr>
        <w:t>万元，主要包括：办公费、邮电费、取暖费、差旅费、维修（护）费、公务接待费、工会经费、福利费、公务用车运行维护费、其他交通费用、其他商品和服务支出。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昌吉州</w:t>
      </w:r>
      <w:r>
        <w:rPr>
          <w:rFonts w:hint="eastAsia" w:ascii="楷体_GB2312" w:hAnsi="楷体_GB2312" w:eastAsia="楷体_GB2312" w:cs="楷体_GB2312"/>
          <w:b/>
          <w:bCs/>
          <w:spacing w:val="-6"/>
          <w:kern w:val="0"/>
          <w:sz w:val="32"/>
          <w:szCs w:val="32"/>
          <w:highlight w:val="none"/>
          <w:lang w:eastAsia="zh-CN"/>
        </w:rPr>
        <w:t>生态环境局</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3" w:firstLineChars="200"/>
        <w:rPr>
          <w:rFonts w:ascii="仿宋_GB2312" w:hAnsi="黑体" w:eastAsia="仿宋_GB2312"/>
          <w:b/>
          <w:sz w:val="32"/>
          <w:szCs w:val="32"/>
          <w:highlight w:val="none"/>
        </w:rPr>
      </w:pPr>
      <w:r>
        <w:rPr>
          <w:rFonts w:hint="eastAsia" w:ascii="仿宋_GB2312" w:hAnsi="黑体" w:eastAsia="仿宋_GB2312"/>
          <w:b/>
          <w:sz w:val="32"/>
          <w:szCs w:val="32"/>
          <w:highlight w:val="none"/>
        </w:rPr>
        <w:t>情况一：（项目支出、专项业务费按下列内容说明）</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购置应急物资</w:t>
      </w:r>
    </w:p>
    <w:p>
      <w:pPr>
        <w:numPr>
          <w:ilvl w:val="0"/>
          <w:numId w:val="0"/>
        </w:numPr>
        <w:spacing w:line="240" w:lineRule="auto"/>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根据关于转发生态环境部《环境应急物资信息库管理工作指南（试行）》的通知〔新环应急发〔2020〕218号）</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关于印发《环境应急物资信息库管理工作指南（试行）》的通知〔环办应急函〔2020〕558号）</w:t>
      </w:r>
      <w:r>
        <w:rPr>
          <w:rFonts w:hint="eastAsia" w:ascii="仿宋_GB2312" w:hAnsi="宋体" w:eastAsia="仿宋_GB2312" w:cs="宋体"/>
          <w:kern w:val="0"/>
          <w:sz w:val="32"/>
          <w:szCs w:val="32"/>
          <w:highlight w:val="none"/>
          <w:lang w:val="en-US" w:eastAsia="zh-CN"/>
        </w:rPr>
        <w:t>。</w:t>
      </w:r>
    </w:p>
    <w:p>
      <w:pPr>
        <w:numPr>
          <w:ilvl w:val="0"/>
          <w:numId w:val="0"/>
        </w:numPr>
        <w:spacing w:line="240" w:lineRule="auto"/>
        <w:ind w:firstLine="640" w:firstLineChars="200"/>
        <w:rPr>
          <w:rFonts w:hint="eastAsia" w:ascii="仿宋_GB2312" w:hAnsi="黑体" w:eastAsia="仿宋"/>
          <w:sz w:val="32"/>
          <w:szCs w:val="32"/>
          <w:highlight w:val="none"/>
          <w:lang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Style w:val="9"/>
          <w:rFonts w:hint="eastAsia" w:ascii="仿宋" w:hAnsi="仿宋" w:eastAsia="仿宋" w:cs="仿宋"/>
          <w:b w:val="0"/>
          <w:bCs w:val="0"/>
          <w:spacing w:val="-4"/>
          <w:sz w:val="32"/>
          <w:szCs w:val="32"/>
          <w:highlight w:val="none"/>
          <w:lang w:val="en-US" w:eastAsia="zh-CN"/>
        </w:rPr>
        <w:t>15</w:t>
      </w:r>
      <w:r>
        <w:rPr>
          <w:rStyle w:val="9"/>
          <w:rFonts w:hint="eastAsia" w:ascii="仿宋" w:hAnsi="仿宋" w:eastAsia="仿宋" w:cs="仿宋"/>
          <w:b w:val="0"/>
          <w:bCs w:val="0"/>
          <w:spacing w:val="-4"/>
          <w:sz w:val="32"/>
          <w:szCs w:val="32"/>
          <w:highlight w:val="none"/>
        </w:rPr>
        <w:t>万元</w:t>
      </w:r>
    </w:p>
    <w:p>
      <w:pPr>
        <w:spacing w:line="54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昌吉回族自治州生态环境局</w:t>
      </w:r>
    </w:p>
    <w:p>
      <w:pPr>
        <w:spacing w:line="560" w:lineRule="exact"/>
        <w:ind w:firstLine="640" w:firstLineChars="200"/>
        <w:rPr>
          <w:rStyle w:val="9"/>
          <w:rFonts w:hint="eastAsia" w:ascii="仿宋" w:hAnsi="仿宋" w:eastAsia="仿宋" w:cs="仿宋"/>
          <w:b w:val="0"/>
          <w:bCs w:val="0"/>
          <w:spacing w:val="-4"/>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购置</w:t>
      </w:r>
      <w:r>
        <w:rPr>
          <w:rStyle w:val="9"/>
          <w:rFonts w:hint="eastAsia" w:ascii="仿宋" w:hAnsi="仿宋" w:eastAsia="仿宋" w:cs="仿宋"/>
          <w:b w:val="0"/>
          <w:bCs w:val="0"/>
          <w:spacing w:val="-4"/>
          <w:sz w:val="32"/>
          <w:szCs w:val="32"/>
          <w:highlight w:val="none"/>
        </w:rPr>
        <w:t>空气呼吸机</w:t>
      </w:r>
      <w:r>
        <w:rPr>
          <w:rStyle w:val="9"/>
          <w:rFonts w:hint="eastAsia" w:ascii="仿宋" w:hAnsi="仿宋" w:eastAsia="仿宋" w:cs="仿宋"/>
          <w:b w:val="0"/>
          <w:bCs w:val="0"/>
          <w:spacing w:val="-4"/>
          <w:sz w:val="32"/>
          <w:szCs w:val="32"/>
          <w:highlight w:val="none"/>
          <w:lang w:eastAsia="zh-CN"/>
        </w:rPr>
        <w:t>费用</w:t>
      </w:r>
      <w:r>
        <w:rPr>
          <w:rStyle w:val="9"/>
          <w:rFonts w:hint="eastAsia" w:ascii="仿宋" w:hAnsi="仿宋" w:eastAsia="仿宋" w:cs="仿宋"/>
          <w:b w:val="0"/>
          <w:bCs w:val="0"/>
          <w:spacing w:val="-4"/>
          <w:sz w:val="32"/>
          <w:szCs w:val="32"/>
          <w:highlight w:val="none"/>
          <w:lang w:val="en-US" w:eastAsia="zh-CN"/>
        </w:rPr>
        <w:t>4.8万元、移动供气源费用5.5万元、洗消帐篷3.8万元、消防员灭火头盔等应急物资0.9万元</w:t>
      </w:r>
      <w:r>
        <w:rPr>
          <w:rStyle w:val="9"/>
          <w:rFonts w:hint="eastAsia" w:ascii="仿宋" w:hAnsi="仿宋" w:eastAsia="仿宋" w:cs="仿宋"/>
          <w:b w:val="0"/>
          <w:bCs w:val="0"/>
          <w:spacing w:val="-4"/>
          <w:sz w:val="32"/>
          <w:szCs w:val="32"/>
          <w:highlight w:val="none"/>
          <w:lang w:eastAsia="zh-CN"/>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环境领域问题外聘专家费</w:t>
      </w:r>
    </w:p>
    <w:p>
      <w:pPr>
        <w:spacing w:line="560" w:lineRule="exact"/>
        <w:ind w:firstLine="640" w:firstLineChars="200"/>
        <w:rPr>
          <w:rFonts w:hint="eastAsia" w:ascii="仿宋_GB2312" w:hAnsi="黑体" w:eastAsia="仿宋_GB2312"/>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：为加强全州环境隐患排查整治力度，提高应对突发环境事件能力和水平，需定期聘请重点领域专家，组织有关人员，对全州重点石油、化工行业开展隐患排查，切实保障人民生命财产安全。</w:t>
      </w:r>
    </w:p>
    <w:p>
      <w:pPr>
        <w:spacing w:line="560" w:lineRule="exact"/>
        <w:ind w:firstLine="640" w:firstLineChars="200"/>
        <w:rPr>
          <w:rFonts w:hint="eastAsia"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25</w:t>
      </w:r>
      <w:r>
        <w:rPr>
          <w:rFonts w:hint="eastAsia" w:ascii="仿宋_GB2312" w:hAnsi="黑体" w:eastAsia="仿宋_GB2312"/>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w:t>
      </w:r>
      <w:r>
        <w:rPr>
          <w:rFonts w:hint="eastAsia" w:ascii="仿宋_GB2312" w:hAnsi="黑体" w:eastAsia="仿宋_GB2312"/>
          <w:sz w:val="32"/>
          <w:szCs w:val="32"/>
          <w:highlight w:val="none"/>
        </w:rPr>
        <w:t>回族</w:t>
      </w:r>
      <w:r>
        <w:rPr>
          <w:rFonts w:hint="eastAsia" w:ascii="仿宋_GB2312" w:hAnsi="宋体" w:eastAsia="仿宋_GB2312" w:cs="宋体"/>
          <w:kern w:val="0"/>
          <w:sz w:val="32"/>
          <w:szCs w:val="32"/>
          <w:highlight w:val="none"/>
        </w:rPr>
        <w:t>自治州生态环境局</w:t>
      </w:r>
    </w:p>
    <w:p>
      <w:pPr>
        <w:spacing w:line="560" w:lineRule="exact"/>
        <w:ind w:firstLine="640" w:firstLineChars="200"/>
        <w:rPr>
          <w:rStyle w:val="9"/>
          <w:rFonts w:hint="default" w:ascii="仿宋" w:hAnsi="仿宋" w:eastAsia="仿宋" w:cs="仿宋"/>
          <w:b w:val="0"/>
          <w:bCs w:val="0"/>
          <w:spacing w:val="-4"/>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Style w:val="9"/>
          <w:rFonts w:hint="eastAsia" w:ascii="仿宋" w:hAnsi="仿宋" w:eastAsia="仿宋" w:cs="仿宋"/>
          <w:b w:val="0"/>
          <w:bCs w:val="0"/>
          <w:spacing w:val="-4"/>
          <w:sz w:val="32"/>
          <w:szCs w:val="32"/>
          <w:highlight w:val="none"/>
        </w:rPr>
        <w:t>重点行业企业开展专项环境安全隐患排查工作</w:t>
      </w:r>
      <w:r>
        <w:rPr>
          <w:rStyle w:val="9"/>
          <w:rFonts w:hint="eastAsia" w:ascii="仿宋" w:hAnsi="仿宋" w:eastAsia="仿宋" w:cs="仿宋"/>
          <w:b w:val="0"/>
          <w:bCs w:val="0"/>
          <w:spacing w:val="-4"/>
          <w:sz w:val="32"/>
          <w:szCs w:val="32"/>
          <w:highlight w:val="none"/>
          <w:lang w:eastAsia="zh-CN"/>
        </w:rPr>
        <w:t>费用</w:t>
      </w:r>
      <w:r>
        <w:rPr>
          <w:rStyle w:val="9"/>
          <w:rFonts w:hint="eastAsia" w:ascii="仿宋" w:hAnsi="仿宋" w:eastAsia="仿宋" w:cs="仿宋"/>
          <w:b w:val="0"/>
          <w:bCs w:val="0"/>
          <w:spacing w:val="-4"/>
          <w:sz w:val="32"/>
          <w:szCs w:val="32"/>
          <w:highlight w:val="none"/>
          <w:lang w:val="en-US" w:eastAsia="zh-CN"/>
        </w:rPr>
        <w:t>9万元、聘请专家费用8万元、重点化工企业开展风险隐患专项排查工作费用8万元。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w:t>
      </w:r>
    </w:p>
    <w:p>
      <w:pPr>
        <w:spacing w:line="560" w:lineRule="exact"/>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：环境宣传教育</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环</w:t>
      </w:r>
      <w:r>
        <w:rPr>
          <w:rFonts w:hint="eastAsia" w:ascii="仿宋_GB2312" w:hAnsi="宋体" w:eastAsia="仿宋_GB2312" w:cs="宋体"/>
          <w:kern w:val="0"/>
          <w:sz w:val="32"/>
          <w:szCs w:val="32"/>
          <w:highlight w:val="none"/>
        </w:rPr>
        <w:t>境宣传教育经费主要用于该单位围绕坚决打好污染防治攻坚战、提升群众获得感幸福感，加快解决突出环境问题；围绕打造生态环境保护铁军，不断提升支撑保障能力等</w:t>
      </w:r>
      <w:r>
        <w:rPr>
          <w:rFonts w:hint="eastAsia" w:ascii="仿宋_GB2312" w:hAnsi="黑体" w:eastAsia="仿宋_GB2312"/>
          <w:sz w:val="32"/>
          <w:szCs w:val="32"/>
          <w:highlight w:val="none"/>
        </w:rPr>
        <w:t>方面</w:t>
      </w:r>
      <w:r>
        <w:rPr>
          <w:rFonts w:hint="eastAsia" w:ascii="仿宋_GB2312" w:hAnsi="宋体" w:eastAsia="仿宋_GB2312" w:cs="宋体"/>
          <w:kern w:val="0"/>
          <w:sz w:val="32"/>
          <w:szCs w:val="32"/>
          <w:highlight w:val="none"/>
        </w:rPr>
        <w:t>，通过多种形式及时宣传报道当地生态环境重要领域、关键环节、重点措施、进展成效等。1.根据《中华人民共和国环境保护法》《新疆维吾尔自治区环境保护条例》等其他生态环境保护法律法规；生态环境部、新疆生态环境厅宣传工作要点；昌吉州宣传工作要点、精神文明建设工作要点、打好污染防治攻坚战相关工作方案。2.《关于做好2021年六五环境日暨自治区环境保护宣传教育月系列活动的通知》（新环宣教〔2021年）93号）。3.关于印发《2021年自治区环保设施和城市污水垃圾处理设施向公众开放工作实施方案》的通知（新环宣教发（2021年）160号）</w:t>
      </w:r>
      <w:r>
        <w:rPr>
          <w:rFonts w:hint="eastAsia" w:ascii="仿宋_GB2312" w:hAnsi="宋体" w:eastAsia="仿宋_GB2312" w:cs="宋体"/>
          <w:kern w:val="0"/>
          <w:sz w:val="32"/>
          <w:szCs w:val="32"/>
          <w:highlight w:val="none"/>
          <w:lang w:val="en-US" w:eastAsia="zh-CN"/>
        </w:rPr>
        <w:t xml:space="preserve">。                        </w:t>
      </w:r>
    </w:p>
    <w:p>
      <w:pPr>
        <w:numPr>
          <w:ilvl w:val="0"/>
          <w:numId w:val="0"/>
        </w:numPr>
        <w:spacing w:line="560" w:lineRule="exact"/>
        <w:ind w:firstLine="640" w:firstLineChars="200"/>
        <w:rPr>
          <w:rFonts w:hint="eastAsia" w:ascii="仿宋_GB2312" w:hAnsi="黑体" w:eastAsia="仿宋_GB2312"/>
          <w:sz w:val="32"/>
          <w:szCs w:val="32"/>
          <w:highlight w:val="none"/>
          <w:lang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Style w:val="9"/>
          <w:rFonts w:hint="eastAsia" w:ascii="仿宋" w:hAnsi="仿宋" w:eastAsia="仿宋" w:cs="仿宋"/>
          <w:b w:val="0"/>
          <w:bCs w:val="0"/>
          <w:spacing w:val="-4"/>
          <w:sz w:val="32"/>
          <w:szCs w:val="32"/>
          <w:highlight w:val="none"/>
          <w:lang w:val="en-US" w:eastAsia="zh-CN"/>
        </w:rPr>
        <w:t>60</w:t>
      </w:r>
      <w:r>
        <w:rPr>
          <w:rStyle w:val="9"/>
          <w:rFonts w:hint="eastAsia" w:ascii="仿宋" w:hAnsi="仿宋" w:eastAsia="仿宋" w:cs="仿宋"/>
          <w:b w:val="0"/>
          <w:bCs w:val="0"/>
          <w:spacing w:val="-4"/>
          <w:sz w:val="32"/>
          <w:szCs w:val="32"/>
          <w:highlight w:val="none"/>
        </w:rPr>
        <w:t>万元</w:t>
      </w:r>
    </w:p>
    <w:p>
      <w:pPr>
        <w:spacing w:line="54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昌吉回族自治州生态环境局</w:t>
      </w:r>
    </w:p>
    <w:p>
      <w:pPr>
        <w:spacing w:line="560" w:lineRule="exact"/>
        <w:ind w:firstLine="640" w:firstLineChars="200"/>
        <w:rPr>
          <w:rStyle w:val="9"/>
          <w:rFonts w:hint="default" w:ascii="仿宋" w:hAnsi="仿宋" w:eastAsia="仿宋" w:cs="仿宋"/>
          <w:b w:val="0"/>
          <w:bCs w:val="0"/>
          <w:spacing w:val="-4"/>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Style w:val="9"/>
          <w:rFonts w:hint="eastAsia" w:ascii="仿宋" w:hAnsi="仿宋" w:eastAsia="仿宋" w:cs="仿宋"/>
          <w:b w:val="0"/>
          <w:bCs w:val="0"/>
          <w:spacing w:val="-4"/>
          <w:sz w:val="32"/>
          <w:szCs w:val="32"/>
          <w:highlight w:val="none"/>
        </w:rPr>
        <w:t>印刷服务</w:t>
      </w:r>
      <w:r>
        <w:rPr>
          <w:rStyle w:val="9"/>
          <w:rFonts w:hint="eastAsia" w:ascii="仿宋" w:hAnsi="仿宋" w:eastAsia="仿宋" w:cs="仿宋"/>
          <w:b w:val="0"/>
          <w:bCs w:val="0"/>
          <w:spacing w:val="-4"/>
          <w:sz w:val="32"/>
          <w:szCs w:val="32"/>
          <w:highlight w:val="none"/>
          <w:lang w:eastAsia="zh-CN"/>
        </w:rPr>
        <w:t>费用</w:t>
      </w:r>
      <w:r>
        <w:rPr>
          <w:rStyle w:val="9"/>
          <w:rFonts w:hint="eastAsia" w:ascii="仿宋" w:hAnsi="仿宋" w:eastAsia="仿宋" w:cs="仿宋"/>
          <w:b w:val="0"/>
          <w:bCs w:val="0"/>
          <w:spacing w:val="-4"/>
          <w:sz w:val="32"/>
          <w:szCs w:val="32"/>
          <w:highlight w:val="none"/>
          <w:lang w:val="en-US" w:eastAsia="zh-CN"/>
        </w:rPr>
        <w:t>11.26万元、广告服务30万元、专题研修班、邀请专家授课、职工外出考察培训费用9.72万元、其他办公9.02万元。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环境影响评价技术评估费（含排污许可技术审核专家费）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关于印发《新疆维吾尔自治区建设项目环境影响评价文件分级审批目录》修改单和《新疆维吾尔自治区建设项目环境影响评价文件分级审批目录》（2021年本）》的通知（新环环评发〔2021〕53号.2022年再进一步上收阜康市、呼图壁县环评审批权限。2022年审批项目数量将会增加，专家费用相应增加</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根据《排污许可管理条例》第十条规定，审批部门可以组织技术机构进行技术评估，并承担相应费用。</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预算安排规模：</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项目承担单位：昌吉回族自治州生态环境局</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资金分配情况：建设项目环评审核/专家复核费用</w:t>
      </w:r>
      <w:r>
        <w:rPr>
          <w:rFonts w:hint="eastAsia" w:ascii="仿宋_GB2312" w:hAnsi="宋体" w:eastAsia="仿宋_GB2312" w:cs="宋体"/>
          <w:kern w:val="0"/>
          <w:sz w:val="32"/>
          <w:szCs w:val="32"/>
          <w:highlight w:val="none"/>
          <w:lang w:val="en-US" w:eastAsia="zh-CN"/>
        </w:rPr>
        <w:t>60万元、排污许可证质量技术复核费用35万元、辐射环评文件评估费用5万元。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w:t>
      </w:r>
    </w:p>
    <w:p>
      <w:pPr>
        <w:spacing w:line="560" w:lineRule="exact"/>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机关运行补助经费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保</w:t>
      </w:r>
      <w:r>
        <w:rPr>
          <w:rFonts w:hint="eastAsia" w:ascii="仿宋_GB2312" w:hAnsi="宋体" w:eastAsia="仿宋_GB2312" w:cs="宋体"/>
          <w:kern w:val="0"/>
          <w:sz w:val="32"/>
          <w:szCs w:val="32"/>
          <w:highlight w:val="none"/>
        </w:rPr>
        <w:t>障各项业务工作顺利开展，完成自治区人民政府、环保厅、昌吉州人民政府下达的工作任务。</w:t>
      </w:r>
      <w:r>
        <w:rPr>
          <w:rFonts w:hint="eastAsia" w:ascii="仿宋_GB2312" w:hAnsi="宋体" w:eastAsia="仿宋_GB2312" w:cs="宋体"/>
          <w:kern w:val="0"/>
          <w:sz w:val="32"/>
          <w:szCs w:val="32"/>
          <w:highlight w:val="none"/>
          <w:lang w:val="en-US" w:eastAsia="zh-CN"/>
        </w:rPr>
        <w:t xml:space="preserve">  </w:t>
      </w:r>
    </w:p>
    <w:p>
      <w:pPr>
        <w:spacing w:line="480" w:lineRule="auto"/>
        <w:ind w:firstLine="640" w:firstLineChars="200"/>
        <w:jc w:val="both"/>
        <w:rPr>
          <w:rStyle w:val="9"/>
          <w:rFonts w:hint="eastAsia" w:ascii="仿宋" w:hAnsi="仿宋" w:eastAsia="仿宋" w:cs="仿宋"/>
          <w:b w:val="0"/>
          <w:bCs w:val="0"/>
          <w:spacing w:val="-4"/>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Style w:val="9"/>
          <w:rFonts w:hint="eastAsia" w:ascii="仿宋" w:hAnsi="仿宋" w:eastAsia="仿宋" w:cs="仿宋"/>
          <w:b w:val="0"/>
          <w:bCs w:val="0"/>
          <w:spacing w:val="-4"/>
          <w:sz w:val="32"/>
          <w:szCs w:val="32"/>
          <w:highlight w:val="none"/>
          <w:lang w:val="en-US" w:eastAsia="zh-CN"/>
        </w:rPr>
        <w:t>97</w:t>
      </w:r>
      <w:r>
        <w:rPr>
          <w:rStyle w:val="9"/>
          <w:rFonts w:hint="eastAsia" w:ascii="仿宋" w:hAnsi="仿宋" w:eastAsia="仿宋" w:cs="仿宋"/>
          <w:b w:val="0"/>
          <w:bCs w:val="0"/>
          <w:spacing w:val="-4"/>
          <w:sz w:val="32"/>
          <w:szCs w:val="32"/>
          <w:highlight w:val="none"/>
        </w:rPr>
        <w:t>万元</w:t>
      </w:r>
    </w:p>
    <w:p>
      <w:pPr>
        <w:spacing w:line="54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昌吉回族自治州生态环境局</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网络链路费</w:t>
      </w:r>
      <w:r>
        <w:rPr>
          <w:rFonts w:hint="eastAsia" w:ascii="仿宋_GB2312" w:hAnsi="宋体" w:eastAsia="仿宋_GB2312" w:cs="宋体"/>
          <w:kern w:val="0"/>
          <w:sz w:val="32"/>
          <w:szCs w:val="32"/>
          <w:highlight w:val="none"/>
          <w:lang w:eastAsia="zh-CN"/>
        </w:rPr>
        <w:t>费用</w:t>
      </w:r>
      <w:r>
        <w:rPr>
          <w:rFonts w:hint="eastAsia" w:ascii="仿宋_GB2312" w:hAnsi="宋体" w:eastAsia="仿宋_GB2312" w:cs="宋体"/>
          <w:kern w:val="0"/>
          <w:sz w:val="32"/>
          <w:szCs w:val="32"/>
          <w:highlight w:val="none"/>
          <w:lang w:val="en-US" w:eastAsia="zh-CN"/>
        </w:rPr>
        <w:t>4万元、保安、电工及法律顾问费用29.3万元、大楼维护费12万元、排污许可证印刷费用3万元、各类检查、督查等费用48.7万元。</w:t>
      </w:r>
    </w:p>
    <w:p>
      <w:pPr>
        <w:spacing w:line="560" w:lineRule="exact"/>
        <w:ind w:firstLine="640" w:firstLineChars="200"/>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八、关于昌吉州</w:t>
      </w:r>
      <w:r>
        <w:rPr>
          <w:rFonts w:hint="eastAsia" w:ascii="楷体_GB2312" w:hAnsi="楷体_GB2312" w:eastAsia="楷体_GB2312" w:cs="楷体_GB2312"/>
          <w:b/>
          <w:bCs/>
          <w:kern w:val="0"/>
          <w:sz w:val="32"/>
          <w:szCs w:val="32"/>
          <w:highlight w:val="none"/>
          <w:lang w:eastAsia="zh-CN"/>
        </w:rPr>
        <w:t>生态环境局</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16" w:firstLineChars="200"/>
        <w:rPr>
          <w:rFonts w:hint="eastAsia" w:ascii="仿宋_GB2312" w:hAnsi="宋体" w:eastAsia="仿宋_GB2312" w:cs="宋体"/>
          <w:kern w:val="0"/>
          <w:sz w:val="32"/>
          <w:szCs w:val="32"/>
          <w:highlight w:val="none"/>
        </w:rPr>
      </w:pPr>
      <w:r>
        <w:rPr>
          <w:rFonts w:hint="eastAsia" w:ascii="仿宋_GB2312" w:hAnsi="宋体" w:eastAsia="仿宋_GB2312" w:cs="宋体"/>
          <w:spacing w:val="-6"/>
          <w:kern w:val="0"/>
          <w:sz w:val="32"/>
          <w:szCs w:val="32"/>
          <w:highlight w:val="none"/>
        </w:rPr>
        <w:t>昌吉州</w:t>
      </w:r>
      <w:r>
        <w:rPr>
          <w:rFonts w:hint="eastAsia" w:ascii="仿宋_GB2312" w:hAnsi="宋体" w:eastAsia="仿宋_GB2312" w:cs="宋体"/>
          <w:spacing w:val="-6"/>
          <w:kern w:val="0"/>
          <w:sz w:val="32"/>
          <w:szCs w:val="32"/>
          <w:highlight w:val="none"/>
          <w:lang w:eastAsia="zh-CN"/>
        </w:rPr>
        <w:t>生态环境局</w:t>
      </w:r>
      <w:r>
        <w:rPr>
          <w:rFonts w:hint="eastAsia" w:ascii="仿宋_GB2312" w:hAnsi="宋体" w:eastAsia="仿宋_GB2312" w:cs="宋体"/>
          <w:kern w:val="0"/>
          <w:sz w:val="32"/>
          <w:szCs w:val="32"/>
          <w:highlight w:val="none"/>
        </w:rPr>
        <w:t>2022年一般公共预算“三公”经费数为</w:t>
      </w:r>
      <w:r>
        <w:rPr>
          <w:rFonts w:hint="eastAsia" w:ascii="仿宋_GB2312" w:hAnsi="宋体" w:eastAsia="仿宋_GB2312" w:cs="宋体"/>
          <w:kern w:val="0"/>
          <w:sz w:val="32"/>
          <w:szCs w:val="32"/>
          <w:highlight w:val="none"/>
          <w:lang w:val="en-US" w:eastAsia="zh-CN"/>
        </w:rPr>
        <w:t>6.39</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0.39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2022年一般公共预算“三公”经费比上年增加</w:t>
      </w:r>
      <w:r>
        <w:rPr>
          <w:rFonts w:hint="eastAsia" w:ascii="仿宋_GB2312" w:hAnsi="宋体" w:eastAsia="仿宋_GB2312" w:cs="宋体"/>
          <w:kern w:val="0"/>
          <w:sz w:val="32"/>
          <w:szCs w:val="32"/>
          <w:highlight w:val="none"/>
          <w:lang w:val="en-US" w:eastAsia="zh-CN"/>
        </w:rPr>
        <w:t>4.06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174.25</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%，主要原因是没有安排因公出国（境）；公务用车购置费增加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%，主要原因是未安排预算；公务用车运行费增加</w:t>
      </w:r>
      <w:r>
        <w:rPr>
          <w:rFonts w:hint="eastAsia" w:ascii="仿宋_GB2312" w:hAnsi="宋体" w:eastAsia="仿宋_GB2312" w:cs="宋体"/>
          <w:kern w:val="0"/>
          <w:sz w:val="32"/>
          <w:szCs w:val="32"/>
          <w:highlight w:val="none"/>
          <w:lang w:val="en-US" w:eastAsia="zh-CN"/>
        </w:rPr>
        <w:t>4.07</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210.88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单位车辆编制</w:t>
      </w:r>
      <w:r>
        <w:rPr>
          <w:rFonts w:hint="eastAsia" w:ascii="仿宋_GB2312" w:hAnsi="宋体" w:eastAsia="仿宋_GB2312" w:cs="宋体"/>
          <w:kern w:val="0"/>
          <w:sz w:val="32"/>
          <w:szCs w:val="32"/>
          <w:highlight w:val="none"/>
          <w:lang w:val="en-US" w:eastAsia="zh-CN"/>
        </w:rPr>
        <w:t>2辆，上年州财政只下达了1辆车的预算，</w:t>
      </w:r>
      <w:r>
        <w:rPr>
          <w:rFonts w:hint="eastAsia" w:ascii="仿宋_GB2312" w:hAnsi="宋体" w:eastAsia="仿宋_GB2312" w:cs="宋体"/>
          <w:kern w:val="0"/>
          <w:sz w:val="32"/>
          <w:szCs w:val="32"/>
          <w:highlight w:val="none"/>
          <w:lang w:eastAsia="zh-CN"/>
        </w:rPr>
        <w:t>本年下达</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lang w:eastAsia="zh-CN"/>
        </w:rPr>
        <w:t>辆车的预算</w:t>
      </w:r>
      <w:r>
        <w:rPr>
          <w:rFonts w:hint="eastAsia" w:ascii="仿宋_GB2312" w:hAnsi="宋体" w:eastAsia="仿宋_GB2312" w:cs="宋体"/>
          <w:kern w:val="0"/>
          <w:sz w:val="32"/>
          <w:szCs w:val="32"/>
          <w:highlight w:val="none"/>
        </w:rPr>
        <w:t>；公务接待费减少</w:t>
      </w:r>
      <w:r>
        <w:rPr>
          <w:rFonts w:hint="eastAsia" w:ascii="仿宋_GB2312" w:hAnsi="宋体" w:eastAsia="仿宋_GB2312" w:cs="宋体"/>
          <w:kern w:val="0"/>
          <w:sz w:val="32"/>
          <w:szCs w:val="32"/>
          <w:highlight w:val="none"/>
          <w:lang w:val="en-US" w:eastAsia="zh-CN"/>
        </w:rPr>
        <w:t>0.01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2.5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严格执行中央八项规定，减少公务接待</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九、关于昌吉州</w:t>
      </w:r>
      <w:r>
        <w:rPr>
          <w:rFonts w:hint="eastAsia" w:ascii="楷体_GB2312" w:hAnsi="楷体_GB2312" w:eastAsia="楷体_GB2312" w:cs="楷体_GB2312"/>
          <w:b/>
          <w:bCs/>
          <w:kern w:val="0"/>
          <w:sz w:val="32"/>
          <w:szCs w:val="32"/>
          <w:highlight w:val="none"/>
          <w:lang w:eastAsia="zh-CN"/>
        </w:rPr>
        <w:t>生态环境局</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宋体" w:eastAsia="仿宋_GB2312" w:cs="宋体"/>
          <w:kern w:val="0"/>
          <w:sz w:val="32"/>
          <w:szCs w:val="32"/>
          <w:highlight w:val="none"/>
        </w:rPr>
        <w:t>2021年没有使用政府性基金预算拨款安排的支出，政府性基金预算支出情况表为空表。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仿宋_GB2312" w:eastAsia="仿宋_GB2312" w:cs="仿宋_GB2312"/>
          <w:kern w:val="0"/>
          <w:sz w:val="32"/>
          <w:szCs w:val="32"/>
          <w:highlight w:val="none"/>
        </w:rPr>
        <w:t>机关运行经费财政拨款预算</w:t>
      </w:r>
      <w:r>
        <w:rPr>
          <w:rFonts w:hint="eastAsia" w:ascii="仿宋_GB2312" w:hAnsi="宋体" w:eastAsia="仿宋_GB2312" w:cs="宋体"/>
          <w:kern w:val="0"/>
          <w:sz w:val="32"/>
          <w:szCs w:val="32"/>
          <w:highlight w:val="none"/>
          <w:lang w:val="en-US" w:eastAsia="zh-CN"/>
        </w:rPr>
        <w:t>56.77</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99.84</w:t>
      </w:r>
      <w:r>
        <w:rPr>
          <w:rFonts w:hint="eastAsia" w:ascii="仿宋_GB2312" w:hAnsi="仿宋_GB2312" w:eastAsia="仿宋_GB2312" w:cs="仿宋_GB2312"/>
          <w:kern w:val="0"/>
          <w:sz w:val="32"/>
          <w:szCs w:val="32"/>
          <w:highlight w:val="none"/>
        </w:rPr>
        <w:t>万元，下降</w:t>
      </w:r>
      <w:r>
        <w:rPr>
          <w:rFonts w:hint="eastAsia" w:ascii="仿宋_GB2312" w:hAnsi="仿宋_GB2312" w:eastAsia="仿宋_GB2312" w:cs="仿宋_GB2312"/>
          <w:kern w:val="0"/>
          <w:sz w:val="32"/>
          <w:szCs w:val="32"/>
          <w:highlight w:val="none"/>
          <w:lang w:val="en-US" w:eastAsia="zh-CN"/>
        </w:rPr>
        <w:t>63.75</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上年</w:t>
      </w:r>
      <w:r>
        <w:rPr>
          <w:rFonts w:hint="eastAsia" w:ascii="仿宋_GB2312" w:hAnsi="宋体" w:eastAsia="仿宋_GB2312" w:cs="宋体"/>
          <w:kern w:val="0"/>
          <w:sz w:val="32"/>
          <w:szCs w:val="32"/>
          <w:highlight w:val="none"/>
          <w:lang w:eastAsia="zh-CN"/>
        </w:rPr>
        <w:t>年初预算增加了</w:t>
      </w:r>
      <w:r>
        <w:rPr>
          <w:rFonts w:hint="eastAsia" w:ascii="仿宋_GB2312" w:hAnsi="宋体" w:eastAsia="仿宋_GB2312" w:cs="宋体"/>
          <w:color w:val="auto"/>
          <w:kern w:val="0"/>
          <w:sz w:val="32"/>
          <w:szCs w:val="32"/>
          <w:highlight w:val="none"/>
          <w:lang w:eastAsia="zh-CN"/>
        </w:rPr>
        <w:t>大楼</w:t>
      </w:r>
      <w:r>
        <w:rPr>
          <w:rFonts w:hint="eastAsia" w:ascii="仿宋_GB2312" w:hAnsi="宋体" w:eastAsia="仿宋_GB2312" w:cs="宋体"/>
          <w:kern w:val="0"/>
          <w:sz w:val="32"/>
          <w:szCs w:val="32"/>
          <w:highlight w:val="none"/>
          <w:lang w:eastAsia="zh-CN"/>
        </w:rPr>
        <w:t>运行费</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121.24</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30.3</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13</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77.94</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121.24</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仿宋_GB2312" w:eastAsia="仿宋_GB2312" w:cs="仿宋_GB2312"/>
          <w:kern w:val="0"/>
          <w:sz w:val="32"/>
          <w:szCs w:val="32"/>
          <w:highlight w:val="none"/>
        </w:rPr>
        <w:t>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宋体" w:eastAsia="仿宋_GB2312" w:cs="宋体"/>
          <w:kern w:val="0"/>
          <w:sz w:val="32"/>
          <w:szCs w:val="32"/>
          <w:highlight w:val="none"/>
        </w:rPr>
        <w:t>房屋</w:t>
      </w:r>
      <w:r>
        <w:rPr>
          <w:rFonts w:hint="eastAsia" w:ascii="仿宋_GB2312" w:hAnsi="宋体" w:eastAsia="仿宋_GB2312" w:cs="宋体"/>
          <w:kern w:val="0"/>
          <w:sz w:val="32"/>
          <w:szCs w:val="32"/>
          <w:highlight w:val="none"/>
          <w:lang w:val="en-US" w:eastAsia="zh-CN"/>
        </w:rPr>
        <w:t>10516.56</w:t>
      </w:r>
      <w:r>
        <w:rPr>
          <w:rFonts w:hint="eastAsia" w:ascii="仿宋_GB2312" w:hAnsi="宋体" w:eastAsia="仿宋_GB2312" w:cs="宋体"/>
          <w:kern w:val="0"/>
          <w:sz w:val="32"/>
          <w:szCs w:val="32"/>
          <w:highlight w:val="none"/>
        </w:rPr>
        <w:t>平方米，价值</w:t>
      </w:r>
      <w:r>
        <w:rPr>
          <w:rFonts w:hint="eastAsia" w:ascii="仿宋_GB2312" w:hAnsi="宋体" w:eastAsia="仿宋_GB2312" w:cs="宋体"/>
          <w:kern w:val="0"/>
          <w:sz w:val="32"/>
          <w:szCs w:val="32"/>
          <w:highlight w:val="none"/>
          <w:lang w:val="en-US" w:eastAsia="zh-CN"/>
        </w:rPr>
        <w:t>5188.94</w:t>
      </w:r>
      <w:r>
        <w:rPr>
          <w:rFonts w:hint="eastAsia" w:ascii="仿宋_GB2312" w:hAnsi="宋体" w:eastAsia="仿宋_GB2312" w:cs="宋体"/>
          <w:kern w:val="0"/>
          <w:sz w:val="32"/>
          <w:szCs w:val="32"/>
          <w:highlight w:val="none"/>
        </w:rPr>
        <w:t xml:space="preserve"> 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万元；其他车辆</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3.办公家具价值</w:t>
      </w:r>
      <w:r>
        <w:rPr>
          <w:rFonts w:hint="eastAsia" w:ascii="仿宋_GB2312" w:hAnsi="仿宋_GB2312" w:eastAsia="仿宋_GB2312" w:cs="仿宋_GB2312"/>
          <w:color w:val="auto"/>
          <w:kern w:val="0"/>
          <w:sz w:val="32"/>
          <w:szCs w:val="32"/>
          <w:highlight w:val="none"/>
          <w:lang w:val="en-US" w:eastAsia="zh-CN"/>
        </w:rPr>
        <w:t>46.88</w:t>
      </w:r>
      <w:r>
        <w:rPr>
          <w:rFonts w:hint="eastAsia" w:ascii="仿宋_GB2312" w:hAnsi="仿宋_GB2312" w:eastAsia="仿宋_GB2312" w:cs="仿宋_GB2312"/>
          <w:color w:val="auto"/>
          <w:kern w:val="0"/>
          <w:sz w:val="32"/>
          <w:szCs w:val="32"/>
          <w:highlight w:val="none"/>
        </w:rPr>
        <w:t>万元。</w:t>
      </w:r>
    </w:p>
    <w:p>
      <w:pPr>
        <w:spacing w:line="560" w:lineRule="exact"/>
        <w:ind w:firstLine="640" w:firstLineChars="200"/>
        <w:rPr>
          <w:rFonts w:ascii="仿宋_GB2312" w:hAnsi="仿宋_GB2312" w:eastAsia="仿宋_GB2312" w:cs="仿宋_GB2312"/>
          <w:color w:val="FF0000"/>
          <w:kern w:val="0"/>
          <w:sz w:val="32"/>
          <w:szCs w:val="32"/>
          <w:highlight w:val="none"/>
        </w:rPr>
      </w:pPr>
      <w:r>
        <w:rPr>
          <w:rFonts w:hint="eastAsia" w:ascii="仿宋_GB2312" w:hAnsi="仿宋_GB2312" w:eastAsia="仿宋_GB2312" w:cs="仿宋_GB2312"/>
          <w:color w:val="auto"/>
          <w:kern w:val="0"/>
          <w:sz w:val="32"/>
          <w:szCs w:val="32"/>
          <w:highlight w:val="none"/>
        </w:rPr>
        <w:t>4.其他资产价值</w:t>
      </w:r>
      <w:r>
        <w:rPr>
          <w:rFonts w:hint="eastAsia" w:ascii="仿宋_GB2312" w:hAnsi="仿宋_GB2312" w:eastAsia="仿宋_GB2312" w:cs="仿宋_GB2312"/>
          <w:color w:val="auto"/>
          <w:kern w:val="0"/>
          <w:sz w:val="32"/>
          <w:szCs w:val="32"/>
          <w:highlight w:val="none"/>
          <w:lang w:val="en-US" w:eastAsia="zh-CN"/>
        </w:rPr>
        <w:t>725.49</w:t>
      </w:r>
      <w:r>
        <w:rPr>
          <w:rFonts w:hint="eastAsia" w:ascii="仿宋_GB2312" w:hAnsi="仿宋_GB2312" w:eastAsia="仿宋_GB2312" w:cs="仿宋_GB2312"/>
          <w:color w:val="auto"/>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仿宋_GB2312" w:eastAsia="仿宋_GB2312" w:cs="仿宋_GB2312"/>
          <w:kern w:val="0"/>
          <w:sz w:val="32"/>
          <w:szCs w:val="32"/>
          <w:highlight w:val="none"/>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297万</w:t>
      </w:r>
      <w:r>
        <w:rPr>
          <w:rFonts w:hint="eastAsia" w:ascii="仿宋_GB2312" w:hAnsi="仿宋_GB2312" w:eastAsia="仿宋_GB2312" w:cs="仿宋_GB2312"/>
          <w:kern w:val="0"/>
          <w:sz w:val="32"/>
          <w:szCs w:val="32"/>
          <w:highlight w:val="none"/>
        </w:rPr>
        <w:t>元。具体情况见下表（按项目分别填报）：</w:t>
      </w:r>
    </w:p>
    <w:p>
      <w:pPr>
        <w:pStyle w:val="3"/>
        <w:rPr>
          <w:rFonts w:hint="eastAsia" w:ascii="仿宋_GB2312" w:hAnsi="仿宋_GB2312" w:eastAsia="仿宋_GB2312" w:cs="仿宋_GB2312"/>
          <w:kern w:val="0"/>
          <w:sz w:val="32"/>
          <w:szCs w:val="32"/>
          <w:highlight w:val="none"/>
        </w:rPr>
      </w:pPr>
    </w:p>
    <w:p>
      <w:pPr>
        <w:rPr>
          <w:rFonts w:hint="eastAsia"/>
          <w:highlight w:val="none"/>
        </w:rPr>
      </w:pPr>
    </w:p>
    <w:tbl>
      <w:tblPr>
        <w:tblStyle w:val="6"/>
        <w:tblpPr w:leftFromText="180" w:rightFromText="180" w:vertAnchor="text" w:horzAnchor="page" w:tblpX="1409" w:tblpY="614"/>
        <w:tblOverlap w:val="never"/>
        <w:tblW w:w="93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0"/>
        <w:gridCol w:w="1080"/>
        <w:gridCol w:w="1080"/>
        <w:gridCol w:w="1080"/>
        <w:gridCol w:w="2160"/>
        <w:gridCol w:w="1005"/>
        <w:gridCol w:w="360"/>
        <w:gridCol w:w="18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937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375"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昌吉回族自治州生态环境局</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购置应急物资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859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目标1：对各类应急物资统一管理、统一调度；目标2：提高各类突发环境事件处置救援和救助能力，及时援助县市、园区，保障社会稳定发挥积极作用。目标3：采购应急物资一批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5325"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空气呼吸器</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&gt;=5台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移动供气源</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洗消帐篷</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防化靴</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防化服</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防化手套</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政府采购率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应急物资质量合格率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应急物资验收合格率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应急物资采购及时率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应急物资采购完成截止期限</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空气呼吸机采购成本</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&lt;=4.80万元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移动供气源采购成本</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洗消帐篷采购成本</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&lt;=3.80万元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消防员灭火头盔等应急物资采购成本</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&lt;=0.90万元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进一步健全环境应急防控体系，提高处置救援能力，切实保障经济社会稳定发展。</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健全环境应急防控体系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通过补充、完善应急物资，提高应对突发环境事件能力和水平，可持续发挥应急调度作用。</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提高应对突发环境事件能力和水平，提升全州环境应急处置高质量发展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5325"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bl>
    <w:p>
      <w:pPr>
        <w:pStyle w:val="3"/>
        <w:ind w:left="0" w:leftChars="0" w:firstLine="0" w:firstLineChars="0"/>
        <w:rPr>
          <w:highlight w:val="none"/>
        </w:rPr>
      </w:pPr>
    </w:p>
    <w:tbl>
      <w:tblPr>
        <w:tblStyle w:val="6"/>
        <w:tblW w:w="90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1080"/>
        <w:gridCol w:w="1080"/>
        <w:gridCol w:w="2160"/>
        <w:gridCol w:w="898"/>
        <w:gridCol w:w="572"/>
        <w:gridCol w:w="1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9088"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9" w:hRule="atLeast"/>
        </w:trPr>
        <w:tc>
          <w:tcPr>
            <w:tcW w:w="9088"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54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昌吉回族自治州生态环境局</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环境领域问题外聘专家费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21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25</w:t>
            </w:r>
          </w:p>
        </w:tc>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1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800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采取聘请有资质第三方专家方式，对全州点行业、领域，开展全覆盖隐患排查2次。目标2：邀请专家对全州突发环境安全事故进行评估、提出治理方案。目标3：通过隐患排查，及时整改发现问题，逐步提升环境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5218"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对全州重点行业企业开展专项环境安全隐患排查</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对全州突发环境安全事故进行评估、提出治理方案</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开展专项环境安全隐患排查聘请专家人次</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对全州重点化工企业开展风险隐患专项排查覆盖率</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开展专项环境安全隐患排查时间截止期限</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对全州重点企业开展风险隐患排查及时率</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重点行业企业开展专项环境安全隐患排查工作成本</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聘请专家成本</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重点化工企业开展风险隐患专项排查工作成本</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通过邀请专家对全州重点行业开展隐患排查，消除安全隐患，环境安全得到保障。</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通过隐患排查，及时整改发现问题，逐步提升环境质量。</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5218" w:type="dxa"/>
            <w:gridSpan w:val="4"/>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rPr>
          <w:highlight w:val="none"/>
        </w:rPr>
      </w:pPr>
    </w:p>
    <w:tbl>
      <w:tblPr>
        <w:tblStyle w:val="6"/>
        <w:tblW w:w="91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615"/>
        <w:gridCol w:w="675"/>
        <w:gridCol w:w="1410"/>
        <w:gridCol w:w="1125"/>
        <w:gridCol w:w="465"/>
        <w:gridCol w:w="585"/>
        <w:gridCol w:w="20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9118"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118"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78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昌吉回族自治州生态环境局</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1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环境宣传教育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w:t>
            </w:r>
          </w:p>
        </w:tc>
        <w:tc>
          <w:tcPr>
            <w:tcW w:w="1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20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8038"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开展6.5环境日系列宣传活动1次。目标2：结合各节点开展公众宣传2次。目标3：制作宣传展板、横幅20块。目标4：编印相关学习宣传资料，订阅党报党刊环保相关报刊及书籍300份。目标5：购买学习书籍240本。目标6：职工外出考察培训。目标7：不断提升公众生态环境保护意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开展6.5环境日系列宣传活动（含宣传品及活动费用）</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结合各节点开展公众宣传</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制作宣传展板、横幅</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&gt;=20块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编印相关学习宣传资料，订阅党报党刊环保相关报刊及书籍</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&gt;=300份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购买学习书籍</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&gt;=240本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与昌吉日报等媒介合作</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职工外出考察培训</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邀请专家讲课人数</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&gt;=4人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专题研修班</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视频拍摄制作、微信公众号托管代运营</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采购质量合格率</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开展“六五”环境日宣传活动及时率</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开展公众宣传活动时间截止期限</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印刷服务成本</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&lt;=11.26万元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广告服务成本</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专题研修班、邀请专家授课、职工外出考察培训成本</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&lt;=9.72万元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其他办公支出</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&lt;=9.02万元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提高宣传活动公众知晓率</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不断提升公众生态环境保护意识</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29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参加活动人员满意度</w:t>
            </w:r>
          </w:p>
        </w:tc>
        <w:tc>
          <w:tcPr>
            <w:tcW w:w="266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rPr>
          <w:highlight w:val="none"/>
        </w:rPr>
      </w:pPr>
    </w:p>
    <w:tbl>
      <w:tblPr>
        <w:tblStyle w:val="6"/>
        <w:tblW w:w="9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525"/>
        <w:gridCol w:w="600"/>
        <w:gridCol w:w="1605"/>
        <w:gridCol w:w="885"/>
        <w:gridCol w:w="885"/>
        <w:gridCol w:w="315"/>
        <w:gridCol w:w="2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9105"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105"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81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昌吉回族自治州生态环境局</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33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环境影响评价技术评估费（含排污许可技术审核专家费）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c>
          <w:tcPr>
            <w:tcW w:w="12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2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802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目标1:完成建设项目环评专家审批260个 目标2:已批复的环评技术专家复核30个 目标3：完成排污许可证质量技术复核250个 目标4：完成辐射类环评文件评估数30个目标5：审批的环评文件合格率100%目标6：严守生态红线，坚决做到“三高”项目零审批。不达标区域新改扩建项目新增污染物全部实行倍量替代，实现“增产不增污”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完成建设项目环评专家审批</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&gt;=260个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已批复的环评技术专家复核</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完成排污许可证质量技术复核</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&gt;=250个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完成辐射类环评文件评估数量</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&gt;=30个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审批的环评文件合格率</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遵守环评文件审批报告表时限</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&lt;=15个工作日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遵守环评文件审批报告书时限</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&lt;=30个工作日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环评审批及时率</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建设项目环评审核/专家复核费用</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&lt;=60万元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排污许可证质量技术复核费用</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辐射环评文件评估费用</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严把昌吉州建设项目环评审批关，严格遏制“两高”项目盲目发展，从源头上严格控制环境污染，为污染防治攻坚战奠定良好基础。</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严格控制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严守生态红线，坚决做到“三高”项目零审批。不达标区域新改扩建项目新增污染物全部实行倍量替代，实现“增产不增污”</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50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24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pStyle w:val="3"/>
        <w:ind w:left="0" w:leftChars="0" w:firstLine="0" w:firstLineChars="0"/>
        <w:rPr>
          <w:highlight w:val="none"/>
        </w:rPr>
      </w:pPr>
    </w:p>
    <w:p>
      <w:pPr>
        <w:rPr>
          <w:highlight w:val="none"/>
        </w:rPr>
      </w:pPr>
    </w:p>
    <w:tbl>
      <w:tblPr>
        <w:tblStyle w:val="6"/>
        <w:tblW w:w="91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66"/>
        <w:gridCol w:w="1802"/>
        <w:gridCol w:w="364"/>
        <w:gridCol w:w="799"/>
        <w:gridCol w:w="390"/>
        <w:gridCol w:w="1342"/>
        <w:gridCol w:w="1275"/>
        <w:gridCol w:w="1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9103"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5" w:hRule="atLeast"/>
        </w:trPr>
        <w:tc>
          <w:tcPr>
            <w:tcW w:w="9103" w:type="dxa"/>
            <w:gridSpan w:val="8"/>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33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昌吉回族自治州生态环境局</w:t>
            </w: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机关运行补助经费项目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21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7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97</w:t>
            </w:r>
          </w:p>
        </w:tc>
        <w:tc>
          <w:tcPr>
            <w:tcW w:w="3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13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97</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20" w:hRule="atLeast"/>
        </w:trPr>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43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目标1：保障全局互联网网络通畅9条;目标2：通过聘请保安、电工及法律顾问，保障日常工作的开展；目标3：维护办公大楼正常运转（含地砖、照明、上下水、院内管道、绿化、消防维护、电梯检测维保等）；目标4：开展核发、变更企业排污许可证完成率100%；目标5：保障西北督察中心、新疆专员办等督察、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0" w:hRule="atLeast"/>
        </w:trPr>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highlight w:val="none"/>
                <w:u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保障互联网网络链路畅通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各类检查、督查</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聘请保安、电工及法律顾问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核发、变更企业排污许可证完成率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大楼维护验收合格率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经费支付及时率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年度检查任务完成截止期限</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网络链路费支出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保安、电工及法律顾问费支出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&lt;=29.30万元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大楼维护费支出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排污许可证印刷成本</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各类检查、督查费用支出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&lt;=48.70万元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保障办公环境，提高工作效率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highlight w:val="none"/>
                <w:u w:val="none"/>
              </w:rPr>
            </w:pP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有效管控企业排污</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逐年向好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6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1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17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群众满意度</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&gt;=90%</w:t>
            </w:r>
          </w:p>
        </w:tc>
      </w:tr>
    </w:tbl>
    <w:p>
      <w:pPr>
        <w:rPr>
          <w:highlight w:val="none"/>
        </w:rPr>
      </w:pPr>
    </w:p>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left="5758" w:leftChars="304" w:hanging="5120" w:hangingChars="16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生态环境局</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0170C8"/>
    <w:rsid w:val="002E5250"/>
    <w:rsid w:val="003923D8"/>
    <w:rsid w:val="004265FD"/>
    <w:rsid w:val="00432BE1"/>
    <w:rsid w:val="0047118F"/>
    <w:rsid w:val="004D477F"/>
    <w:rsid w:val="00527650"/>
    <w:rsid w:val="0059437A"/>
    <w:rsid w:val="0090107A"/>
    <w:rsid w:val="00944B81"/>
    <w:rsid w:val="00AF3F7E"/>
    <w:rsid w:val="00B141E5"/>
    <w:rsid w:val="00C12D75"/>
    <w:rsid w:val="00CA57E8"/>
    <w:rsid w:val="00CE4C77"/>
    <w:rsid w:val="00D85033"/>
    <w:rsid w:val="00F91EEB"/>
    <w:rsid w:val="010009F9"/>
    <w:rsid w:val="01247676"/>
    <w:rsid w:val="0155077B"/>
    <w:rsid w:val="016C5069"/>
    <w:rsid w:val="018F6D76"/>
    <w:rsid w:val="01E3685A"/>
    <w:rsid w:val="01E77771"/>
    <w:rsid w:val="02113942"/>
    <w:rsid w:val="021D7D48"/>
    <w:rsid w:val="02262131"/>
    <w:rsid w:val="02490CC8"/>
    <w:rsid w:val="026A3A3D"/>
    <w:rsid w:val="026E5B24"/>
    <w:rsid w:val="027D6595"/>
    <w:rsid w:val="02CD3FCD"/>
    <w:rsid w:val="02CF1220"/>
    <w:rsid w:val="02F53AB1"/>
    <w:rsid w:val="034318B0"/>
    <w:rsid w:val="03435D78"/>
    <w:rsid w:val="03684C1F"/>
    <w:rsid w:val="03692F92"/>
    <w:rsid w:val="037125F5"/>
    <w:rsid w:val="037F04CA"/>
    <w:rsid w:val="03C7103A"/>
    <w:rsid w:val="03D44CA4"/>
    <w:rsid w:val="03E52E37"/>
    <w:rsid w:val="03F25AE0"/>
    <w:rsid w:val="0408613C"/>
    <w:rsid w:val="0421418E"/>
    <w:rsid w:val="043369C4"/>
    <w:rsid w:val="043A4D04"/>
    <w:rsid w:val="0468755B"/>
    <w:rsid w:val="04694C38"/>
    <w:rsid w:val="049639B5"/>
    <w:rsid w:val="04A55CBB"/>
    <w:rsid w:val="04C443EF"/>
    <w:rsid w:val="05245AE3"/>
    <w:rsid w:val="05302AF0"/>
    <w:rsid w:val="05B30C42"/>
    <w:rsid w:val="05D41F91"/>
    <w:rsid w:val="05E05351"/>
    <w:rsid w:val="05F1285A"/>
    <w:rsid w:val="068117A7"/>
    <w:rsid w:val="06907B6D"/>
    <w:rsid w:val="06EC5C22"/>
    <w:rsid w:val="071F79FE"/>
    <w:rsid w:val="07271B9E"/>
    <w:rsid w:val="073405C9"/>
    <w:rsid w:val="07580F41"/>
    <w:rsid w:val="07643537"/>
    <w:rsid w:val="07783596"/>
    <w:rsid w:val="07B81941"/>
    <w:rsid w:val="0817576C"/>
    <w:rsid w:val="08195113"/>
    <w:rsid w:val="08381599"/>
    <w:rsid w:val="08871CA4"/>
    <w:rsid w:val="08A422E5"/>
    <w:rsid w:val="08C13E34"/>
    <w:rsid w:val="08CC637A"/>
    <w:rsid w:val="08D82A7E"/>
    <w:rsid w:val="08F51871"/>
    <w:rsid w:val="091A4824"/>
    <w:rsid w:val="092633F9"/>
    <w:rsid w:val="093E3B65"/>
    <w:rsid w:val="09494C90"/>
    <w:rsid w:val="09773D0E"/>
    <w:rsid w:val="09987C1E"/>
    <w:rsid w:val="09DF54D9"/>
    <w:rsid w:val="09EE7E27"/>
    <w:rsid w:val="09F85C60"/>
    <w:rsid w:val="0A551228"/>
    <w:rsid w:val="0A6539D5"/>
    <w:rsid w:val="0ACA371C"/>
    <w:rsid w:val="0AE15F09"/>
    <w:rsid w:val="0B0E5F98"/>
    <w:rsid w:val="0B1A6F1D"/>
    <w:rsid w:val="0B661F3A"/>
    <w:rsid w:val="0B82652F"/>
    <w:rsid w:val="0B8B5566"/>
    <w:rsid w:val="0BCC7C34"/>
    <w:rsid w:val="0BD00EC1"/>
    <w:rsid w:val="0C3D0B7D"/>
    <w:rsid w:val="0C4514A9"/>
    <w:rsid w:val="0C75259D"/>
    <w:rsid w:val="0C8A5FEE"/>
    <w:rsid w:val="0C9A1240"/>
    <w:rsid w:val="0CC24E6D"/>
    <w:rsid w:val="0D2D09EC"/>
    <w:rsid w:val="0D9736B9"/>
    <w:rsid w:val="0DC5576E"/>
    <w:rsid w:val="0DCB6F0F"/>
    <w:rsid w:val="0E4E743F"/>
    <w:rsid w:val="0E7A4B30"/>
    <w:rsid w:val="0EBA1165"/>
    <w:rsid w:val="0EDE10F0"/>
    <w:rsid w:val="0FC06FBA"/>
    <w:rsid w:val="0FC22F75"/>
    <w:rsid w:val="0FCE2E68"/>
    <w:rsid w:val="0FE37181"/>
    <w:rsid w:val="10131934"/>
    <w:rsid w:val="102A4344"/>
    <w:rsid w:val="10C2067D"/>
    <w:rsid w:val="10E33602"/>
    <w:rsid w:val="115560C0"/>
    <w:rsid w:val="11A234C1"/>
    <w:rsid w:val="11C70890"/>
    <w:rsid w:val="11CD1D64"/>
    <w:rsid w:val="12222276"/>
    <w:rsid w:val="127F57E3"/>
    <w:rsid w:val="128A0DCF"/>
    <w:rsid w:val="12DC3D93"/>
    <w:rsid w:val="13281C51"/>
    <w:rsid w:val="137418F0"/>
    <w:rsid w:val="13DC0A92"/>
    <w:rsid w:val="13DF1C8C"/>
    <w:rsid w:val="13FF091D"/>
    <w:rsid w:val="14531584"/>
    <w:rsid w:val="147B5F2D"/>
    <w:rsid w:val="14A9293A"/>
    <w:rsid w:val="14BE0D0C"/>
    <w:rsid w:val="14C729AC"/>
    <w:rsid w:val="14E96BAE"/>
    <w:rsid w:val="15224879"/>
    <w:rsid w:val="1595291D"/>
    <w:rsid w:val="15BD0646"/>
    <w:rsid w:val="16065AD3"/>
    <w:rsid w:val="16A61383"/>
    <w:rsid w:val="172320DE"/>
    <w:rsid w:val="17376599"/>
    <w:rsid w:val="17745890"/>
    <w:rsid w:val="17961FC5"/>
    <w:rsid w:val="17B02ECD"/>
    <w:rsid w:val="181B1793"/>
    <w:rsid w:val="183C3EF0"/>
    <w:rsid w:val="18715D42"/>
    <w:rsid w:val="1886278E"/>
    <w:rsid w:val="189F3BBF"/>
    <w:rsid w:val="18B409DA"/>
    <w:rsid w:val="19236DF2"/>
    <w:rsid w:val="199413A6"/>
    <w:rsid w:val="19A507F5"/>
    <w:rsid w:val="1A11407D"/>
    <w:rsid w:val="1A186AC3"/>
    <w:rsid w:val="1A350D43"/>
    <w:rsid w:val="1A3D0551"/>
    <w:rsid w:val="1A5E1E98"/>
    <w:rsid w:val="1A646E3F"/>
    <w:rsid w:val="1A754FBC"/>
    <w:rsid w:val="1A8D3DD6"/>
    <w:rsid w:val="1A906226"/>
    <w:rsid w:val="1AF12DCD"/>
    <w:rsid w:val="1B4D6C1E"/>
    <w:rsid w:val="1B5D5513"/>
    <w:rsid w:val="1B762F69"/>
    <w:rsid w:val="1B771574"/>
    <w:rsid w:val="1BC52D80"/>
    <w:rsid w:val="1BDA5A9D"/>
    <w:rsid w:val="1C404E57"/>
    <w:rsid w:val="1C5F348D"/>
    <w:rsid w:val="1C6B1749"/>
    <w:rsid w:val="1C7A47E6"/>
    <w:rsid w:val="1C837103"/>
    <w:rsid w:val="1CBB6D83"/>
    <w:rsid w:val="1D4B6278"/>
    <w:rsid w:val="1D692E08"/>
    <w:rsid w:val="1D944E74"/>
    <w:rsid w:val="1DB07B24"/>
    <w:rsid w:val="1DD62DE6"/>
    <w:rsid w:val="1DF74B80"/>
    <w:rsid w:val="1E063581"/>
    <w:rsid w:val="1E195B69"/>
    <w:rsid w:val="1E206140"/>
    <w:rsid w:val="1E527C02"/>
    <w:rsid w:val="1E53069A"/>
    <w:rsid w:val="1E673450"/>
    <w:rsid w:val="1E8E6148"/>
    <w:rsid w:val="1EA347F5"/>
    <w:rsid w:val="1EA42F24"/>
    <w:rsid w:val="1EAD3005"/>
    <w:rsid w:val="1EDF094D"/>
    <w:rsid w:val="1EFC0DE0"/>
    <w:rsid w:val="1F016424"/>
    <w:rsid w:val="1FA41C6E"/>
    <w:rsid w:val="200D36E0"/>
    <w:rsid w:val="200E533A"/>
    <w:rsid w:val="20187A4A"/>
    <w:rsid w:val="202E37C8"/>
    <w:rsid w:val="204500AA"/>
    <w:rsid w:val="20876798"/>
    <w:rsid w:val="20A56A7A"/>
    <w:rsid w:val="217C78A7"/>
    <w:rsid w:val="218E4F9C"/>
    <w:rsid w:val="21A30EBA"/>
    <w:rsid w:val="21EF4B81"/>
    <w:rsid w:val="21FA66C6"/>
    <w:rsid w:val="22015923"/>
    <w:rsid w:val="2206413F"/>
    <w:rsid w:val="22073806"/>
    <w:rsid w:val="22575C0D"/>
    <w:rsid w:val="22A50AD5"/>
    <w:rsid w:val="22DA3F56"/>
    <w:rsid w:val="231C60E3"/>
    <w:rsid w:val="234E7828"/>
    <w:rsid w:val="237E635C"/>
    <w:rsid w:val="23DE0673"/>
    <w:rsid w:val="242617C0"/>
    <w:rsid w:val="245B79F8"/>
    <w:rsid w:val="24C14EAA"/>
    <w:rsid w:val="25212742"/>
    <w:rsid w:val="253925CF"/>
    <w:rsid w:val="25B81254"/>
    <w:rsid w:val="25F538B7"/>
    <w:rsid w:val="2630638E"/>
    <w:rsid w:val="264E2F25"/>
    <w:rsid w:val="26AA1841"/>
    <w:rsid w:val="26BF5A95"/>
    <w:rsid w:val="26C30E63"/>
    <w:rsid w:val="26EF29D1"/>
    <w:rsid w:val="271E76EC"/>
    <w:rsid w:val="276514B0"/>
    <w:rsid w:val="278669CC"/>
    <w:rsid w:val="278E6ABB"/>
    <w:rsid w:val="27922596"/>
    <w:rsid w:val="279D008A"/>
    <w:rsid w:val="27F078D9"/>
    <w:rsid w:val="281F2307"/>
    <w:rsid w:val="2867484F"/>
    <w:rsid w:val="286D128E"/>
    <w:rsid w:val="28D47107"/>
    <w:rsid w:val="28DE7DB3"/>
    <w:rsid w:val="29110E65"/>
    <w:rsid w:val="29227D02"/>
    <w:rsid w:val="29453AC1"/>
    <w:rsid w:val="297413C8"/>
    <w:rsid w:val="2A23191D"/>
    <w:rsid w:val="2A3A2F03"/>
    <w:rsid w:val="2AE3530C"/>
    <w:rsid w:val="2AFD6ABB"/>
    <w:rsid w:val="2B3A1525"/>
    <w:rsid w:val="2B7E608C"/>
    <w:rsid w:val="2B9F2A21"/>
    <w:rsid w:val="2BDF5432"/>
    <w:rsid w:val="2C28666F"/>
    <w:rsid w:val="2C424D00"/>
    <w:rsid w:val="2C486D0A"/>
    <w:rsid w:val="2C6B7A96"/>
    <w:rsid w:val="2CB776E0"/>
    <w:rsid w:val="2D0E4F5D"/>
    <w:rsid w:val="2D265B20"/>
    <w:rsid w:val="2D2C7DEF"/>
    <w:rsid w:val="2DAF5DD1"/>
    <w:rsid w:val="2E3D5DCC"/>
    <w:rsid w:val="2E977A74"/>
    <w:rsid w:val="2EBA2776"/>
    <w:rsid w:val="2EDA42DF"/>
    <w:rsid w:val="2F06763E"/>
    <w:rsid w:val="2F297CD3"/>
    <w:rsid w:val="2F321AE4"/>
    <w:rsid w:val="2F751783"/>
    <w:rsid w:val="2F887FDC"/>
    <w:rsid w:val="2FFB0843"/>
    <w:rsid w:val="303A22EC"/>
    <w:rsid w:val="304A5838"/>
    <w:rsid w:val="309B4786"/>
    <w:rsid w:val="30A8366E"/>
    <w:rsid w:val="310A5598"/>
    <w:rsid w:val="313B72BE"/>
    <w:rsid w:val="31C73F32"/>
    <w:rsid w:val="31C7615C"/>
    <w:rsid w:val="32005287"/>
    <w:rsid w:val="322B28D2"/>
    <w:rsid w:val="322C1B89"/>
    <w:rsid w:val="324C3E84"/>
    <w:rsid w:val="324D59C0"/>
    <w:rsid w:val="324F4755"/>
    <w:rsid w:val="32601EAD"/>
    <w:rsid w:val="32697FE1"/>
    <w:rsid w:val="32C706CA"/>
    <w:rsid w:val="334E7B72"/>
    <w:rsid w:val="33583871"/>
    <w:rsid w:val="33864FE2"/>
    <w:rsid w:val="3450712B"/>
    <w:rsid w:val="34674B9D"/>
    <w:rsid w:val="34935595"/>
    <w:rsid w:val="349723BD"/>
    <w:rsid w:val="34DB38A4"/>
    <w:rsid w:val="34F66835"/>
    <w:rsid w:val="35285A78"/>
    <w:rsid w:val="35CE0797"/>
    <w:rsid w:val="35F57DC9"/>
    <w:rsid w:val="36086865"/>
    <w:rsid w:val="360A017C"/>
    <w:rsid w:val="361E2D75"/>
    <w:rsid w:val="366A0B03"/>
    <w:rsid w:val="36823550"/>
    <w:rsid w:val="375053BA"/>
    <w:rsid w:val="37830903"/>
    <w:rsid w:val="380D18D7"/>
    <w:rsid w:val="383A5968"/>
    <w:rsid w:val="384D4C25"/>
    <w:rsid w:val="38567FA9"/>
    <w:rsid w:val="385A132C"/>
    <w:rsid w:val="38763670"/>
    <w:rsid w:val="38D52BAC"/>
    <w:rsid w:val="3902736D"/>
    <w:rsid w:val="396F3EC9"/>
    <w:rsid w:val="397431CC"/>
    <w:rsid w:val="39F830EA"/>
    <w:rsid w:val="39FE27E0"/>
    <w:rsid w:val="3A5E1525"/>
    <w:rsid w:val="3A9B7E64"/>
    <w:rsid w:val="3B05763E"/>
    <w:rsid w:val="3B1C43FF"/>
    <w:rsid w:val="3B256E52"/>
    <w:rsid w:val="3B3E208B"/>
    <w:rsid w:val="3BEF6085"/>
    <w:rsid w:val="3C1C6099"/>
    <w:rsid w:val="3C2B79B9"/>
    <w:rsid w:val="3C81154F"/>
    <w:rsid w:val="3C9841FE"/>
    <w:rsid w:val="3CAE27D5"/>
    <w:rsid w:val="3CFF60AB"/>
    <w:rsid w:val="3D0E1146"/>
    <w:rsid w:val="3D4C0519"/>
    <w:rsid w:val="3D651713"/>
    <w:rsid w:val="3D7055B6"/>
    <w:rsid w:val="3D8A2F01"/>
    <w:rsid w:val="3DA27AB0"/>
    <w:rsid w:val="3E1B7D53"/>
    <w:rsid w:val="3E336606"/>
    <w:rsid w:val="3EAC7758"/>
    <w:rsid w:val="3EC10A83"/>
    <w:rsid w:val="3F1D72F1"/>
    <w:rsid w:val="3F326CC4"/>
    <w:rsid w:val="3F471EE7"/>
    <w:rsid w:val="3F617427"/>
    <w:rsid w:val="3FA228A5"/>
    <w:rsid w:val="3FDF2CE4"/>
    <w:rsid w:val="3FF13CAC"/>
    <w:rsid w:val="4001587C"/>
    <w:rsid w:val="40113229"/>
    <w:rsid w:val="401B4571"/>
    <w:rsid w:val="403F0404"/>
    <w:rsid w:val="408716AE"/>
    <w:rsid w:val="40941129"/>
    <w:rsid w:val="4096135B"/>
    <w:rsid w:val="40DF556F"/>
    <w:rsid w:val="417112CE"/>
    <w:rsid w:val="418366DA"/>
    <w:rsid w:val="41C9717A"/>
    <w:rsid w:val="41F874B7"/>
    <w:rsid w:val="42106917"/>
    <w:rsid w:val="42213FD5"/>
    <w:rsid w:val="42255D65"/>
    <w:rsid w:val="425F040D"/>
    <w:rsid w:val="428A431F"/>
    <w:rsid w:val="42B42364"/>
    <w:rsid w:val="42E519FD"/>
    <w:rsid w:val="42F17FF1"/>
    <w:rsid w:val="434B2C32"/>
    <w:rsid w:val="43B514AC"/>
    <w:rsid w:val="43CE75BD"/>
    <w:rsid w:val="448B287B"/>
    <w:rsid w:val="44D17E84"/>
    <w:rsid w:val="44FB199E"/>
    <w:rsid w:val="44FE40F6"/>
    <w:rsid w:val="450C2E46"/>
    <w:rsid w:val="45EA2E38"/>
    <w:rsid w:val="46BF35E2"/>
    <w:rsid w:val="470A221A"/>
    <w:rsid w:val="47234506"/>
    <w:rsid w:val="47D7255F"/>
    <w:rsid w:val="4803066B"/>
    <w:rsid w:val="486D2962"/>
    <w:rsid w:val="48802893"/>
    <w:rsid w:val="48C73971"/>
    <w:rsid w:val="496E747C"/>
    <w:rsid w:val="49BA43A9"/>
    <w:rsid w:val="49DE1B31"/>
    <w:rsid w:val="4A10754D"/>
    <w:rsid w:val="4A6A73BE"/>
    <w:rsid w:val="4A784D6C"/>
    <w:rsid w:val="4AB95987"/>
    <w:rsid w:val="4B256FDF"/>
    <w:rsid w:val="4B3E3AA7"/>
    <w:rsid w:val="4B5F736A"/>
    <w:rsid w:val="4BA7420F"/>
    <w:rsid w:val="4BC24663"/>
    <w:rsid w:val="4BC5733E"/>
    <w:rsid w:val="4BC950CA"/>
    <w:rsid w:val="4BDA0ABE"/>
    <w:rsid w:val="4BF6310C"/>
    <w:rsid w:val="4BFF2A09"/>
    <w:rsid w:val="4C167E76"/>
    <w:rsid w:val="4C3307F5"/>
    <w:rsid w:val="4C3A72DD"/>
    <w:rsid w:val="4CBA2362"/>
    <w:rsid w:val="4CCB0673"/>
    <w:rsid w:val="4D0C2709"/>
    <w:rsid w:val="4D336617"/>
    <w:rsid w:val="4D3731B5"/>
    <w:rsid w:val="4DBC5A6C"/>
    <w:rsid w:val="4DBD3B08"/>
    <w:rsid w:val="4DD42D40"/>
    <w:rsid w:val="4DFC55F8"/>
    <w:rsid w:val="4EAC364F"/>
    <w:rsid w:val="4EBA1738"/>
    <w:rsid w:val="4EF42282"/>
    <w:rsid w:val="4F072039"/>
    <w:rsid w:val="4F177CF2"/>
    <w:rsid w:val="4F3C7A3F"/>
    <w:rsid w:val="4F437DA4"/>
    <w:rsid w:val="4F4776C8"/>
    <w:rsid w:val="4F4A7276"/>
    <w:rsid w:val="4F6236FF"/>
    <w:rsid w:val="4F6D68F5"/>
    <w:rsid w:val="4F734655"/>
    <w:rsid w:val="4FAD2EB7"/>
    <w:rsid w:val="4FE96E51"/>
    <w:rsid w:val="500E6379"/>
    <w:rsid w:val="50B85B5D"/>
    <w:rsid w:val="50C7025C"/>
    <w:rsid w:val="50D564BF"/>
    <w:rsid w:val="50DB6159"/>
    <w:rsid w:val="50F34E51"/>
    <w:rsid w:val="51033725"/>
    <w:rsid w:val="512A201B"/>
    <w:rsid w:val="51950F1E"/>
    <w:rsid w:val="519F1E8C"/>
    <w:rsid w:val="51AE068A"/>
    <w:rsid w:val="5207635B"/>
    <w:rsid w:val="520E45BC"/>
    <w:rsid w:val="524049E2"/>
    <w:rsid w:val="52436C78"/>
    <w:rsid w:val="525E496B"/>
    <w:rsid w:val="528C4744"/>
    <w:rsid w:val="5291698F"/>
    <w:rsid w:val="52D0557C"/>
    <w:rsid w:val="533748AD"/>
    <w:rsid w:val="535C4504"/>
    <w:rsid w:val="53994E05"/>
    <w:rsid w:val="53B919F1"/>
    <w:rsid w:val="542603FE"/>
    <w:rsid w:val="5426431A"/>
    <w:rsid w:val="544A2E1B"/>
    <w:rsid w:val="546546D2"/>
    <w:rsid w:val="548E51A7"/>
    <w:rsid w:val="54A42424"/>
    <w:rsid w:val="54B10995"/>
    <w:rsid w:val="54D708F5"/>
    <w:rsid w:val="550A261C"/>
    <w:rsid w:val="558E2840"/>
    <w:rsid w:val="55BD4229"/>
    <w:rsid w:val="55C3711B"/>
    <w:rsid w:val="55DB2FCF"/>
    <w:rsid w:val="55F7792B"/>
    <w:rsid w:val="562014C0"/>
    <w:rsid w:val="56535BAA"/>
    <w:rsid w:val="567C0D22"/>
    <w:rsid w:val="568402A4"/>
    <w:rsid w:val="56852024"/>
    <w:rsid w:val="569F47D3"/>
    <w:rsid w:val="56CB4BEC"/>
    <w:rsid w:val="56F764E7"/>
    <w:rsid w:val="573F2861"/>
    <w:rsid w:val="574B6D1B"/>
    <w:rsid w:val="577955B4"/>
    <w:rsid w:val="57946727"/>
    <w:rsid w:val="579C199D"/>
    <w:rsid w:val="57A955E8"/>
    <w:rsid w:val="57B957F8"/>
    <w:rsid w:val="57D32ACB"/>
    <w:rsid w:val="57D86AD1"/>
    <w:rsid w:val="581F202D"/>
    <w:rsid w:val="58663CFB"/>
    <w:rsid w:val="588B507F"/>
    <w:rsid w:val="589222CE"/>
    <w:rsid w:val="58B25368"/>
    <w:rsid w:val="58D17F17"/>
    <w:rsid w:val="58F52490"/>
    <w:rsid w:val="590F2C21"/>
    <w:rsid w:val="592E35B1"/>
    <w:rsid w:val="594227B2"/>
    <w:rsid w:val="597E0A69"/>
    <w:rsid w:val="599B13FB"/>
    <w:rsid w:val="5A082A0A"/>
    <w:rsid w:val="5A392919"/>
    <w:rsid w:val="5A4C60A5"/>
    <w:rsid w:val="5A58241A"/>
    <w:rsid w:val="5A66304A"/>
    <w:rsid w:val="5AAF59C0"/>
    <w:rsid w:val="5AD16A69"/>
    <w:rsid w:val="5ADA1492"/>
    <w:rsid w:val="5B250841"/>
    <w:rsid w:val="5BC052B2"/>
    <w:rsid w:val="5BC7370D"/>
    <w:rsid w:val="5BFC242C"/>
    <w:rsid w:val="5C3E279C"/>
    <w:rsid w:val="5C747D07"/>
    <w:rsid w:val="5C9003AA"/>
    <w:rsid w:val="5CA94E87"/>
    <w:rsid w:val="5CC46EB9"/>
    <w:rsid w:val="5CE00E2B"/>
    <w:rsid w:val="5D02075B"/>
    <w:rsid w:val="5D3B555C"/>
    <w:rsid w:val="5D406028"/>
    <w:rsid w:val="5D6D45FA"/>
    <w:rsid w:val="5E471C76"/>
    <w:rsid w:val="5E605D40"/>
    <w:rsid w:val="5F1968CF"/>
    <w:rsid w:val="5F3B0DE3"/>
    <w:rsid w:val="5F5A7B1E"/>
    <w:rsid w:val="5FAD5D34"/>
    <w:rsid w:val="5FFE5DCF"/>
    <w:rsid w:val="600E720E"/>
    <w:rsid w:val="60327845"/>
    <w:rsid w:val="60497EAB"/>
    <w:rsid w:val="608D3854"/>
    <w:rsid w:val="60CE57B1"/>
    <w:rsid w:val="60D149A8"/>
    <w:rsid w:val="60FF5F04"/>
    <w:rsid w:val="611E272E"/>
    <w:rsid w:val="61E42480"/>
    <w:rsid w:val="62132B8B"/>
    <w:rsid w:val="625E1070"/>
    <w:rsid w:val="627E5883"/>
    <w:rsid w:val="62CC5AC4"/>
    <w:rsid w:val="6300350E"/>
    <w:rsid w:val="63666E86"/>
    <w:rsid w:val="636B2C3F"/>
    <w:rsid w:val="639B11C3"/>
    <w:rsid w:val="63FC6488"/>
    <w:rsid w:val="641E1C8F"/>
    <w:rsid w:val="64320C6E"/>
    <w:rsid w:val="644F52EF"/>
    <w:rsid w:val="64596E26"/>
    <w:rsid w:val="64787163"/>
    <w:rsid w:val="648F72F0"/>
    <w:rsid w:val="64B502BD"/>
    <w:rsid w:val="64E075C5"/>
    <w:rsid w:val="65660FC6"/>
    <w:rsid w:val="656838B3"/>
    <w:rsid w:val="65A51FE6"/>
    <w:rsid w:val="65D01780"/>
    <w:rsid w:val="65D415BD"/>
    <w:rsid w:val="65FA0D86"/>
    <w:rsid w:val="661C0362"/>
    <w:rsid w:val="666F18D3"/>
    <w:rsid w:val="66C6130D"/>
    <w:rsid w:val="66D0034D"/>
    <w:rsid w:val="66D47D4A"/>
    <w:rsid w:val="66F42160"/>
    <w:rsid w:val="67240887"/>
    <w:rsid w:val="673A4E2C"/>
    <w:rsid w:val="67543651"/>
    <w:rsid w:val="67680759"/>
    <w:rsid w:val="679945AA"/>
    <w:rsid w:val="67A561BB"/>
    <w:rsid w:val="67DA4D4A"/>
    <w:rsid w:val="67ED3780"/>
    <w:rsid w:val="67F017F0"/>
    <w:rsid w:val="68441B3F"/>
    <w:rsid w:val="68520409"/>
    <w:rsid w:val="68675FEB"/>
    <w:rsid w:val="68793AD2"/>
    <w:rsid w:val="68DF4FFC"/>
    <w:rsid w:val="69075368"/>
    <w:rsid w:val="691472A7"/>
    <w:rsid w:val="691B20B4"/>
    <w:rsid w:val="699600C9"/>
    <w:rsid w:val="69CD4562"/>
    <w:rsid w:val="69EB379E"/>
    <w:rsid w:val="6A393F47"/>
    <w:rsid w:val="6A4F2C08"/>
    <w:rsid w:val="6A530C5B"/>
    <w:rsid w:val="6AC26B16"/>
    <w:rsid w:val="6B190E92"/>
    <w:rsid w:val="6B2235A0"/>
    <w:rsid w:val="6B2D4736"/>
    <w:rsid w:val="6B445027"/>
    <w:rsid w:val="6B6F587D"/>
    <w:rsid w:val="6B8F67A7"/>
    <w:rsid w:val="6BB37412"/>
    <w:rsid w:val="6BEF7A44"/>
    <w:rsid w:val="6C061A97"/>
    <w:rsid w:val="6C2113EA"/>
    <w:rsid w:val="6C222577"/>
    <w:rsid w:val="6CDF7B2C"/>
    <w:rsid w:val="6CEC251D"/>
    <w:rsid w:val="6D3F14A5"/>
    <w:rsid w:val="6D49394F"/>
    <w:rsid w:val="6D73421D"/>
    <w:rsid w:val="6DAC1E2E"/>
    <w:rsid w:val="6DDC5FE1"/>
    <w:rsid w:val="6DF61050"/>
    <w:rsid w:val="6E5062CB"/>
    <w:rsid w:val="6F064F3C"/>
    <w:rsid w:val="6F10371E"/>
    <w:rsid w:val="6F4B5938"/>
    <w:rsid w:val="6F8C2C80"/>
    <w:rsid w:val="6FE810A0"/>
    <w:rsid w:val="7068292D"/>
    <w:rsid w:val="70A56B82"/>
    <w:rsid w:val="70C24F54"/>
    <w:rsid w:val="70CE1875"/>
    <w:rsid w:val="70D42A45"/>
    <w:rsid w:val="70DA6FDD"/>
    <w:rsid w:val="70E721FC"/>
    <w:rsid w:val="71112525"/>
    <w:rsid w:val="71833E44"/>
    <w:rsid w:val="71A7206A"/>
    <w:rsid w:val="71BA29E2"/>
    <w:rsid w:val="71D52956"/>
    <w:rsid w:val="71E409B0"/>
    <w:rsid w:val="72152AC8"/>
    <w:rsid w:val="72220216"/>
    <w:rsid w:val="723A6CCC"/>
    <w:rsid w:val="729E304F"/>
    <w:rsid w:val="72AB5F50"/>
    <w:rsid w:val="72DE5DEC"/>
    <w:rsid w:val="72F70B42"/>
    <w:rsid w:val="73402F85"/>
    <w:rsid w:val="735D4477"/>
    <w:rsid w:val="73805548"/>
    <w:rsid w:val="739B76CF"/>
    <w:rsid w:val="73AC2636"/>
    <w:rsid w:val="73C871E1"/>
    <w:rsid w:val="743E0117"/>
    <w:rsid w:val="75020FED"/>
    <w:rsid w:val="751A3E68"/>
    <w:rsid w:val="7528246F"/>
    <w:rsid w:val="75397663"/>
    <w:rsid w:val="754353E6"/>
    <w:rsid w:val="75E451EE"/>
    <w:rsid w:val="76134494"/>
    <w:rsid w:val="7628257A"/>
    <w:rsid w:val="763013FF"/>
    <w:rsid w:val="76462C1F"/>
    <w:rsid w:val="7668358D"/>
    <w:rsid w:val="76D943BC"/>
    <w:rsid w:val="77163845"/>
    <w:rsid w:val="771E14E3"/>
    <w:rsid w:val="77683269"/>
    <w:rsid w:val="77A4495A"/>
    <w:rsid w:val="78364E05"/>
    <w:rsid w:val="78457AA1"/>
    <w:rsid w:val="78583B65"/>
    <w:rsid w:val="78965A7F"/>
    <w:rsid w:val="78FB0602"/>
    <w:rsid w:val="793856CE"/>
    <w:rsid w:val="796147BE"/>
    <w:rsid w:val="79A5148D"/>
    <w:rsid w:val="7A420095"/>
    <w:rsid w:val="7A5A37FC"/>
    <w:rsid w:val="7A6E31F5"/>
    <w:rsid w:val="7AE229B7"/>
    <w:rsid w:val="7AF95A78"/>
    <w:rsid w:val="7B0A7C0D"/>
    <w:rsid w:val="7B184B7F"/>
    <w:rsid w:val="7B5233F6"/>
    <w:rsid w:val="7B5A3E58"/>
    <w:rsid w:val="7B610D53"/>
    <w:rsid w:val="7B8E4D05"/>
    <w:rsid w:val="7BAD22FA"/>
    <w:rsid w:val="7BDE470C"/>
    <w:rsid w:val="7BF44D88"/>
    <w:rsid w:val="7C091E1B"/>
    <w:rsid w:val="7C187599"/>
    <w:rsid w:val="7C1E5A5A"/>
    <w:rsid w:val="7C311311"/>
    <w:rsid w:val="7CBF0254"/>
    <w:rsid w:val="7CDA039F"/>
    <w:rsid w:val="7CDD47E8"/>
    <w:rsid w:val="7D0268B2"/>
    <w:rsid w:val="7D1939B8"/>
    <w:rsid w:val="7D1A6C36"/>
    <w:rsid w:val="7D3F7EA7"/>
    <w:rsid w:val="7D556FDF"/>
    <w:rsid w:val="7D731B36"/>
    <w:rsid w:val="7D890CB5"/>
    <w:rsid w:val="7D977153"/>
    <w:rsid w:val="7D9A0DBB"/>
    <w:rsid w:val="7DC9740B"/>
    <w:rsid w:val="7DD5508A"/>
    <w:rsid w:val="7E2A0C39"/>
    <w:rsid w:val="7E324977"/>
    <w:rsid w:val="7E3F0B1A"/>
    <w:rsid w:val="7E67711C"/>
    <w:rsid w:val="7E816434"/>
    <w:rsid w:val="7EC65023"/>
    <w:rsid w:val="7ED00261"/>
    <w:rsid w:val="7EDA0EED"/>
    <w:rsid w:val="7F0A5D5F"/>
    <w:rsid w:val="7F1542C9"/>
    <w:rsid w:val="7F476AD5"/>
    <w:rsid w:val="7F4831A5"/>
    <w:rsid w:val="7F9C2C4E"/>
    <w:rsid w:val="7FC44F96"/>
    <w:rsid w:val="7FF25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rPr>
      <w:rFonts w:ascii="方正仿宋_GBK" w:hAnsi="方正仿宋_GBK" w:eastAsia="方正仿宋_GBK" w:cs="方正仿宋_GBK"/>
      <w:sz w:val="32"/>
      <w:szCs w:val="32"/>
      <w:lang w:val="zh-CN" w:bidi="zh-CN"/>
    </w:rPr>
  </w:style>
  <w:style w:type="paragraph" w:styleId="4">
    <w:name w:val="footer"/>
    <w:basedOn w:val="1"/>
    <w:link w:val="12"/>
    <w:unhideWhenUsed/>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rFonts w:cs="Times New Roman"/>
      <w:b/>
      <w:bCs/>
    </w:rPr>
  </w:style>
  <w:style w:type="character" w:styleId="10">
    <w:name w:val="page number"/>
    <w:basedOn w:val="8"/>
    <w:qFormat/>
    <w:uiPriority w:val="0"/>
  </w:style>
  <w:style w:type="character" w:customStyle="1" w:styleId="11">
    <w:name w:val="页眉 Char"/>
    <w:basedOn w:val="8"/>
    <w:link w:val="5"/>
    <w:qFormat/>
    <w:uiPriority w:val="0"/>
    <w:rPr>
      <w:sz w:val="18"/>
      <w:szCs w:val="18"/>
    </w:rPr>
  </w:style>
  <w:style w:type="character" w:customStyle="1" w:styleId="12">
    <w:name w:val="页脚 Char"/>
    <w:basedOn w:val="8"/>
    <w:link w:val="4"/>
    <w:qFormat/>
    <w:uiPriority w:val="99"/>
    <w:rPr>
      <w:sz w:val="18"/>
      <w:szCs w:val="18"/>
    </w:rPr>
  </w:style>
  <w:style w:type="character" w:customStyle="1" w:styleId="13">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4">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11671</Words>
  <Characters>13981</Characters>
  <Lines>69</Lines>
  <Paragraphs>19</Paragraphs>
  <TotalTime>6</TotalTime>
  <ScaleCrop>false</ScaleCrop>
  <LinksUpToDate>false</LinksUpToDate>
  <CharactersWithSpaces>14818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2022-04-21T10:13:28Z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49419287913647FBB8643B7F8D0BAF4B</vt:lpwstr>
  </property>
</Properties>
</file>