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highlight w:val="none"/>
        </w:rPr>
      </w:pPr>
      <w:r>
        <w:rPr>
          <w:rFonts w:hint="eastAsia" w:ascii="黑体" w:hAnsi="黑体" w:eastAsia="黑体"/>
          <w:sz w:val="32"/>
          <w:szCs w:val="32"/>
          <w:highlight w:val="none"/>
        </w:rPr>
        <w:t>附件</w:t>
      </w:r>
      <w:r>
        <w:rPr>
          <w:rFonts w:ascii="黑体" w:hAnsi="黑体" w:eastAsia="黑体"/>
          <w:sz w:val="32"/>
          <w:szCs w:val="32"/>
          <w:highlight w:val="none"/>
        </w:rPr>
        <w:t>3</w:t>
      </w:r>
      <w:r>
        <w:rPr>
          <w:rFonts w:hint="eastAsia" w:ascii="黑体" w:hAnsi="黑体" w:eastAsia="黑体"/>
          <w:sz w:val="32"/>
          <w:szCs w:val="32"/>
          <w:highlight w:val="none"/>
        </w:rPr>
        <w:t>：</w:t>
      </w: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44"/>
          <w:szCs w:val="44"/>
          <w:highlight w:val="none"/>
        </w:rPr>
      </w:pPr>
    </w:p>
    <w:p>
      <w:pPr>
        <w:widowControl/>
        <w:jc w:val="center"/>
        <w:rPr>
          <w:rFonts w:hint="eastAsia" w:ascii="方正小标宋简体" w:hAnsi="方正小标宋简体" w:eastAsia="方正小标宋简体" w:cs="方正小标宋简体"/>
          <w:kern w:val="0"/>
          <w:sz w:val="44"/>
          <w:szCs w:val="44"/>
          <w:highlight w:val="none"/>
        </w:rPr>
      </w:pPr>
      <w:bookmarkStart w:id="0" w:name="_GoBack"/>
      <w:r>
        <w:rPr>
          <w:rFonts w:hint="eastAsia" w:ascii="方正小标宋简体" w:hAnsi="方正小标宋简体" w:eastAsia="方正小标宋简体" w:cs="方正小标宋简体"/>
          <w:kern w:val="0"/>
          <w:sz w:val="44"/>
          <w:szCs w:val="44"/>
          <w:highlight w:val="none"/>
        </w:rPr>
        <w:t>昌吉回族自治州</w:t>
      </w:r>
      <w:r>
        <w:rPr>
          <w:rFonts w:hint="eastAsia" w:ascii="方正小标宋简体" w:hAnsi="方正小标宋简体" w:eastAsia="方正小标宋简体" w:cs="方正小标宋简体"/>
          <w:kern w:val="0"/>
          <w:sz w:val="44"/>
          <w:szCs w:val="44"/>
          <w:highlight w:val="none"/>
          <w:lang w:val="en-US" w:eastAsia="zh-CN"/>
        </w:rPr>
        <w:t>交通</w:t>
      </w:r>
      <w:r>
        <w:rPr>
          <w:rFonts w:hint="eastAsia" w:ascii="方正小标宋简体" w:hAnsi="方正小标宋简体" w:eastAsia="方正小标宋简体" w:cs="方正小标宋简体"/>
          <w:kern w:val="0"/>
          <w:sz w:val="44"/>
          <w:szCs w:val="44"/>
          <w:highlight w:val="none"/>
        </w:rPr>
        <w:t>运输</w:t>
      </w:r>
      <w:r>
        <w:rPr>
          <w:rFonts w:hint="eastAsia" w:ascii="方正小标宋简体" w:hAnsi="方正小标宋简体" w:eastAsia="方正小标宋简体" w:cs="方正小标宋简体"/>
          <w:kern w:val="0"/>
          <w:sz w:val="44"/>
          <w:szCs w:val="44"/>
          <w:highlight w:val="none"/>
          <w:lang w:val="en-US" w:eastAsia="zh-CN"/>
        </w:rPr>
        <w:t>综合行政执法</w:t>
      </w:r>
      <w:r>
        <w:rPr>
          <w:rFonts w:hint="eastAsia" w:ascii="方正小标宋简体" w:hAnsi="方正小标宋简体" w:eastAsia="方正小标宋简体" w:cs="方正小标宋简体"/>
          <w:kern w:val="0"/>
          <w:sz w:val="44"/>
          <w:szCs w:val="44"/>
          <w:highlight w:val="none"/>
        </w:rPr>
        <w:t>局</w:t>
      </w:r>
    </w:p>
    <w:p>
      <w:pPr>
        <w:widowControl/>
        <w:jc w:val="center"/>
        <w:rPr>
          <w:rFonts w:hint="eastAsia" w:ascii="方正小标宋简体" w:hAnsi="方正小标宋简体" w:eastAsia="方正小标宋简体" w:cs="方正小标宋简体"/>
          <w:kern w:val="0"/>
          <w:sz w:val="44"/>
          <w:szCs w:val="44"/>
          <w:highlight w:val="none"/>
        </w:rPr>
      </w:pPr>
      <w:r>
        <w:rPr>
          <w:rFonts w:hint="eastAsia" w:ascii="方正小标宋简体" w:hAnsi="方正小标宋简体" w:eastAsia="方正小标宋简体" w:cs="方正小标宋简体"/>
          <w:kern w:val="0"/>
          <w:sz w:val="44"/>
          <w:szCs w:val="44"/>
          <w:highlight w:val="none"/>
        </w:rPr>
        <w:t>20</w:t>
      </w:r>
      <w:r>
        <w:rPr>
          <w:rFonts w:hint="eastAsia" w:ascii="方正小标宋简体" w:hAnsi="方正小标宋简体" w:eastAsia="方正小标宋简体" w:cs="方正小标宋简体"/>
          <w:kern w:val="0"/>
          <w:sz w:val="44"/>
          <w:szCs w:val="44"/>
          <w:highlight w:val="none"/>
          <w:lang w:val="en-US" w:eastAsia="zh-CN"/>
        </w:rPr>
        <w:t>22</w:t>
      </w:r>
      <w:r>
        <w:rPr>
          <w:rFonts w:hint="eastAsia" w:ascii="方正小标宋简体" w:hAnsi="方正小标宋简体" w:eastAsia="方正小标宋简体" w:cs="方正小标宋简体"/>
          <w:kern w:val="0"/>
          <w:sz w:val="44"/>
          <w:szCs w:val="44"/>
          <w:highlight w:val="none"/>
        </w:rPr>
        <w:t>年部门预算公开</w:t>
      </w:r>
      <w:bookmarkEnd w:id="0"/>
    </w:p>
    <w:p>
      <w:pPr>
        <w:widowControl/>
        <w:jc w:val="center"/>
        <w:rPr>
          <w:rFonts w:hint="eastAsia" w:ascii="方正小标宋简体" w:hAnsi="方正小标宋简体" w:eastAsia="方正小标宋简体" w:cs="方正小标宋简体"/>
          <w:kern w:val="0"/>
          <w:sz w:val="44"/>
          <w:szCs w:val="44"/>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outlineLvl w:val="1"/>
        <w:rPr>
          <w:rFonts w:ascii="黑体" w:hAnsi="黑体" w:eastAsia="黑体"/>
          <w:kern w:val="0"/>
          <w:sz w:val="36"/>
          <w:szCs w:val="32"/>
          <w:highlight w:val="none"/>
        </w:rPr>
      </w:pPr>
    </w:p>
    <w:p>
      <w:pPr>
        <w:widowControl/>
        <w:spacing w:line="440" w:lineRule="exact"/>
        <w:jc w:val="center"/>
        <w:outlineLvl w:val="1"/>
        <w:rPr>
          <w:rFonts w:ascii="黑体" w:hAnsi="黑体" w:eastAsia="黑体"/>
          <w:kern w:val="0"/>
          <w:sz w:val="36"/>
          <w:szCs w:val="32"/>
          <w:highlight w:val="none"/>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highlight w:val="none"/>
        </w:rPr>
      </w:pPr>
      <w:r>
        <w:rPr>
          <w:rFonts w:hint="eastAsia" w:ascii="黑体" w:hAnsi="黑体" w:eastAsia="黑体" w:cs="黑体"/>
          <w:kern w:val="0"/>
          <w:sz w:val="32"/>
          <w:szCs w:val="32"/>
          <w:highlight w:val="none"/>
        </w:rPr>
        <w:t>目 录</w:t>
      </w:r>
    </w:p>
    <w:p>
      <w:pPr>
        <w:spacing w:line="560" w:lineRule="exact"/>
        <w:ind w:firstLine="643" w:firstLineChars="200"/>
        <w:rPr>
          <w:rFonts w:ascii="仿宋_GB2312" w:hAnsi="仿宋_GB2312" w:eastAsia="仿宋_GB2312" w:cs="仿宋_GB2312"/>
          <w:b/>
          <w:kern w:val="0"/>
          <w:sz w:val="32"/>
          <w:szCs w:val="32"/>
          <w:highlight w:val="none"/>
        </w:rPr>
      </w:pP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 xml:space="preserve">第一部分  </w:t>
      </w:r>
      <w:r>
        <w:rPr>
          <w:rFonts w:hint="eastAsia" w:ascii="仿宋_GB2312" w:hAnsi="仿宋_GB2312" w:eastAsia="仿宋_GB2312" w:cs="仿宋_GB2312"/>
          <w:b/>
          <w:sz w:val="32"/>
          <w:szCs w:val="32"/>
          <w:highlight w:val="none"/>
        </w:rPr>
        <w:t>昌吉回族自治州</w:t>
      </w:r>
      <w:r>
        <w:rPr>
          <w:rFonts w:hint="eastAsia" w:ascii="仿宋_GB2312" w:hAnsi="仿宋_GB2312" w:eastAsia="仿宋_GB2312" w:cs="仿宋_GB2312"/>
          <w:b/>
          <w:sz w:val="32"/>
          <w:szCs w:val="32"/>
          <w:highlight w:val="none"/>
          <w:lang w:val="en-US" w:eastAsia="zh-CN"/>
        </w:rPr>
        <w:t>交通</w:t>
      </w:r>
      <w:r>
        <w:rPr>
          <w:rFonts w:hint="eastAsia" w:ascii="仿宋_GB2312" w:hAnsi="仿宋_GB2312" w:eastAsia="仿宋_GB2312" w:cs="仿宋_GB2312"/>
          <w:b/>
          <w:sz w:val="32"/>
          <w:szCs w:val="32"/>
          <w:highlight w:val="none"/>
        </w:rPr>
        <w:t>运输</w:t>
      </w:r>
      <w:r>
        <w:rPr>
          <w:rFonts w:hint="eastAsia" w:ascii="仿宋_GB2312" w:hAnsi="仿宋_GB2312" w:eastAsia="仿宋_GB2312" w:cs="仿宋_GB2312"/>
          <w:b/>
          <w:sz w:val="32"/>
          <w:szCs w:val="32"/>
          <w:highlight w:val="none"/>
          <w:lang w:val="en-US" w:eastAsia="zh-CN"/>
        </w:rPr>
        <w:t>综合行政执法</w:t>
      </w:r>
      <w:r>
        <w:rPr>
          <w:rFonts w:hint="eastAsia" w:ascii="仿宋_GB2312" w:hAnsi="仿宋_GB2312" w:eastAsia="仿宋_GB2312" w:cs="仿宋_GB2312"/>
          <w:b/>
          <w:sz w:val="32"/>
          <w:szCs w:val="32"/>
          <w:highlight w:val="none"/>
        </w:rPr>
        <w:t>局</w:t>
      </w:r>
      <w:r>
        <w:rPr>
          <w:rFonts w:hint="eastAsia" w:ascii="仿宋_GB2312" w:hAnsi="仿宋_GB2312" w:eastAsia="仿宋_GB2312" w:cs="仿宋_GB2312"/>
          <w:b/>
          <w:kern w:val="0"/>
          <w:sz w:val="32"/>
          <w:szCs w:val="32"/>
          <w:highlight w:val="none"/>
        </w:rPr>
        <w:t>概况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一、主要职能</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二、机构设置及人员情况</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第二部分  2022年</w:t>
      </w:r>
      <w:r>
        <w:rPr>
          <w:rFonts w:hint="eastAsia" w:ascii="仿宋_GB2312" w:hAnsi="仿宋_GB2312" w:eastAsia="仿宋_GB2312" w:cs="仿宋_GB2312"/>
          <w:b/>
          <w:sz w:val="32"/>
          <w:szCs w:val="32"/>
          <w:highlight w:val="none"/>
        </w:rPr>
        <w:t>昌吉回族自治州</w:t>
      </w:r>
      <w:r>
        <w:rPr>
          <w:rFonts w:hint="eastAsia" w:ascii="仿宋_GB2312" w:hAnsi="仿宋_GB2312" w:eastAsia="仿宋_GB2312" w:cs="仿宋_GB2312"/>
          <w:b/>
          <w:sz w:val="32"/>
          <w:szCs w:val="32"/>
          <w:highlight w:val="none"/>
          <w:lang w:val="en-US" w:eastAsia="zh-CN"/>
        </w:rPr>
        <w:t>交通</w:t>
      </w:r>
      <w:r>
        <w:rPr>
          <w:rFonts w:hint="eastAsia" w:ascii="仿宋_GB2312" w:hAnsi="仿宋_GB2312" w:eastAsia="仿宋_GB2312" w:cs="仿宋_GB2312"/>
          <w:b/>
          <w:sz w:val="32"/>
          <w:szCs w:val="32"/>
          <w:highlight w:val="none"/>
        </w:rPr>
        <w:t>运输</w:t>
      </w:r>
      <w:r>
        <w:rPr>
          <w:rFonts w:hint="eastAsia" w:ascii="仿宋_GB2312" w:hAnsi="仿宋_GB2312" w:eastAsia="仿宋_GB2312" w:cs="仿宋_GB2312"/>
          <w:b/>
          <w:sz w:val="32"/>
          <w:szCs w:val="32"/>
          <w:highlight w:val="none"/>
          <w:lang w:val="en-US" w:eastAsia="zh-CN"/>
        </w:rPr>
        <w:t>综合行政执法</w:t>
      </w:r>
      <w:r>
        <w:rPr>
          <w:rFonts w:hint="eastAsia" w:ascii="仿宋_GB2312" w:hAnsi="仿宋_GB2312" w:eastAsia="仿宋_GB2312" w:cs="仿宋_GB2312"/>
          <w:b/>
          <w:sz w:val="32"/>
          <w:szCs w:val="32"/>
          <w:highlight w:val="none"/>
        </w:rPr>
        <w:t>局</w:t>
      </w:r>
      <w:r>
        <w:rPr>
          <w:rFonts w:hint="eastAsia" w:ascii="仿宋_GB2312" w:hAnsi="仿宋_GB2312" w:eastAsia="仿宋_GB2312" w:cs="仿宋_GB2312"/>
          <w:b/>
          <w:kern w:val="0"/>
          <w:sz w:val="32"/>
          <w:szCs w:val="32"/>
          <w:highlight w:val="none"/>
        </w:rPr>
        <w:t>预算公开表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一、部门（单位）收支总体情况表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二、部门（单位）收入总体情况表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三、部门（单位）支出总体情况表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四、财政拨款收支总体情况表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五、一般公共预算支出情况表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六、一般公共预算基本支出情况表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七、一般公共预算</w:t>
      </w:r>
      <w:r>
        <w:rPr>
          <w:rFonts w:hint="eastAsia" w:ascii="仿宋_GB2312" w:hAnsi="仿宋_GB2312" w:eastAsia="仿宋_GB2312" w:cs="仿宋_GB2312"/>
          <w:bCs/>
          <w:kern w:val="0"/>
          <w:sz w:val="32"/>
          <w:szCs w:val="32"/>
          <w:highlight w:val="none"/>
        </w:rPr>
        <w:t>项目支出情况表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八、一般公共预算“三公”经费支出情况表</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九、政府性基金预算支出情况表</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第三部分  2022年</w:t>
      </w:r>
      <w:r>
        <w:rPr>
          <w:rFonts w:hint="eastAsia" w:ascii="仿宋_GB2312" w:hAnsi="仿宋_GB2312" w:eastAsia="仿宋_GB2312" w:cs="仿宋_GB2312"/>
          <w:b/>
          <w:sz w:val="32"/>
          <w:szCs w:val="32"/>
          <w:highlight w:val="none"/>
        </w:rPr>
        <w:t>昌吉回族自治州</w:t>
      </w:r>
      <w:r>
        <w:rPr>
          <w:rFonts w:hint="eastAsia" w:ascii="仿宋_GB2312" w:hAnsi="仿宋_GB2312" w:eastAsia="仿宋_GB2312" w:cs="仿宋_GB2312"/>
          <w:b/>
          <w:sz w:val="32"/>
          <w:szCs w:val="32"/>
          <w:highlight w:val="none"/>
          <w:lang w:val="en-US" w:eastAsia="zh-CN"/>
        </w:rPr>
        <w:t>交通</w:t>
      </w:r>
      <w:r>
        <w:rPr>
          <w:rFonts w:hint="eastAsia" w:ascii="仿宋_GB2312" w:hAnsi="仿宋_GB2312" w:eastAsia="仿宋_GB2312" w:cs="仿宋_GB2312"/>
          <w:b/>
          <w:sz w:val="32"/>
          <w:szCs w:val="32"/>
          <w:highlight w:val="none"/>
        </w:rPr>
        <w:t>运输</w:t>
      </w:r>
      <w:r>
        <w:rPr>
          <w:rFonts w:hint="eastAsia" w:ascii="仿宋_GB2312" w:hAnsi="仿宋_GB2312" w:eastAsia="仿宋_GB2312" w:cs="仿宋_GB2312"/>
          <w:b/>
          <w:sz w:val="32"/>
          <w:szCs w:val="32"/>
          <w:highlight w:val="none"/>
          <w:lang w:val="en-US" w:eastAsia="zh-CN"/>
        </w:rPr>
        <w:t>综合行政执法</w:t>
      </w:r>
      <w:r>
        <w:rPr>
          <w:rFonts w:hint="eastAsia" w:ascii="仿宋_GB2312" w:hAnsi="仿宋_GB2312" w:eastAsia="仿宋_GB2312" w:cs="仿宋_GB2312"/>
          <w:b/>
          <w:sz w:val="32"/>
          <w:szCs w:val="32"/>
          <w:highlight w:val="none"/>
        </w:rPr>
        <w:t>局</w:t>
      </w:r>
      <w:r>
        <w:rPr>
          <w:rFonts w:hint="eastAsia" w:ascii="仿宋_GB2312" w:hAnsi="仿宋_GB2312" w:eastAsia="仿宋_GB2312" w:cs="仿宋_GB2312"/>
          <w:b/>
          <w:kern w:val="0"/>
          <w:sz w:val="32"/>
          <w:szCs w:val="32"/>
          <w:highlight w:val="none"/>
        </w:rPr>
        <w:t>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一、关于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2022年收支预算情况的总体说明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二、关于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2022年收入预算情况说明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三、关于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2022年支出预算情况说明</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四、关于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bCs/>
          <w:kern w:val="0"/>
          <w:sz w:val="32"/>
          <w:szCs w:val="32"/>
          <w:highlight w:val="none"/>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五、</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六、</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highlight w:val="none"/>
        </w:rPr>
      </w:pPr>
      <w:r>
        <w:rPr>
          <w:rFonts w:hint="eastAsia" w:ascii="仿宋_GB2312" w:hAnsi="仿宋_GB2312" w:eastAsia="仿宋_GB2312" w:cs="仿宋_GB2312"/>
          <w:kern w:val="0"/>
          <w:sz w:val="32"/>
          <w:szCs w:val="32"/>
          <w:highlight w:val="none"/>
        </w:rPr>
        <w:t>七、</w:t>
      </w:r>
      <w:r>
        <w:rPr>
          <w:rFonts w:hint="eastAsia" w:ascii="仿宋_GB2312" w:hAnsi="仿宋_GB2312" w:eastAsia="仿宋_GB2312" w:cs="仿宋_GB2312"/>
          <w:spacing w:val="-6"/>
          <w:kern w:val="0"/>
          <w:sz w:val="32"/>
          <w:szCs w:val="32"/>
          <w:highlight w:val="none"/>
        </w:rPr>
        <w:t>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w:t>
      </w:r>
      <w:r>
        <w:rPr>
          <w:rFonts w:hint="eastAsia" w:ascii="仿宋_GB2312" w:hAnsi="仿宋_GB2312" w:eastAsia="仿宋_GB2312" w:cs="仿宋_GB2312"/>
          <w:spacing w:val="-6"/>
          <w:kern w:val="0"/>
          <w:sz w:val="32"/>
          <w:szCs w:val="32"/>
          <w:highlight w:val="none"/>
        </w:rPr>
        <w:t>年一般公共预算项目支出情况说明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八、关于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九、关于</w:t>
      </w:r>
      <w:r>
        <w:rPr>
          <w:rFonts w:hint="eastAsia" w:ascii="仿宋_GB2312" w:hAnsi="仿宋_GB2312" w:eastAsia="仿宋_GB2312" w:cs="仿宋_GB2312"/>
          <w:sz w:val="32"/>
          <w:szCs w:val="32"/>
          <w:highlight w:val="none"/>
        </w:rPr>
        <w:t>昌吉回族自治州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w:t>
      </w:r>
      <w:r>
        <w:rPr>
          <w:rFonts w:hint="eastAsia" w:ascii="仿宋_GB2312" w:hAnsi="仿宋_GB2312" w:eastAsia="仿宋_GB2312" w:cs="仿宋_GB2312"/>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第四部分  名词解释</w:t>
      </w:r>
    </w:p>
    <w:p>
      <w:pPr>
        <w:spacing w:line="600" w:lineRule="exact"/>
        <w:ind w:firstLine="640" w:firstLineChars="200"/>
        <w:rPr>
          <w:rFonts w:ascii="仿宋_GB2312" w:hAnsi="仿宋_GB2312" w:eastAsia="仿宋_GB2312" w:cs="仿宋_GB2312"/>
          <w:kern w:val="0"/>
          <w:sz w:val="32"/>
          <w:szCs w:val="32"/>
          <w:highlight w:val="none"/>
        </w:rPr>
        <w:sectPr>
          <w:footerReference r:id="rId4" w:type="default"/>
          <w:pgSz w:w="11906" w:h="16838"/>
          <w:pgMar w:top="2098" w:right="1418" w:bottom="1928" w:left="1588" w:header="851" w:footer="992" w:gutter="0"/>
          <w:pgNumType w:fmt="numberInDash"/>
          <w:cols w:space="720" w:num="1"/>
          <w:docGrid w:linePitch="312" w:charSpace="0"/>
        </w:sectPr>
      </w:pPr>
    </w:p>
    <w:p>
      <w:pPr>
        <w:ind w:firstLine="1600" w:firstLineChars="500"/>
        <w:rPr>
          <w:rFonts w:ascii="宋体" w:hAnsi="宋体"/>
          <w:b/>
          <w:kern w:val="0"/>
          <w:sz w:val="32"/>
          <w:szCs w:val="32"/>
          <w:highlight w:val="none"/>
        </w:rPr>
      </w:pPr>
      <w:r>
        <w:rPr>
          <w:rFonts w:hint="eastAsia" w:ascii="黑体" w:hAnsi="黑体" w:eastAsia="黑体"/>
          <w:kern w:val="0"/>
          <w:sz w:val="32"/>
          <w:szCs w:val="32"/>
          <w:highlight w:val="none"/>
        </w:rPr>
        <w:t xml:space="preserve">第一部分   </w:t>
      </w:r>
      <w:r>
        <w:rPr>
          <w:rFonts w:hint="eastAsia" w:ascii="仿宋_GB2312" w:hAnsi="仿宋_GB2312" w:eastAsia="仿宋_GB2312" w:cs="仿宋_GB2312"/>
          <w:b/>
          <w:bCs/>
          <w:sz w:val="32"/>
          <w:szCs w:val="32"/>
          <w:highlight w:val="none"/>
        </w:rPr>
        <w:t>昌吉回族自治州</w:t>
      </w:r>
      <w:r>
        <w:rPr>
          <w:rFonts w:hint="eastAsia" w:ascii="仿宋_GB2312" w:hAnsi="仿宋_GB2312" w:eastAsia="仿宋_GB2312" w:cs="仿宋_GB2312"/>
          <w:b/>
          <w:bCs/>
          <w:sz w:val="32"/>
          <w:szCs w:val="32"/>
          <w:highlight w:val="none"/>
          <w:lang w:val="en-US" w:eastAsia="zh-CN"/>
        </w:rPr>
        <w:t>交通</w:t>
      </w:r>
      <w:r>
        <w:rPr>
          <w:rFonts w:hint="eastAsia" w:ascii="仿宋_GB2312" w:hAnsi="仿宋_GB2312" w:eastAsia="仿宋_GB2312" w:cs="仿宋_GB2312"/>
          <w:b/>
          <w:bCs/>
          <w:sz w:val="32"/>
          <w:szCs w:val="32"/>
          <w:highlight w:val="none"/>
        </w:rPr>
        <w:t>运输</w:t>
      </w:r>
      <w:r>
        <w:rPr>
          <w:rFonts w:hint="eastAsia" w:ascii="仿宋_GB2312" w:hAnsi="仿宋_GB2312" w:eastAsia="仿宋_GB2312" w:cs="仿宋_GB2312"/>
          <w:b/>
          <w:bCs/>
          <w:sz w:val="32"/>
          <w:szCs w:val="32"/>
          <w:highlight w:val="none"/>
          <w:lang w:val="en-US" w:eastAsia="zh-CN"/>
        </w:rPr>
        <w:t xml:space="preserve">综合行政执法 </w:t>
      </w:r>
      <w:r>
        <w:rPr>
          <w:rFonts w:hint="eastAsia" w:ascii="仿宋_GB2312" w:hAnsi="仿宋_GB2312" w:eastAsia="仿宋_GB2312" w:cs="仿宋_GB2312"/>
          <w:b/>
          <w:bCs/>
          <w:sz w:val="32"/>
          <w:szCs w:val="32"/>
          <w:highlight w:val="none"/>
        </w:rPr>
        <w:t>局</w:t>
      </w:r>
      <w:r>
        <w:rPr>
          <w:rFonts w:hint="eastAsia" w:ascii="黑体" w:hAnsi="黑体" w:eastAsia="黑体"/>
          <w:kern w:val="0"/>
          <w:sz w:val="32"/>
          <w:szCs w:val="32"/>
          <w:highlight w:val="none"/>
        </w:rPr>
        <w:t>概况</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一、主要职能</w:t>
      </w:r>
    </w:p>
    <w:p>
      <w:pPr>
        <w:widowControl/>
        <w:spacing w:line="540" w:lineRule="exact"/>
        <w:ind w:firstLine="640" w:firstLineChars="200"/>
        <w:jc w:val="left"/>
        <w:rPr>
          <w:rFonts w:ascii="仿宋_GB2312" w:hAnsi="宋体" w:eastAsia="仿宋_GB2312" w:cs="宋体"/>
          <w:bCs/>
          <w:kern w:val="0"/>
          <w:sz w:val="32"/>
          <w:szCs w:val="32"/>
          <w:highlight w:val="none"/>
        </w:rPr>
      </w:pPr>
      <w:r>
        <w:rPr>
          <w:rFonts w:hint="eastAsia" w:ascii="仿宋_GB2312" w:hAnsi="仿宋_GB2312" w:eastAsia="仿宋_GB2312" w:cs="仿宋_GB2312"/>
          <w:sz w:val="32"/>
          <w:szCs w:val="32"/>
          <w:highlight w:val="none"/>
        </w:rPr>
        <w:t>昌吉州</w:t>
      </w:r>
      <w:r>
        <w:rPr>
          <w:rFonts w:hint="eastAsia" w:ascii="仿宋_GB2312" w:hAnsi="仿宋_GB2312" w:eastAsia="仿宋_GB2312" w:cs="仿宋_GB2312"/>
          <w:sz w:val="32"/>
          <w:szCs w:val="32"/>
          <w:highlight w:val="none"/>
          <w:lang w:val="en-US" w:eastAsia="zh-CN"/>
        </w:rPr>
        <w:t>交通</w:t>
      </w:r>
      <w:r>
        <w:rPr>
          <w:rFonts w:hint="eastAsia" w:ascii="仿宋_GB2312" w:hAnsi="仿宋_GB2312" w:eastAsia="仿宋_GB2312" w:cs="仿宋_GB2312"/>
          <w:sz w:val="32"/>
          <w:szCs w:val="32"/>
          <w:highlight w:val="none"/>
        </w:rPr>
        <w:t>运输</w:t>
      </w:r>
      <w:r>
        <w:rPr>
          <w:rFonts w:hint="eastAsia" w:ascii="仿宋_GB2312" w:hAnsi="仿宋_GB2312" w:eastAsia="仿宋_GB2312" w:cs="仿宋_GB2312"/>
          <w:sz w:val="32"/>
          <w:szCs w:val="32"/>
          <w:highlight w:val="none"/>
          <w:lang w:val="en-US" w:eastAsia="zh-CN"/>
        </w:rPr>
        <w:t>综合行政执法</w:t>
      </w:r>
      <w:r>
        <w:rPr>
          <w:rFonts w:hint="eastAsia" w:ascii="仿宋_GB2312" w:hAnsi="仿宋_GB2312" w:eastAsia="仿宋_GB2312" w:cs="仿宋_GB2312"/>
          <w:sz w:val="32"/>
          <w:szCs w:val="32"/>
          <w:highlight w:val="none"/>
        </w:rPr>
        <w:t>局负责</w:t>
      </w:r>
      <w:r>
        <w:rPr>
          <w:rFonts w:hint="eastAsia" w:ascii="仿宋_GB2312" w:hAnsi="仿宋_GB2312" w:eastAsia="仿宋_GB2312" w:cs="仿宋_GB2312"/>
          <w:sz w:val="32"/>
          <w:szCs w:val="32"/>
          <w:highlight w:val="none"/>
          <w:lang w:val="en-US" w:eastAsia="zh-CN"/>
        </w:rPr>
        <w:t>自治州交通运输行政执法的监督指导和组织协调等工作，负责交通运输系统公路路政、道路运政、地方海事行政、工程质量监督管理执法门类的行政处罚以及与行政处罚相关的行政检查、行政强制等工作。</w:t>
      </w:r>
    </w:p>
    <w:p>
      <w:pPr>
        <w:widowControl/>
        <w:spacing w:line="540" w:lineRule="exact"/>
        <w:ind w:firstLine="643" w:firstLineChars="200"/>
        <w:jc w:val="left"/>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二、机构设置及人员情况</w:t>
      </w:r>
    </w:p>
    <w:p>
      <w:pPr>
        <w:widowControl/>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昌吉州交通运输综合行政执法局成立于2020年7月13日。为全额拨款参照公务员管理事业单位，内设机构6个：道路客运执法监督科、道路货运执法监督科、机动车驾培维修执法监督科、公路路政海事执法监督科、公路工程质量执法监督科、准东经济技术开发区交通运输综合行政执法大队等六个科室。</w:t>
      </w:r>
    </w:p>
    <w:p>
      <w:pPr>
        <w:widowControl/>
        <w:spacing w:line="540" w:lineRule="exact"/>
        <w:ind w:firstLine="640"/>
        <w:jc w:val="left"/>
        <w:rPr>
          <w:rFonts w:ascii="仿宋_GB2312" w:hAnsi="宋体" w:eastAsia="仿宋_GB2312" w:cs="宋体"/>
          <w:kern w:val="0"/>
          <w:sz w:val="32"/>
          <w:szCs w:val="32"/>
          <w:highlight w:val="none"/>
        </w:rPr>
      </w:pPr>
      <w:r>
        <w:rPr>
          <w:rFonts w:hint="eastAsia" w:ascii="仿宋_GB2312" w:hAnsi="仿宋_GB2312" w:eastAsia="仿宋_GB2312" w:cs="仿宋_GB2312"/>
          <w:sz w:val="32"/>
          <w:szCs w:val="32"/>
          <w:highlight w:val="none"/>
          <w:lang w:val="en-US" w:eastAsia="zh-CN"/>
        </w:rPr>
        <w:t>昌吉州交通运输综合行政执法局</w:t>
      </w:r>
      <w:r>
        <w:rPr>
          <w:rFonts w:hint="eastAsia" w:ascii="仿宋_GB2312" w:hAnsi="宋体" w:eastAsia="仿宋_GB2312" w:cs="宋体"/>
          <w:kern w:val="0"/>
          <w:sz w:val="32"/>
          <w:szCs w:val="32"/>
          <w:highlight w:val="none"/>
        </w:rPr>
        <w:t>单位编制数</w:t>
      </w:r>
      <w:r>
        <w:rPr>
          <w:rFonts w:hint="eastAsia" w:ascii="仿宋_GB2312" w:hAnsi="宋体" w:eastAsia="仿宋_GB2312" w:cs="宋体"/>
          <w:kern w:val="0"/>
          <w:sz w:val="32"/>
          <w:szCs w:val="32"/>
          <w:highlight w:val="none"/>
          <w:lang w:val="en-US" w:eastAsia="zh-CN"/>
        </w:rPr>
        <w:t>35</w:t>
      </w:r>
      <w:r>
        <w:rPr>
          <w:rFonts w:hint="eastAsia" w:ascii="仿宋_GB2312" w:hAnsi="宋体" w:eastAsia="仿宋_GB2312" w:cs="宋体"/>
          <w:kern w:val="0"/>
          <w:sz w:val="32"/>
          <w:szCs w:val="32"/>
          <w:highlight w:val="none"/>
        </w:rPr>
        <w:t>个，实有人数</w:t>
      </w:r>
      <w:r>
        <w:rPr>
          <w:rFonts w:hint="eastAsia" w:ascii="仿宋_GB2312" w:hAnsi="宋体" w:eastAsia="仿宋_GB2312" w:cs="宋体"/>
          <w:kern w:val="0"/>
          <w:sz w:val="32"/>
          <w:szCs w:val="32"/>
          <w:highlight w:val="none"/>
          <w:lang w:val="en-US" w:eastAsia="zh-CN"/>
        </w:rPr>
        <w:t>30</w:t>
      </w:r>
      <w:r>
        <w:rPr>
          <w:rFonts w:hint="eastAsia" w:ascii="仿宋_GB2312" w:hAnsi="宋体" w:eastAsia="仿宋_GB2312" w:cs="宋体"/>
          <w:kern w:val="0"/>
          <w:sz w:val="32"/>
          <w:szCs w:val="32"/>
          <w:highlight w:val="none"/>
        </w:rPr>
        <w:t>人，其中：在职</w:t>
      </w:r>
      <w:r>
        <w:rPr>
          <w:rFonts w:hint="eastAsia" w:ascii="仿宋_GB2312" w:hAnsi="宋体" w:eastAsia="仿宋_GB2312" w:cs="宋体"/>
          <w:kern w:val="0"/>
          <w:sz w:val="32"/>
          <w:szCs w:val="32"/>
          <w:highlight w:val="none"/>
          <w:lang w:val="en-US" w:eastAsia="zh-CN"/>
        </w:rPr>
        <w:t>30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3</w:t>
      </w:r>
      <w:r>
        <w:rPr>
          <w:rFonts w:hint="eastAsia" w:ascii="仿宋_GB2312" w:hAnsi="宋体" w:eastAsia="仿宋_GB2312" w:cs="宋体"/>
          <w:kern w:val="0"/>
          <w:sz w:val="32"/>
          <w:szCs w:val="32"/>
          <w:highlight w:val="none"/>
        </w:rPr>
        <w:t>人；退休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人；离休</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人。</w:t>
      </w: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hint="eastAsia" w:ascii="仿宋_GB2312" w:hAnsi="宋体" w:eastAsia="仿宋_GB2312" w:cs="宋体"/>
          <w:b/>
          <w:kern w:val="0"/>
          <w:sz w:val="32"/>
          <w:szCs w:val="32"/>
          <w:highlight w:val="none"/>
        </w:rPr>
      </w:pPr>
    </w:p>
    <w:p>
      <w:pPr>
        <w:widowControl/>
        <w:spacing w:line="440" w:lineRule="exact"/>
        <w:jc w:val="both"/>
        <w:outlineLvl w:val="1"/>
        <w:rPr>
          <w:rFonts w:hint="eastAsia" w:ascii="仿宋_GB2312" w:hAnsi="宋体" w:eastAsia="仿宋_GB2312" w:cs="宋体"/>
          <w:b/>
          <w:kern w:val="0"/>
          <w:sz w:val="32"/>
          <w:szCs w:val="32"/>
          <w:highlight w:val="none"/>
        </w:rPr>
      </w:pPr>
    </w:p>
    <w:p>
      <w:pPr>
        <w:widowControl/>
        <w:spacing w:line="440" w:lineRule="exact"/>
        <w:jc w:val="both"/>
        <w:outlineLvl w:val="1"/>
        <w:rPr>
          <w:rFonts w:hint="eastAsia" w:ascii="仿宋_GB2312" w:hAnsi="宋体" w:eastAsia="仿宋_GB2312" w:cs="宋体"/>
          <w:b/>
          <w:kern w:val="0"/>
          <w:sz w:val="32"/>
          <w:szCs w:val="32"/>
          <w:highlight w:val="none"/>
        </w:rPr>
      </w:pPr>
    </w:p>
    <w:p>
      <w:pPr>
        <w:widowControl/>
        <w:spacing w:line="440" w:lineRule="exact"/>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 xml:space="preserve">第二部分  </w:t>
      </w:r>
      <w:r>
        <w:rPr>
          <w:rFonts w:ascii="黑体" w:hAnsi="黑体" w:eastAsia="黑体"/>
          <w:kern w:val="0"/>
          <w:sz w:val="32"/>
          <w:szCs w:val="32"/>
          <w:highlight w:val="none"/>
        </w:rPr>
        <w:t>2022</w:t>
      </w:r>
      <w:r>
        <w:rPr>
          <w:rFonts w:hint="eastAsia" w:ascii="黑体" w:hAnsi="黑体" w:eastAsia="黑体"/>
          <w:kern w:val="0"/>
          <w:sz w:val="32"/>
          <w:szCs w:val="32"/>
          <w:highlight w:val="none"/>
        </w:rPr>
        <w:t>年</w:t>
      </w:r>
      <w:r>
        <w:rPr>
          <w:rFonts w:hint="eastAsia" w:ascii="仿宋_GB2312" w:hAnsi="仿宋_GB2312" w:eastAsia="仿宋_GB2312" w:cs="仿宋_GB2312"/>
          <w:b/>
          <w:bCs/>
          <w:sz w:val="32"/>
          <w:szCs w:val="32"/>
          <w:highlight w:val="none"/>
        </w:rPr>
        <w:t>昌吉回族自治州</w:t>
      </w:r>
      <w:r>
        <w:rPr>
          <w:rFonts w:hint="eastAsia" w:ascii="仿宋_GB2312" w:hAnsi="仿宋_GB2312" w:eastAsia="仿宋_GB2312" w:cs="仿宋_GB2312"/>
          <w:b/>
          <w:bCs/>
          <w:sz w:val="32"/>
          <w:szCs w:val="32"/>
          <w:highlight w:val="none"/>
          <w:lang w:val="en-US" w:eastAsia="zh-CN"/>
        </w:rPr>
        <w:t>交通</w:t>
      </w:r>
      <w:r>
        <w:rPr>
          <w:rFonts w:hint="eastAsia" w:ascii="仿宋_GB2312" w:hAnsi="仿宋_GB2312" w:eastAsia="仿宋_GB2312" w:cs="仿宋_GB2312"/>
          <w:b/>
          <w:bCs/>
          <w:sz w:val="32"/>
          <w:szCs w:val="32"/>
          <w:highlight w:val="none"/>
        </w:rPr>
        <w:t>运输</w:t>
      </w:r>
      <w:r>
        <w:rPr>
          <w:rFonts w:hint="eastAsia" w:ascii="仿宋_GB2312" w:hAnsi="仿宋_GB2312" w:eastAsia="仿宋_GB2312" w:cs="仿宋_GB2312"/>
          <w:b/>
          <w:bCs/>
          <w:sz w:val="32"/>
          <w:szCs w:val="32"/>
          <w:highlight w:val="none"/>
          <w:lang w:val="en-US" w:eastAsia="zh-CN"/>
        </w:rPr>
        <w:t>综合行政执法</w:t>
      </w:r>
      <w:r>
        <w:rPr>
          <w:rFonts w:hint="eastAsia" w:ascii="仿宋_GB2312" w:hAnsi="仿宋_GB2312" w:eastAsia="仿宋_GB2312" w:cs="仿宋_GB2312"/>
          <w:b/>
          <w:bCs/>
          <w:sz w:val="32"/>
          <w:szCs w:val="32"/>
          <w:highlight w:val="none"/>
        </w:rPr>
        <w:t>局</w:t>
      </w:r>
      <w:r>
        <w:rPr>
          <w:rFonts w:hint="eastAsia" w:ascii="黑体" w:hAnsi="黑体" w:eastAsia="黑体"/>
          <w:kern w:val="0"/>
          <w:sz w:val="32"/>
          <w:szCs w:val="32"/>
          <w:highlight w:val="none"/>
        </w:rPr>
        <w:t>预算公开表</w:t>
      </w:r>
    </w:p>
    <w:p>
      <w:pPr>
        <w:widowControl/>
        <w:spacing w:line="240" w:lineRule="exact"/>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表1</w:t>
      </w:r>
    </w:p>
    <w:p>
      <w:pPr>
        <w:widowControl/>
        <w:spacing w:line="36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部门（单位）收支总体情况表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w:t>
      </w:r>
      <w:r>
        <w:rPr>
          <w:rFonts w:hint="eastAsia" w:ascii="仿宋_GB2312" w:hAnsi="宋体" w:eastAsia="仿宋_GB2312"/>
          <w:kern w:val="0"/>
          <w:sz w:val="24"/>
          <w:highlight w:val="none"/>
          <w:lang w:val="en-US" w:eastAsia="zh-CN"/>
        </w:rPr>
        <w:t>回族自治</w:t>
      </w:r>
      <w:r>
        <w:rPr>
          <w:rFonts w:hint="eastAsia" w:ascii="仿宋_GB2312" w:hAnsi="宋体" w:eastAsia="仿宋_GB2312"/>
          <w:kern w:val="0"/>
          <w:sz w:val="24"/>
          <w:highlight w:val="none"/>
        </w:rPr>
        <w:t>州交通运输综合行政执法局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421.46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421.46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40.27</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9"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31.63</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313.09</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36.47</w:t>
            </w: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highlight w:val="none"/>
              </w:rPr>
            </w:pPr>
            <w:r>
              <w:rPr>
                <w:rFonts w:hint="eastAsia" w:ascii="仿宋_GB2312" w:hAnsi="宋体" w:eastAsia="仿宋_GB2312" w:cs="宋体"/>
                <w:color w:val="000000"/>
                <w:kern w:val="0"/>
                <w:sz w:val="18"/>
                <w:szCs w:val="18"/>
                <w:highlight w:val="none"/>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421.46</w:t>
            </w: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lang w:val="en-US" w:eastAsia="zh-CN"/>
              </w:rPr>
              <w:t>421.46</w:t>
            </w:r>
            <w:r>
              <w:rPr>
                <w:rFonts w:hint="eastAsia" w:ascii="仿宋_GB2312" w:hAnsi="宋体" w:eastAsia="仿宋_GB2312" w:cs="宋体"/>
                <w:kern w:val="0"/>
                <w:sz w:val="18"/>
                <w:szCs w:val="18"/>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部门（单位）收入总体情况表</w:t>
      </w:r>
    </w:p>
    <w:p>
      <w:pPr>
        <w:widowControl/>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w:t>
      </w:r>
      <w:r>
        <w:rPr>
          <w:rFonts w:hint="eastAsia" w:ascii="仿宋_GB2312" w:hAnsi="宋体" w:eastAsia="仿宋_GB2312"/>
          <w:kern w:val="0"/>
          <w:sz w:val="24"/>
          <w:highlight w:val="none"/>
          <w:lang w:val="en-US" w:eastAsia="zh-CN"/>
        </w:rPr>
        <w:t>回族自治</w:t>
      </w:r>
      <w:r>
        <w:rPr>
          <w:rFonts w:hint="eastAsia" w:ascii="仿宋_GB2312" w:hAnsi="宋体" w:eastAsia="仿宋_GB2312"/>
          <w:kern w:val="0"/>
          <w:sz w:val="24"/>
          <w:highlight w:val="none"/>
        </w:rPr>
        <w:t>州交通运输综合行政执法局        单位：万元</w:t>
      </w:r>
    </w:p>
    <w:tbl>
      <w:tblPr>
        <w:tblStyle w:val="6"/>
        <w:tblW w:w="9798" w:type="dxa"/>
        <w:tblInd w:w="-450" w:type="dxa"/>
        <w:tblLayout w:type="fixed"/>
        <w:tblCellMar>
          <w:top w:w="0" w:type="dxa"/>
          <w:left w:w="108" w:type="dxa"/>
          <w:bottom w:w="0" w:type="dxa"/>
          <w:right w:w="108" w:type="dxa"/>
        </w:tblCellMar>
      </w:tblPr>
      <w:tblGrid>
        <w:gridCol w:w="594"/>
        <w:gridCol w:w="478"/>
        <w:gridCol w:w="567"/>
        <w:gridCol w:w="1814"/>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63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功能分类科目编码</w:t>
            </w:r>
          </w:p>
        </w:tc>
        <w:tc>
          <w:tcPr>
            <w:tcW w:w="181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101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85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709"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79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国有资本经营预算</w:t>
            </w:r>
          </w:p>
        </w:tc>
        <w:tc>
          <w:tcPr>
            <w:tcW w:w="92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财政专户（教育收费）</w:t>
            </w:r>
          </w:p>
        </w:tc>
        <w:tc>
          <w:tcPr>
            <w:tcW w:w="6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70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68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单位其他资金收入</w:t>
            </w:r>
          </w:p>
        </w:tc>
      </w:tr>
      <w:tr>
        <w:tblPrEx>
          <w:tblCellMar>
            <w:top w:w="0" w:type="dxa"/>
            <w:left w:w="108" w:type="dxa"/>
            <w:bottom w:w="0" w:type="dxa"/>
            <w:right w:w="108" w:type="dxa"/>
          </w:tblCellMar>
        </w:tblPrEx>
        <w:trPr>
          <w:trHeight w:val="9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78"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1814"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101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09"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95"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921"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708"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c>
          <w:tcPr>
            <w:tcW w:w="684" w:type="dxa"/>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253" w:hRule="atLeast"/>
        </w:trPr>
        <w:tc>
          <w:tcPr>
            <w:tcW w:w="594"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shd w:val="clear" w:color="auto" w:fill="auto"/>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single" w:color="auto" w:sz="4" w:space="0"/>
              <w:left w:val="single" w:color="auto" w:sz="4" w:space="0"/>
              <w:bottom w:val="single" w:color="auto" w:sz="4" w:space="0"/>
              <w:right w:val="single" w:color="auto" w:sz="4" w:space="0"/>
            </w:tcBorders>
            <w:shd w:val="clear" w:color="auto" w:fill="auto"/>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社会保障和就业支出</w:t>
            </w:r>
          </w:p>
        </w:tc>
        <w:tc>
          <w:tcPr>
            <w:tcW w:w="1018" w:type="dxa"/>
            <w:tcBorders>
              <w:top w:val="single" w:color="auto" w:sz="4" w:space="0"/>
              <w:left w:val="nil"/>
              <w:bottom w:val="single" w:color="auto" w:sz="4" w:space="0"/>
              <w:right w:val="single" w:color="auto" w:sz="4" w:space="0"/>
            </w:tcBorders>
            <w:shd w:val="clear" w:color="000000" w:fill="FFFFFF"/>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850" w:type="dxa"/>
            <w:tcBorders>
              <w:top w:val="single" w:color="auto" w:sz="4" w:space="0"/>
              <w:left w:val="nil"/>
              <w:bottom w:val="single" w:color="auto" w:sz="4" w:space="0"/>
              <w:right w:val="single" w:color="auto" w:sz="4" w:space="0"/>
            </w:tcBorders>
            <w:shd w:val="clear" w:color="000000" w:fill="FFFFFF"/>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709"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single" w:color="auto" w:sz="4" w:space="0"/>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single" w:color="auto" w:sz="4" w:space="0"/>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行政事业单位养老支出</w:t>
            </w:r>
          </w:p>
        </w:tc>
        <w:tc>
          <w:tcPr>
            <w:tcW w:w="1018" w:type="dxa"/>
            <w:tcBorders>
              <w:top w:val="single" w:color="auto" w:sz="4" w:space="0"/>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850" w:type="dxa"/>
            <w:tcBorders>
              <w:top w:val="single" w:color="auto" w:sz="4" w:space="0"/>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709"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single" w:color="auto" w:sz="4" w:space="0"/>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机关事业单位基本养老保险缴费支出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卫生健康支出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行政事业单位医疗</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行政单位医疗</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公务员医疗补助</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其他行政事业单位医疗支出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交通运输支出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公路水路运输</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行政运行</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住房保障支出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住房改革支出</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住房公积金</w:t>
            </w:r>
          </w:p>
        </w:tc>
        <w:tc>
          <w:tcPr>
            <w:tcW w:w="1018"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47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814"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850"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highlight w:val="none"/>
                <w:lang w:val="en-US" w:eastAsia="zh-CN"/>
              </w:rPr>
            </w:pPr>
          </w:p>
        </w:tc>
      </w:tr>
    </w:tbl>
    <w:p>
      <w:pPr>
        <w:widowControl/>
        <w:spacing w:line="280" w:lineRule="exact"/>
        <w:outlineLvl w:val="1"/>
        <w:rPr>
          <w:rFonts w:hint="eastAsia" w:ascii="宋体" w:hAnsi="宋体" w:cs="宋体"/>
          <w:color w:val="000000"/>
          <w:kern w:val="0"/>
          <w:sz w:val="20"/>
          <w:szCs w:val="20"/>
          <w:highlight w:val="none"/>
          <w:lang w:bidi="ar"/>
        </w:rPr>
      </w:pPr>
      <w:r>
        <w:rPr>
          <w:rFonts w:hint="eastAsia" w:ascii="仿宋_GB2312" w:hAnsi="宋体" w:eastAsia="仿宋_GB2312"/>
          <w:b/>
          <w:kern w:val="0"/>
          <w:sz w:val="28"/>
          <w:szCs w:val="32"/>
          <w:highlight w:val="none"/>
        </w:rPr>
        <w:t>备注：无内容应公开空表并说明情况</w:t>
      </w:r>
      <w:r>
        <w:rPr>
          <w:rFonts w:hint="eastAsia" w:ascii="仿宋_GB2312" w:hAnsi="宋体" w:eastAsia="仿宋_GB2312"/>
          <w:b/>
          <w:kern w:val="0"/>
          <w:sz w:val="28"/>
          <w:szCs w:val="32"/>
          <w:highlight w:val="none"/>
          <w:lang w:eastAsia="zh-CN"/>
        </w:rPr>
        <w:t>。</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highlight w:val="none"/>
        </w:rPr>
      </w:pPr>
      <w:r>
        <w:rPr>
          <w:rFonts w:hint="eastAsia" w:ascii="方正小标宋_GBK" w:hAnsi="方正小标宋_GBK" w:eastAsia="方正小标宋_GBK" w:cs="方正小标宋_GBK"/>
          <w:bCs/>
          <w:kern w:val="0"/>
          <w:sz w:val="36"/>
          <w:szCs w:val="36"/>
          <w:highlight w:val="none"/>
        </w:rPr>
        <w:t>部门（单位）支出总体情况表</w:t>
      </w:r>
    </w:p>
    <w:p>
      <w:pPr>
        <w:widowControl/>
        <w:spacing w:line="280" w:lineRule="exact"/>
        <w:jc w:val="center"/>
        <w:outlineLvl w:val="1"/>
        <w:rPr>
          <w:rFonts w:ascii="仿宋_GB2312" w:hAnsi="宋体" w:eastAsia="仿宋_GB2312"/>
          <w:b/>
          <w:kern w:val="0"/>
          <w:sz w:val="32"/>
          <w:szCs w:val="32"/>
          <w:highlight w:val="none"/>
        </w:rPr>
      </w:pP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编制部门（单位）：昌吉</w:t>
      </w:r>
      <w:r>
        <w:rPr>
          <w:rFonts w:hint="eastAsia" w:ascii="仿宋_GB2312" w:hAnsi="宋体" w:eastAsia="仿宋_GB2312"/>
          <w:kern w:val="0"/>
          <w:sz w:val="24"/>
          <w:highlight w:val="none"/>
          <w:lang w:val="en-US" w:eastAsia="zh-CN"/>
        </w:rPr>
        <w:t>回族自治</w:t>
      </w:r>
      <w:r>
        <w:rPr>
          <w:rFonts w:hint="eastAsia" w:ascii="仿宋_GB2312" w:hAnsi="宋体" w:eastAsia="仿宋_GB2312"/>
          <w:kern w:val="0"/>
          <w:sz w:val="24"/>
          <w:highlight w:val="none"/>
        </w:rPr>
        <w:t>州交通运输综合行政执法局        单位：万元</w:t>
      </w:r>
    </w:p>
    <w:tbl>
      <w:tblPr>
        <w:tblStyle w:val="6"/>
        <w:tblW w:w="9420" w:type="dxa"/>
        <w:tblInd w:w="-240" w:type="dxa"/>
        <w:tblLayout w:type="fixed"/>
        <w:tblCellMar>
          <w:top w:w="0" w:type="dxa"/>
          <w:left w:w="108" w:type="dxa"/>
          <w:bottom w:w="0" w:type="dxa"/>
          <w:right w:w="108" w:type="dxa"/>
        </w:tblCellMar>
      </w:tblPr>
      <w:tblGrid>
        <w:gridCol w:w="551"/>
        <w:gridCol w:w="436"/>
        <w:gridCol w:w="436"/>
        <w:gridCol w:w="2530"/>
        <w:gridCol w:w="1806"/>
        <w:gridCol w:w="1807"/>
        <w:gridCol w:w="1854"/>
      </w:tblGrid>
      <w:tr>
        <w:tblPrEx>
          <w:tblCellMar>
            <w:top w:w="0" w:type="dxa"/>
            <w:left w:w="108" w:type="dxa"/>
            <w:bottom w:w="0" w:type="dxa"/>
            <w:right w:w="108" w:type="dxa"/>
          </w:tblCellMar>
        </w:tblPrEx>
        <w:trPr>
          <w:trHeight w:val="345" w:hRule="atLeast"/>
        </w:trPr>
        <w:tc>
          <w:tcPr>
            <w:tcW w:w="395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    目</w:t>
            </w:r>
          </w:p>
        </w:tc>
        <w:tc>
          <w:tcPr>
            <w:tcW w:w="5467"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支出预算</w:t>
            </w:r>
          </w:p>
        </w:tc>
      </w:tr>
      <w:tr>
        <w:tblPrEx>
          <w:tblCellMar>
            <w:top w:w="0" w:type="dxa"/>
            <w:left w:w="108" w:type="dxa"/>
            <w:bottom w:w="0" w:type="dxa"/>
            <w:right w:w="108" w:type="dxa"/>
          </w:tblCellMar>
        </w:tblPrEx>
        <w:trPr>
          <w:trHeight w:val="480" w:hRule="atLeast"/>
        </w:trPr>
        <w:tc>
          <w:tcPr>
            <w:tcW w:w="142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功能分类科目编码</w:t>
            </w:r>
          </w:p>
        </w:tc>
        <w:tc>
          <w:tcPr>
            <w:tcW w:w="253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功能分类科目名称</w:t>
            </w:r>
          </w:p>
        </w:tc>
        <w:tc>
          <w:tcPr>
            <w:tcW w:w="180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合  计</w:t>
            </w:r>
          </w:p>
        </w:tc>
        <w:tc>
          <w:tcPr>
            <w:tcW w:w="180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基本支出</w:t>
            </w:r>
          </w:p>
        </w:tc>
        <w:tc>
          <w:tcPr>
            <w:tcW w:w="185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highlight w:val="none"/>
              </w:rPr>
            </w:pPr>
            <w:r>
              <w:rPr>
                <w:rFonts w:hint="eastAsia" w:ascii="宋体" w:hAnsi="宋体" w:cs="宋体"/>
                <w:b/>
                <w:bCs/>
                <w:color w:val="000000"/>
                <w:kern w:val="0"/>
                <w:sz w:val="20"/>
                <w:szCs w:val="20"/>
                <w:highlight w:val="none"/>
              </w:rPr>
              <w:t>项目支出</w:t>
            </w:r>
          </w:p>
        </w:tc>
      </w:tr>
      <w:tr>
        <w:tblPrEx>
          <w:tblCellMar>
            <w:top w:w="0" w:type="dxa"/>
            <w:left w:w="108" w:type="dxa"/>
            <w:bottom w:w="0" w:type="dxa"/>
            <w:right w:w="108" w:type="dxa"/>
          </w:tblCellMar>
        </w:tblPrEx>
        <w:trPr>
          <w:trHeight w:val="270"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类</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款</w:t>
            </w:r>
          </w:p>
        </w:tc>
        <w:tc>
          <w:tcPr>
            <w:tcW w:w="43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highlight w:val="none"/>
              </w:rPr>
            </w:pPr>
            <w:r>
              <w:rPr>
                <w:rFonts w:hint="eastAsia" w:ascii="宋体" w:hAnsi="宋体" w:cs="宋体"/>
                <w:b/>
                <w:bCs/>
                <w:color w:val="000000"/>
                <w:kern w:val="0"/>
                <w:sz w:val="16"/>
                <w:szCs w:val="16"/>
                <w:highlight w:val="none"/>
              </w:rPr>
              <w:t>项</w:t>
            </w:r>
          </w:p>
        </w:tc>
        <w:tc>
          <w:tcPr>
            <w:tcW w:w="253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0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0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c>
          <w:tcPr>
            <w:tcW w:w="185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社会保障和就业支出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行政事业单位养老支出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208</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机关事业单位基本养老保险缴费支出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卫生健康支出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行政事业单位医疗</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31.63</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行政单位医疗</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公务员医疗补助</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210</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其他行政事业单位医疗支出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交通运输支出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公路水路运输</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214</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行政运行</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313.09</w:t>
            </w:r>
          </w:p>
        </w:tc>
        <w:tc>
          <w:tcPr>
            <w:tcW w:w="185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住房保障支出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5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住房改革支出</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54" w:type="dxa"/>
            <w:tcBorders>
              <w:top w:val="nil"/>
              <w:left w:val="nil"/>
              <w:bottom w:val="single" w:color="auto" w:sz="4" w:space="0"/>
              <w:right w:val="single" w:color="auto" w:sz="4" w:space="0"/>
            </w:tcBorders>
            <w:vAlign w:val="top"/>
          </w:tcPr>
          <w:p>
            <w:pPr>
              <w:jc w:val="righ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221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530"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住房公积金</w:t>
            </w:r>
          </w:p>
        </w:tc>
        <w:tc>
          <w:tcPr>
            <w:tcW w:w="1806"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85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宋体" w:hAnsi="宋体" w:cs="宋体"/>
                <w:b/>
                <w:bCs/>
                <w:color w:val="000000"/>
                <w:kern w:val="0"/>
                <w:sz w:val="22"/>
                <w:szCs w:val="22"/>
                <w:highlight w:val="none"/>
                <w:lang w:val="en-US"/>
              </w:rPr>
            </w:pPr>
          </w:p>
        </w:tc>
      </w:tr>
      <w:tr>
        <w:tblPrEx>
          <w:tblCellMar>
            <w:top w:w="0" w:type="dxa"/>
            <w:left w:w="108" w:type="dxa"/>
            <w:bottom w:w="0" w:type="dxa"/>
            <w:right w:w="108" w:type="dxa"/>
          </w:tblCellMar>
        </w:tblPrEx>
        <w:trPr>
          <w:trHeight w:val="405" w:hRule="atLeast"/>
        </w:trPr>
        <w:tc>
          <w:tcPr>
            <w:tcW w:w="55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5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1806"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1807"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185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宋体" w:hAnsi="宋体" w:cs="宋体"/>
                <w:b/>
                <w:bCs/>
                <w:color w:val="000000"/>
                <w:kern w:val="0"/>
                <w:sz w:val="22"/>
                <w:szCs w:val="2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表4</w:t>
      </w:r>
    </w:p>
    <w:p>
      <w:pPr>
        <w:widowControl/>
        <w:spacing w:before="120" w:beforeLines="50" w:line="280" w:lineRule="exact"/>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line="280" w:lineRule="exact"/>
        <w:jc w:val="left"/>
        <w:outlineLvl w:val="1"/>
        <w:rPr>
          <w:rFonts w:ascii="仿宋_GB2312" w:hAnsi="宋体" w:eastAsia="仿宋_GB2312"/>
          <w:kern w:val="0"/>
          <w:szCs w:val="21"/>
          <w:highlight w:val="none"/>
        </w:rPr>
      </w:pPr>
      <w:r>
        <w:rPr>
          <w:rFonts w:hint="eastAsia" w:ascii="仿宋_GB2312" w:hAnsi="宋体" w:eastAsia="仿宋_GB2312"/>
          <w:kern w:val="0"/>
          <w:szCs w:val="21"/>
          <w:highlight w:val="none"/>
        </w:rPr>
        <w:t>编制部门（单位）：</w:t>
      </w:r>
      <w:r>
        <w:rPr>
          <w:rFonts w:hint="eastAsia" w:ascii="仿宋_GB2312" w:hAnsi="宋体" w:eastAsia="仿宋_GB2312"/>
          <w:kern w:val="0"/>
          <w:sz w:val="24"/>
          <w:highlight w:val="none"/>
        </w:rPr>
        <w:t>昌吉</w:t>
      </w:r>
      <w:r>
        <w:rPr>
          <w:rFonts w:hint="eastAsia" w:ascii="仿宋_GB2312" w:hAnsi="宋体" w:eastAsia="仿宋_GB2312"/>
          <w:kern w:val="0"/>
          <w:sz w:val="24"/>
          <w:highlight w:val="none"/>
          <w:lang w:val="en-US" w:eastAsia="zh-CN"/>
        </w:rPr>
        <w:t>回族自治</w:t>
      </w:r>
      <w:r>
        <w:rPr>
          <w:rFonts w:hint="eastAsia" w:ascii="仿宋_GB2312" w:hAnsi="宋体" w:eastAsia="仿宋_GB2312"/>
          <w:kern w:val="0"/>
          <w:sz w:val="24"/>
          <w:highlight w:val="none"/>
        </w:rPr>
        <w:t>州交通运输综合行政执法局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40.27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highlight w:val="none"/>
                <w:lang w:val="en-US" w:eastAsia="zh-CN" w:bidi="ar-SA"/>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eastAsia="宋体" w:cs="宋体"/>
                <w:kern w:val="0"/>
                <w:sz w:val="18"/>
                <w:szCs w:val="18"/>
                <w:highlight w:val="none"/>
                <w:lang w:val="en-US" w:eastAsia="zh-CN" w:bidi="ar-SA"/>
              </w:rPr>
            </w:pPr>
            <w:r>
              <w:rPr>
                <w:rFonts w:hint="eastAsia" w:ascii="仿宋_GB2312" w:hAnsi="宋体" w:eastAsia="仿宋_GB2312" w:cs="宋体"/>
                <w:kern w:val="0"/>
                <w:sz w:val="18"/>
                <w:szCs w:val="18"/>
                <w:highlight w:val="none"/>
                <w:lang w:val="en-US" w:eastAsia="zh-CN"/>
              </w:rPr>
              <w:t>31.63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lang w:val="en-US" w:eastAsia="zh-CN"/>
              </w:rPr>
              <w:t>313.09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r>
              <w:rPr>
                <w:rFonts w:hint="eastAsia" w:ascii="仿宋_GB2312" w:hAnsi="宋体" w:eastAsia="仿宋_GB2312" w:cs="宋体"/>
                <w:kern w:val="0"/>
                <w:sz w:val="18"/>
                <w:szCs w:val="18"/>
                <w:highlight w:val="none"/>
                <w:lang w:val="en-US" w:eastAsia="zh-CN"/>
              </w:rPr>
              <w:t>36.47</w:t>
            </w:r>
            <w:r>
              <w:rPr>
                <w:rFonts w:hint="eastAsia" w:ascii="仿宋_GB2312" w:hAnsi="宋体" w:eastAsia="仿宋_GB2312" w:cs="宋体"/>
                <w:kern w:val="0"/>
                <w:sz w:val="18"/>
                <w:szCs w:val="18"/>
                <w:highlight w:val="none"/>
              </w:rPr>
              <w:t>　</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highlight w:val="none"/>
              </w:rPr>
            </w:pPr>
            <w:r>
              <w:rPr>
                <w:rFonts w:hint="eastAsia" w:ascii="仿宋_GB2312" w:hAnsi="宋体" w:eastAsia="仿宋_GB2312" w:cs="宋体"/>
                <w:kern w:val="0"/>
                <w:sz w:val="18"/>
                <w:szCs w:val="18"/>
                <w:highlight w:val="none"/>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r>
              <w:rPr>
                <w:rFonts w:hint="eastAsia" w:ascii="仿宋_GB2312" w:hAnsi="宋体" w:eastAsia="仿宋_GB2312" w:cs="宋体"/>
                <w:color w:val="000000"/>
                <w:kern w:val="0"/>
                <w:sz w:val="22"/>
                <w:szCs w:val="22"/>
                <w:highlight w:val="none"/>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highlight w:val="none"/>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highlight w:val="none"/>
              </w:rPr>
            </w:pPr>
          </w:p>
        </w:tc>
        <w:tc>
          <w:tcPr>
            <w:tcW w:w="914" w:type="dxa"/>
            <w:tcBorders>
              <w:top w:val="nil"/>
              <w:left w:val="nil"/>
              <w:bottom w:val="single" w:color="auto" w:sz="4" w:space="0"/>
              <w:right w:val="single" w:color="auto" w:sz="4" w:space="0"/>
            </w:tcBorders>
            <w:vAlign w:val="center"/>
          </w:tcPr>
          <w:p>
            <w:pPr>
              <w:jc w:val="right"/>
              <w:rPr>
                <w:highlight w:val="none"/>
              </w:rPr>
            </w:pPr>
          </w:p>
        </w:tc>
        <w:tc>
          <w:tcPr>
            <w:tcW w:w="2580" w:type="dxa"/>
            <w:tcBorders>
              <w:top w:val="nil"/>
              <w:left w:val="nil"/>
              <w:bottom w:val="single" w:color="auto" w:sz="4" w:space="0"/>
              <w:right w:val="single" w:color="auto" w:sz="4" w:space="0"/>
            </w:tcBorders>
            <w:vAlign w:val="center"/>
          </w:tcPr>
          <w:p>
            <w:pPr>
              <w:rPr>
                <w:highlight w:val="none"/>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收  入  总  计</w:t>
            </w:r>
          </w:p>
        </w:tc>
        <w:tc>
          <w:tcPr>
            <w:tcW w:w="914"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highlight w:val="none"/>
                <w:u w:val="none"/>
                <w:lang w:val="en-US" w:eastAsia="zh-CN" w:bidi="ar-SA"/>
              </w:rPr>
            </w:pPr>
            <w:r>
              <w:rPr>
                <w:rFonts w:hint="eastAsia" w:ascii="Calibri" w:hAnsi="Calibri" w:cs="Calibri"/>
                <w:i w:val="0"/>
                <w:iCs w:val="0"/>
                <w:color w:val="000000"/>
                <w:kern w:val="0"/>
                <w:sz w:val="22"/>
                <w:szCs w:val="22"/>
                <w:highlight w:val="none"/>
                <w:u w:val="none"/>
                <w:lang w:val="en-US" w:eastAsia="zh-CN" w:bidi="ar"/>
              </w:rPr>
              <w:t>421.46</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851"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default" w:ascii="Calibri" w:hAnsi="Calibri" w:eastAsia="宋体" w:cs="Calibri"/>
                <w:i w:val="0"/>
                <w:iCs w:val="0"/>
                <w:color w:val="000000"/>
                <w:kern w:val="2"/>
                <w:sz w:val="22"/>
                <w:szCs w:val="22"/>
                <w:highlight w:val="none"/>
                <w:u w:val="none"/>
                <w:lang w:val="en-US" w:eastAsia="zh-CN" w:bidi="ar-SA"/>
              </w:rPr>
            </w:pPr>
            <w:r>
              <w:rPr>
                <w:rFonts w:hint="eastAsia" w:ascii="Calibri" w:hAnsi="Calibri" w:cs="Calibri"/>
                <w:i w:val="0"/>
                <w:iCs w:val="0"/>
                <w:color w:val="000000"/>
                <w:kern w:val="0"/>
                <w:sz w:val="22"/>
                <w:szCs w:val="22"/>
                <w:highlight w:val="none"/>
                <w:u w:val="none"/>
                <w:lang w:val="en-US" w:eastAsia="zh-CN" w:bidi="ar"/>
              </w:rPr>
              <w:t>421.46</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highlight w:val="none"/>
              </w:rPr>
            </w:pPr>
          </w:p>
        </w:tc>
      </w:tr>
    </w:tbl>
    <w:p>
      <w:pPr>
        <w:widowControl/>
        <w:spacing w:line="32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r>
        <w:rPr>
          <w:rFonts w:ascii="仿宋_GB2312" w:hAnsi="宋体" w:eastAsia="仿宋_GB2312"/>
          <w:b/>
          <w:kern w:val="0"/>
          <w:sz w:val="28"/>
          <w:szCs w:val="32"/>
          <w:highlight w:val="none"/>
        </w:rPr>
        <w:t xml:space="preserve"> </w:t>
      </w: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36"/>
        <w:gridCol w:w="2503"/>
        <w:gridCol w:w="659"/>
        <w:gridCol w:w="1021"/>
        <w:gridCol w:w="216"/>
        <w:gridCol w:w="1622"/>
        <w:gridCol w:w="1697"/>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21"/>
                <w:szCs w:val="21"/>
                <w:highlight w:val="none"/>
              </w:rPr>
            </w:pPr>
            <w:r>
              <w:rPr>
                <w:rFonts w:hint="eastAsia" w:ascii="方正小标宋_GBK" w:hAnsi="方正小标宋_GBK" w:eastAsia="方正小标宋_GBK" w:cs="方正小标宋_GBK"/>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3999" w:type="dxa"/>
            <w:gridSpan w:val="4"/>
            <w:tcBorders>
              <w:top w:val="nil"/>
              <w:left w:val="nil"/>
              <w:bottom w:val="nil"/>
              <w:right w:val="nil"/>
            </w:tcBorders>
            <w:vAlign w:val="center"/>
          </w:tcPr>
          <w:p>
            <w:pPr>
              <w:widowControl/>
              <w:jc w:val="left"/>
              <w:rPr>
                <w:rFonts w:hint="default" w:ascii="仿宋_GB2312" w:hAnsi="宋体" w:eastAsia="仿宋_GB2312" w:cs="宋体"/>
                <w:color w:val="000000"/>
                <w:kern w:val="0"/>
                <w:sz w:val="24"/>
                <w:highlight w:val="none"/>
                <w:lang w:val="en-US" w:eastAsia="zh-CN"/>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val="en-US" w:eastAsia="zh-CN"/>
              </w:rPr>
              <w:t>昌吉回族自治州交通运输综合行政执法局</w:t>
            </w:r>
          </w:p>
        </w:tc>
        <w:tc>
          <w:tcPr>
            <w:tcW w:w="659"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23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3319"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3999"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项   目</w:t>
            </w:r>
          </w:p>
        </w:tc>
        <w:tc>
          <w:tcPr>
            <w:tcW w:w="5215"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一般公共预算支出</w:t>
            </w:r>
          </w:p>
        </w:tc>
      </w:tr>
      <w:tr>
        <w:tblPrEx>
          <w:tblCellMar>
            <w:top w:w="0" w:type="dxa"/>
            <w:left w:w="108" w:type="dxa"/>
            <w:bottom w:w="0" w:type="dxa"/>
            <w:right w:w="108" w:type="dxa"/>
          </w:tblCellMar>
        </w:tblPrEx>
        <w:trPr>
          <w:trHeight w:val="465" w:hRule="atLeast"/>
        </w:trPr>
        <w:tc>
          <w:tcPr>
            <w:tcW w:w="1496"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功能分类科目编码</w:t>
            </w:r>
          </w:p>
        </w:tc>
        <w:tc>
          <w:tcPr>
            <w:tcW w:w="2503"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功能分类科目名称</w:t>
            </w:r>
          </w:p>
        </w:tc>
        <w:tc>
          <w:tcPr>
            <w:tcW w:w="168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合  计</w:t>
            </w:r>
          </w:p>
        </w:tc>
        <w:tc>
          <w:tcPr>
            <w:tcW w:w="183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基本支出</w:t>
            </w:r>
          </w:p>
        </w:tc>
        <w:tc>
          <w:tcPr>
            <w:tcW w:w="169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43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项</w:t>
            </w:r>
          </w:p>
        </w:tc>
        <w:tc>
          <w:tcPr>
            <w:tcW w:w="2503"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8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83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69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default" w:ascii="仿宋_GB2312" w:hAnsi="宋体" w:eastAsia="仿宋_GB2312" w:cs="宋体"/>
                <w:kern w:val="0"/>
                <w:sz w:val="18"/>
                <w:szCs w:val="18"/>
                <w:highlight w:val="none"/>
                <w:lang w:val="en-US" w:eastAsia="zh-CN"/>
              </w:rPr>
              <w:t>社会保障和就业支出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行政事业单位养老支出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05</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05</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机关事业单位基本养老保险缴费支出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40.27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卫生健康支出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31.63</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31.63</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行政事业单位医疗</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31.63</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31.63</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行政单位医疗</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23.91</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23.91</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3</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公务员医疗补助</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7.55</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7.55</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11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99</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其他行政事业单位医疗支出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0.17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0.17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交通运输支出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公路水路运输</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214</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01</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行政运行</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313.09</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住房保障支出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住房改革支出</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221</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02</w:t>
            </w: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r>
              <w:rPr>
                <w:rFonts w:hint="eastAsia" w:ascii="仿宋_GB2312" w:hAnsi="宋体" w:eastAsia="仿宋_GB2312" w:cs="宋体"/>
                <w:kern w:val="0"/>
                <w:sz w:val="18"/>
                <w:szCs w:val="18"/>
                <w:highlight w:val="none"/>
                <w:lang w:val="en-US" w:eastAsia="zh-CN"/>
              </w:rPr>
              <w:t>01</w:t>
            </w:r>
          </w:p>
        </w:tc>
        <w:tc>
          <w:tcPr>
            <w:tcW w:w="2503"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住房公积金</w:t>
            </w:r>
          </w:p>
        </w:tc>
        <w:tc>
          <w:tcPr>
            <w:tcW w:w="1680"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default" w:ascii="仿宋_GB2312" w:hAnsi="宋体" w:eastAsia="仿宋_GB2312" w:cs="宋体"/>
                <w:kern w:val="0"/>
                <w:sz w:val="18"/>
                <w:szCs w:val="18"/>
                <w:highlight w:val="none"/>
                <w:lang w:val="en-US" w:eastAsia="zh-CN"/>
              </w:rPr>
              <w:t>36.47</w:t>
            </w:r>
          </w:p>
        </w:tc>
        <w:tc>
          <w:tcPr>
            <w:tcW w:w="1697" w:type="dxa"/>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436"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color w:val="000000"/>
                <w:kern w:val="0"/>
                <w:sz w:val="20"/>
                <w:szCs w:val="20"/>
                <w:highlight w:val="none"/>
              </w:rPr>
            </w:pPr>
          </w:p>
        </w:tc>
        <w:tc>
          <w:tcPr>
            <w:tcW w:w="2503"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宋体" w:eastAsia="仿宋_GB2312" w:cs="宋体"/>
                <w:kern w:val="0"/>
                <w:sz w:val="18"/>
                <w:szCs w:val="18"/>
                <w:highlight w:val="none"/>
                <w:lang w:val="en-US" w:eastAsia="zh-CN"/>
              </w:rPr>
              <w:t>合  计</w:t>
            </w:r>
          </w:p>
        </w:tc>
        <w:tc>
          <w:tcPr>
            <w:tcW w:w="1680"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r>
              <w:rPr>
                <w:rFonts w:hint="eastAsia" w:ascii="仿宋_GB2312" w:hAnsi="宋体" w:eastAsia="仿宋_GB2312" w:cs="宋体"/>
                <w:kern w:val="0"/>
                <w:sz w:val="18"/>
                <w:szCs w:val="18"/>
                <w:highlight w:val="none"/>
                <w:lang w:val="en-US" w:eastAsia="zh-CN"/>
              </w:rPr>
              <w:t>421.46</w:t>
            </w:r>
          </w:p>
        </w:tc>
        <w:tc>
          <w:tcPr>
            <w:tcW w:w="1838" w:type="dxa"/>
            <w:gridSpan w:val="2"/>
            <w:tcBorders>
              <w:top w:val="nil"/>
              <w:left w:val="nil"/>
              <w:bottom w:val="single" w:color="auto" w:sz="4" w:space="0"/>
              <w:right w:val="single" w:color="auto" w:sz="4" w:space="0"/>
            </w:tcBorders>
            <w:vAlign w:val="top"/>
          </w:tcPr>
          <w:p>
            <w:pPr>
              <w:widowControl/>
              <w:spacing w:line="280" w:lineRule="exact"/>
              <w:jc w:val="right"/>
              <w:rPr>
                <w:rFonts w:ascii="宋体" w:hAnsi="宋体" w:cs="宋体"/>
                <w:color w:val="000000"/>
                <w:kern w:val="0"/>
                <w:sz w:val="20"/>
                <w:szCs w:val="20"/>
                <w:highlight w:val="none"/>
              </w:rPr>
            </w:pPr>
            <w:r>
              <w:rPr>
                <w:rFonts w:hint="eastAsia" w:ascii="仿宋_GB2312" w:hAnsi="宋体" w:eastAsia="仿宋_GB2312" w:cs="宋体"/>
                <w:kern w:val="0"/>
                <w:sz w:val="18"/>
                <w:szCs w:val="18"/>
                <w:highlight w:val="none"/>
                <w:lang w:val="en-US" w:eastAsia="zh-CN"/>
              </w:rPr>
              <w:t>421.46</w:t>
            </w:r>
          </w:p>
        </w:tc>
        <w:tc>
          <w:tcPr>
            <w:tcW w:w="169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val="en-US" w:eastAsia="zh-CN"/>
              </w:rPr>
              <w:t>昌吉回族自治州交通运输综合行政执法局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highlight w:val="none"/>
              </w:rPr>
            </w:pPr>
            <w:r>
              <w:rPr>
                <w:rFonts w:hint="eastAsia" w:ascii="仿宋_GB2312" w:hAnsi="宋体" w:eastAsia="仿宋_GB2312" w:cs="宋体"/>
                <w:b/>
                <w:bCs/>
                <w:color w:val="000000"/>
                <w:kern w:val="0"/>
                <w:szCs w:val="21"/>
                <w:highlight w:val="none"/>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r>
              <w:rPr>
                <w:rFonts w:hint="eastAsia" w:ascii="仿宋_GB2312" w:hAnsi="宋体" w:eastAsia="仿宋_GB2312" w:cs="宋体"/>
                <w:b/>
                <w:bCs/>
                <w:color w:val="000000"/>
                <w:kern w:val="0"/>
                <w:sz w:val="20"/>
                <w:szCs w:val="20"/>
                <w:highlight w:val="none"/>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highlight w:val="none"/>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362.94</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362.94</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基本工资</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118.69</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118.69</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02</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津贴补贴</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126.19</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126.19</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03</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奖金</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9.70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9.70</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08</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机关事业单位基本养老保险缴费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40.27</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10</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城镇职工基本医疗保险缴费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23.91</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公务员医疗补助缴费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7.55</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12</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其他社会保障缴费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0.17</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13</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住房公积金</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36.47</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58.51</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58.51</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01</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办公费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6.89</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6.89</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05</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水费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06</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电费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07</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邮电费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0.60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0.60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08</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取暖费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14.20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14.20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11</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差旅费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7.98</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7.98</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16</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培训费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0.50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17</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公务接待费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28</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工会经费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4.74</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4.74</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29</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福利费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4.27</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4.27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31</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公务用车运行维护费</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15.00</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15.00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99</w:t>
            </w:r>
          </w:p>
        </w:tc>
        <w:tc>
          <w:tcPr>
            <w:tcW w:w="289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其他商品和服务支出</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2.33</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default" w:ascii="仿宋_GB2312" w:hAnsi="宋体" w:eastAsia="仿宋_GB2312" w:cs="宋体"/>
                <w:kern w:val="0"/>
                <w:sz w:val="18"/>
                <w:szCs w:val="18"/>
                <w:highlight w:val="none"/>
                <w:lang w:val="en-US" w:eastAsia="zh-CN"/>
              </w:rPr>
              <w:t>2.33</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p>
        </w:tc>
        <w:tc>
          <w:tcPr>
            <w:tcW w:w="577"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p>
        </w:tc>
        <w:tc>
          <w:tcPr>
            <w:tcW w:w="2891"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合  计</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421.46</w:t>
            </w:r>
          </w:p>
        </w:tc>
        <w:tc>
          <w:tcPr>
            <w:tcW w:w="1701" w:type="dxa"/>
            <w:gridSpan w:val="2"/>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362.94</w:t>
            </w:r>
          </w:p>
        </w:tc>
        <w:tc>
          <w:tcPr>
            <w:tcW w:w="1701" w:type="dxa"/>
            <w:tcBorders>
              <w:top w:val="nil"/>
              <w:left w:val="nil"/>
              <w:bottom w:val="single" w:color="auto" w:sz="4" w:space="0"/>
              <w:right w:val="single" w:color="auto" w:sz="4" w:space="0"/>
            </w:tcBorders>
            <w:vAlign w:val="top"/>
          </w:tcPr>
          <w:p>
            <w:pPr>
              <w:widowControl/>
              <w:spacing w:line="280" w:lineRule="exact"/>
              <w:jc w:val="right"/>
              <w:rPr>
                <w:rFonts w:hint="default" w:ascii="仿宋_GB2312" w:hAnsi="宋体" w:eastAsia="仿宋_GB2312" w:cs="宋体"/>
                <w:kern w:val="0"/>
                <w:sz w:val="18"/>
                <w:szCs w:val="18"/>
                <w:highlight w:val="none"/>
                <w:lang w:val="en-US" w:eastAsia="zh-CN"/>
              </w:rPr>
            </w:pPr>
            <w:r>
              <w:rPr>
                <w:rFonts w:hint="eastAsia" w:ascii="仿宋_GB2312" w:hAnsi="宋体" w:eastAsia="仿宋_GB2312" w:cs="宋体"/>
                <w:kern w:val="0"/>
                <w:sz w:val="18"/>
                <w:szCs w:val="18"/>
                <w:highlight w:val="none"/>
                <w:lang w:val="en-US" w:eastAsia="zh-CN"/>
              </w:rPr>
              <w:t>58.51</w:t>
            </w: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表7</w:t>
      </w:r>
    </w:p>
    <w:tbl>
      <w:tblPr>
        <w:tblStyle w:val="6"/>
        <w:tblW w:w="9540" w:type="dxa"/>
        <w:tblInd w:w="-360" w:type="dxa"/>
        <w:tblLayout w:type="fixed"/>
        <w:tblCellMar>
          <w:top w:w="0" w:type="dxa"/>
          <w:left w:w="108" w:type="dxa"/>
          <w:bottom w:w="0" w:type="dxa"/>
          <w:right w:w="108" w:type="dxa"/>
        </w:tblCellMar>
      </w:tblPr>
      <w:tblGrid>
        <w:gridCol w:w="11"/>
        <w:gridCol w:w="540"/>
        <w:gridCol w:w="436"/>
        <w:gridCol w:w="436"/>
        <w:gridCol w:w="788"/>
        <w:gridCol w:w="1322"/>
        <w:gridCol w:w="718"/>
        <w:gridCol w:w="110"/>
        <w:gridCol w:w="433"/>
        <w:gridCol w:w="536"/>
        <w:gridCol w:w="613"/>
        <w:gridCol w:w="613"/>
        <w:gridCol w:w="378"/>
        <w:gridCol w:w="200"/>
        <w:gridCol w:w="536"/>
        <w:gridCol w:w="578"/>
        <w:gridCol w:w="416"/>
        <w:gridCol w:w="416"/>
        <w:gridCol w:w="384"/>
        <w:gridCol w:w="76"/>
      </w:tblGrid>
      <w:tr>
        <w:tblPrEx>
          <w:tblCellMar>
            <w:top w:w="0" w:type="dxa"/>
            <w:left w:w="108" w:type="dxa"/>
            <w:bottom w:w="0" w:type="dxa"/>
            <w:right w:w="108" w:type="dxa"/>
          </w:tblCellMar>
        </w:tblPrEx>
        <w:trPr>
          <w:gridBefore w:val="1"/>
          <w:gridAfter w:val="1"/>
          <w:wBefore w:w="11" w:type="dxa"/>
          <w:wAfter w:w="76"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highlight w:val="none"/>
              </w:rPr>
            </w:pPr>
            <w:r>
              <w:rPr>
                <w:rFonts w:hint="eastAsia" w:ascii="方正小标宋_GBK" w:hAnsi="方正小标宋_GBK" w:eastAsia="方正小标宋_GBK" w:cs="方正小标宋_GBK"/>
                <w:color w:val="000000"/>
                <w:kern w:val="0"/>
                <w:sz w:val="32"/>
                <w:szCs w:val="32"/>
                <w:highlight w:val="none"/>
              </w:rPr>
              <w:t>一般公共预算项目支出情况表</w:t>
            </w:r>
          </w:p>
        </w:tc>
      </w:tr>
      <w:tr>
        <w:tblPrEx>
          <w:tblCellMar>
            <w:top w:w="0" w:type="dxa"/>
            <w:left w:w="108" w:type="dxa"/>
            <w:bottom w:w="0" w:type="dxa"/>
            <w:right w:w="108" w:type="dxa"/>
          </w:tblCellMar>
        </w:tblPrEx>
        <w:trPr>
          <w:gridBefore w:val="1"/>
          <w:gridAfter w:val="1"/>
          <w:wBefore w:w="11" w:type="dxa"/>
          <w:wAfter w:w="76"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编制部门（单位）：</w:t>
            </w:r>
            <w:r>
              <w:rPr>
                <w:rFonts w:hint="eastAsia" w:ascii="仿宋_GB2312" w:hAnsi="宋体" w:eastAsia="仿宋_GB2312" w:cs="宋体"/>
                <w:color w:val="000000"/>
                <w:kern w:val="0"/>
                <w:sz w:val="24"/>
                <w:highlight w:val="none"/>
                <w:lang w:val="en-US" w:eastAsia="zh-CN"/>
              </w:rPr>
              <w:t>昌吉回族自治州交通运输综合行政执法局</w:t>
            </w:r>
          </w:p>
        </w:tc>
        <w:tc>
          <w:tcPr>
            <w:tcW w:w="969"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160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w:t>
            </w:r>
          </w:p>
        </w:tc>
        <w:tc>
          <w:tcPr>
            <w:tcW w:w="2530"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23" w:type="dxa"/>
            <w:gridSpan w:val="4"/>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 目 编 码</w:t>
            </w:r>
          </w:p>
        </w:tc>
        <w:tc>
          <w:tcPr>
            <w:tcW w:w="78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科目</w:t>
            </w:r>
          </w:p>
        </w:tc>
        <w:tc>
          <w:tcPr>
            <w:tcW w:w="1322" w:type="dxa"/>
            <w:vMerge w:val="restart"/>
            <w:vAlign w:val="center"/>
          </w:tcPr>
          <w:p>
            <w:pPr>
              <w:jc w:val="center"/>
              <w:rPr>
                <w:rFonts w:ascii="Calibri" w:hAnsi="Calibri"/>
                <w:sz w:val="24"/>
                <w:highlight w:val="none"/>
              </w:rPr>
            </w:pPr>
            <w:r>
              <w:rPr>
                <w:rFonts w:hint="eastAsia" w:ascii="仿宋_GB2312" w:hAnsi="宋体" w:eastAsia="仿宋_GB2312"/>
                <w:b/>
                <w:kern w:val="0"/>
                <w:sz w:val="24"/>
                <w:highlight w:val="none"/>
              </w:rPr>
              <w:t>项目名称</w:t>
            </w:r>
          </w:p>
        </w:tc>
        <w:tc>
          <w:tcPr>
            <w:tcW w:w="71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项目支出合计</w:t>
            </w:r>
          </w:p>
        </w:tc>
        <w:tc>
          <w:tcPr>
            <w:tcW w:w="543"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工资福利支出</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商品和服务支出</w:t>
            </w:r>
          </w:p>
        </w:tc>
        <w:tc>
          <w:tcPr>
            <w:tcW w:w="61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对个人和家庭的补助</w:t>
            </w:r>
          </w:p>
        </w:tc>
        <w:tc>
          <w:tcPr>
            <w:tcW w:w="613"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资本性支出（基本建设）</w:t>
            </w:r>
          </w:p>
        </w:tc>
        <w:tc>
          <w:tcPr>
            <w:tcW w:w="53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资本性支出</w:t>
            </w:r>
          </w:p>
        </w:tc>
        <w:tc>
          <w:tcPr>
            <w:tcW w:w="578"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对企业补助（基本建设）</w:t>
            </w:r>
          </w:p>
        </w:tc>
        <w:tc>
          <w:tcPr>
            <w:tcW w:w="41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对企业补助</w:t>
            </w:r>
          </w:p>
        </w:tc>
        <w:tc>
          <w:tcPr>
            <w:tcW w:w="416" w:type="dxa"/>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对社会保障基金补助</w:t>
            </w:r>
          </w:p>
        </w:tc>
        <w:tc>
          <w:tcPr>
            <w:tcW w:w="460" w:type="dxa"/>
            <w:gridSpan w:val="2"/>
            <w:vMerge w:val="restart"/>
            <w:vAlign w:val="center"/>
          </w:tcPr>
          <w:p>
            <w:pPr>
              <w:widowControl/>
              <w:jc w:val="center"/>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1" w:type="dxa"/>
            <w:gridSpan w:val="2"/>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类</w:t>
            </w:r>
          </w:p>
        </w:tc>
        <w:tc>
          <w:tcPr>
            <w:tcW w:w="43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款</w:t>
            </w:r>
          </w:p>
        </w:tc>
        <w:tc>
          <w:tcPr>
            <w:tcW w:w="436" w:type="dxa"/>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r>
              <w:rPr>
                <w:rFonts w:hint="eastAsia" w:ascii="仿宋_GB2312" w:hAnsi="宋体" w:eastAsia="仿宋_GB2312"/>
                <w:b/>
                <w:kern w:val="0"/>
                <w:sz w:val="18"/>
                <w:szCs w:val="18"/>
                <w:highlight w:val="none"/>
              </w:rPr>
              <w:t>项</w:t>
            </w:r>
          </w:p>
        </w:tc>
        <w:tc>
          <w:tcPr>
            <w:tcW w:w="788"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highlight w:val="none"/>
              </w:rPr>
            </w:pPr>
          </w:p>
        </w:tc>
        <w:tc>
          <w:tcPr>
            <w:tcW w:w="1322"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71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43"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1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613"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16" w:type="dxa"/>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c>
          <w:tcPr>
            <w:tcW w:w="460"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436" w:type="dxa"/>
            <w:vAlign w:val="center"/>
          </w:tcPr>
          <w:p>
            <w:pPr>
              <w:jc w:val="left"/>
              <w:rPr>
                <w:rFonts w:ascii="仿宋_GB2312" w:hAnsi="宋体" w:eastAsia="仿宋_GB2312"/>
                <w:kern w:val="0"/>
                <w:sz w:val="32"/>
                <w:szCs w:val="32"/>
                <w:highlight w:val="none"/>
              </w:rPr>
            </w:pPr>
          </w:p>
        </w:tc>
        <w:tc>
          <w:tcPr>
            <w:tcW w:w="436" w:type="dxa"/>
            <w:vAlign w:val="center"/>
          </w:tcPr>
          <w:p>
            <w:pPr>
              <w:jc w:val="left"/>
              <w:rPr>
                <w:rFonts w:ascii="仿宋_GB2312" w:hAnsi="宋体" w:eastAsia="仿宋_GB2312"/>
                <w:kern w:val="0"/>
                <w:sz w:val="32"/>
                <w:szCs w:val="32"/>
                <w:highlight w:val="none"/>
              </w:rPr>
            </w:pPr>
          </w:p>
        </w:tc>
        <w:tc>
          <w:tcPr>
            <w:tcW w:w="788" w:type="dxa"/>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1322" w:type="dxa"/>
          </w:tcPr>
          <w:p>
            <w:pPr>
              <w:widowControl/>
              <w:jc w:val="center"/>
              <w:outlineLvl w:val="1"/>
              <w:rPr>
                <w:rFonts w:ascii="仿宋_GB2312" w:hAnsi="宋体" w:eastAsia="仿宋_GB2312"/>
                <w:kern w:val="0"/>
                <w:sz w:val="32"/>
                <w:szCs w:val="32"/>
                <w:highlight w:val="none"/>
              </w:rPr>
            </w:pPr>
          </w:p>
        </w:tc>
        <w:tc>
          <w:tcPr>
            <w:tcW w:w="718" w:type="dxa"/>
          </w:tcPr>
          <w:p>
            <w:pPr>
              <w:widowControl/>
              <w:jc w:val="right"/>
              <w:outlineLvl w:val="1"/>
              <w:rPr>
                <w:rFonts w:hint="default" w:ascii="仿宋_GB2312" w:hAnsi="宋体" w:eastAsia="仿宋_GB2312"/>
                <w:kern w:val="0"/>
                <w:sz w:val="32"/>
                <w:szCs w:val="32"/>
                <w:highlight w:val="none"/>
                <w:lang w:val="en-US" w:eastAsia="zh-CN"/>
              </w:rPr>
            </w:pPr>
          </w:p>
        </w:tc>
        <w:tc>
          <w:tcPr>
            <w:tcW w:w="543"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hint="default" w:ascii="仿宋_GB2312" w:hAnsi="宋体" w:eastAsia="仿宋_GB2312"/>
                <w:kern w:val="0"/>
                <w:sz w:val="32"/>
                <w:szCs w:val="32"/>
                <w:highlight w:val="none"/>
                <w:lang w:val="en-US" w:eastAsia="zh-CN"/>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436"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p>
        </w:tc>
        <w:tc>
          <w:tcPr>
            <w:tcW w:w="436" w:type="dxa"/>
            <w:vAlign w:val="center"/>
          </w:tcPr>
          <w:p>
            <w:pPr>
              <w:jc w:val="left"/>
              <w:rPr>
                <w:rFonts w:ascii="仿宋_GB2312" w:hAnsi="宋体" w:eastAsia="仿宋_GB2312"/>
                <w:kern w:val="0"/>
                <w:sz w:val="32"/>
                <w:szCs w:val="32"/>
                <w:highlight w:val="none"/>
              </w:rPr>
            </w:pPr>
          </w:p>
        </w:tc>
        <w:tc>
          <w:tcPr>
            <w:tcW w:w="788" w:type="dxa"/>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1322" w:type="dxa"/>
          </w:tcPr>
          <w:p>
            <w:pPr>
              <w:widowControl/>
              <w:jc w:val="center"/>
              <w:outlineLvl w:val="1"/>
              <w:rPr>
                <w:rFonts w:ascii="仿宋_GB2312" w:hAnsi="宋体" w:eastAsia="仿宋_GB2312"/>
                <w:kern w:val="0"/>
                <w:sz w:val="32"/>
                <w:szCs w:val="32"/>
                <w:highlight w:val="none"/>
              </w:rPr>
            </w:pPr>
          </w:p>
        </w:tc>
        <w:tc>
          <w:tcPr>
            <w:tcW w:w="718" w:type="dxa"/>
          </w:tcPr>
          <w:p>
            <w:pPr>
              <w:widowControl/>
              <w:jc w:val="right"/>
              <w:outlineLvl w:val="1"/>
              <w:rPr>
                <w:rFonts w:hint="default" w:ascii="仿宋_GB2312" w:hAnsi="宋体" w:eastAsia="仿宋_GB2312"/>
                <w:kern w:val="0"/>
                <w:sz w:val="32"/>
                <w:szCs w:val="32"/>
                <w:highlight w:val="none"/>
                <w:lang w:val="en-US" w:eastAsia="zh-CN"/>
              </w:rPr>
            </w:pPr>
          </w:p>
        </w:tc>
        <w:tc>
          <w:tcPr>
            <w:tcW w:w="543"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436"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p>
        </w:tc>
        <w:tc>
          <w:tcPr>
            <w:tcW w:w="436" w:type="dxa"/>
            <w:vAlign w:val="center"/>
          </w:tcPr>
          <w:p>
            <w:pPr>
              <w:keepNext w:val="0"/>
              <w:keepLines w:val="0"/>
              <w:widowControl/>
              <w:suppressLineNumbers w:val="0"/>
              <w:jc w:val="left"/>
              <w:textAlignment w:val="center"/>
              <w:rPr>
                <w:rFonts w:ascii="仿宋_GB2312" w:hAnsi="宋体" w:eastAsia="仿宋_GB2312"/>
                <w:kern w:val="0"/>
                <w:sz w:val="32"/>
                <w:szCs w:val="32"/>
                <w:highlight w:val="none"/>
              </w:rPr>
            </w:pPr>
          </w:p>
        </w:tc>
        <w:tc>
          <w:tcPr>
            <w:tcW w:w="788" w:type="dxa"/>
            <w:vAlign w:val="top"/>
          </w:tcPr>
          <w:p>
            <w:pPr>
              <w:keepNext w:val="0"/>
              <w:keepLines w:val="0"/>
              <w:widowControl/>
              <w:suppressLineNumbers w:val="0"/>
              <w:jc w:val="left"/>
              <w:textAlignment w:val="top"/>
              <w:rPr>
                <w:rFonts w:ascii="仿宋_GB2312" w:hAnsi="宋体" w:eastAsia="仿宋_GB2312"/>
                <w:kern w:val="0"/>
                <w:sz w:val="32"/>
                <w:szCs w:val="32"/>
                <w:highlight w:val="none"/>
              </w:rPr>
            </w:pPr>
          </w:p>
        </w:tc>
        <w:tc>
          <w:tcPr>
            <w:tcW w:w="1322" w:type="dxa"/>
          </w:tcPr>
          <w:p>
            <w:pPr>
              <w:widowControl/>
              <w:jc w:val="center"/>
              <w:outlineLvl w:val="1"/>
              <w:rPr>
                <w:rFonts w:ascii="仿宋_GB2312" w:hAnsi="宋体" w:eastAsia="仿宋_GB2312"/>
                <w:kern w:val="0"/>
                <w:sz w:val="32"/>
                <w:szCs w:val="32"/>
                <w:highlight w:val="none"/>
              </w:rPr>
            </w:pPr>
          </w:p>
        </w:tc>
        <w:tc>
          <w:tcPr>
            <w:tcW w:w="718" w:type="dxa"/>
          </w:tcPr>
          <w:p>
            <w:pPr>
              <w:widowControl/>
              <w:jc w:val="right"/>
              <w:outlineLvl w:val="1"/>
              <w:rPr>
                <w:rFonts w:hint="eastAsia" w:ascii="仿宋_GB2312" w:hAnsi="宋体" w:eastAsia="仿宋_GB2312"/>
                <w:kern w:val="0"/>
                <w:sz w:val="32"/>
                <w:szCs w:val="32"/>
                <w:highlight w:val="none"/>
                <w:lang w:val="en-US" w:eastAsia="zh-CN"/>
              </w:rPr>
            </w:pPr>
          </w:p>
        </w:tc>
        <w:tc>
          <w:tcPr>
            <w:tcW w:w="543"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hint="eastAsia" w:ascii="仿宋_GB2312" w:hAnsi="宋体" w:eastAsia="仿宋_GB2312"/>
                <w:kern w:val="0"/>
                <w:sz w:val="32"/>
                <w:szCs w:val="32"/>
                <w:highlight w:val="none"/>
                <w:lang w:val="en-US" w:eastAsia="zh-CN"/>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ascii="仿宋_GB2312" w:hAnsi="宋体" w:eastAsia="仿宋_GB2312"/>
                <w:kern w:val="0"/>
                <w:sz w:val="32"/>
                <w:szCs w:val="32"/>
                <w:highlight w:val="none"/>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1" w:type="dxa"/>
            <w:gridSpan w:val="2"/>
          </w:tcPr>
          <w:p>
            <w:pPr>
              <w:widowControl/>
              <w:jc w:val="center"/>
              <w:outlineLvl w:val="1"/>
              <w:rPr>
                <w:rFonts w:ascii="仿宋_GB2312" w:hAnsi="宋体" w:eastAsia="仿宋_GB2312"/>
                <w:kern w:val="0"/>
                <w:sz w:val="32"/>
                <w:szCs w:val="32"/>
                <w:highlight w:val="none"/>
              </w:rPr>
            </w:pPr>
          </w:p>
        </w:tc>
        <w:tc>
          <w:tcPr>
            <w:tcW w:w="436" w:type="dxa"/>
          </w:tcPr>
          <w:p>
            <w:pPr>
              <w:widowControl/>
              <w:jc w:val="center"/>
              <w:outlineLvl w:val="1"/>
              <w:rPr>
                <w:rFonts w:ascii="仿宋_GB2312" w:hAnsi="宋体" w:eastAsia="仿宋_GB2312"/>
                <w:kern w:val="0"/>
                <w:sz w:val="32"/>
                <w:szCs w:val="32"/>
                <w:highlight w:val="none"/>
              </w:rPr>
            </w:pPr>
          </w:p>
        </w:tc>
        <w:tc>
          <w:tcPr>
            <w:tcW w:w="436" w:type="dxa"/>
          </w:tcPr>
          <w:p>
            <w:pPr>
              <w:widowControl/>
              <w:jc w:val="center"/>
              <w:outlineLvl w:val="1"/>
              <w:rPr>
                <w:rFonts w:ascii="仿宋_GB2312" w:hAnsi="宋体" w:eastAsia="仿宋_GB2312"/>
                <w:kern w:val="0"/>
                <w:sz w:val="32"/>
                <w:szCs w:val="32"/>
                <w:highlight w:val="none"/>
              </w:rPr>
            </w:pPr>
          </w:p>
        </w:tc>
        <w:tc>
          <w:tcPr>
            <w:tcW w:w="788" w:type="dxa"/>
          </w:tcPr>
          <w:p>
            <w:pPr>
              <w:widowControl/>
              <w:jc w:val="center"/>
              <w:outlineLvl w:val="1"/>
              <w:rPr>
                <w:rFonts w:ascii="仿宋_GB2312" w:hAnsi="宋体" w:eastAsia="仿宋_GB2312"/>
                <w:kern w:val="0"/>
                <w:sz w:val="32"/>
                <w:szCs w:val="32"/>
                <w:highlight w:val="none"/>
              </w:rPr>
            </w:pPr>
          </w:p>
        </w:tc>
        <w:tc>
          <w:tcPr>
            <w:tcW w:w="1322" w:type="dxa"/>
            <w:vAlign w:val="center"/>
          </w:tcPr>
          <w:p>
            <w:pPr>
              <w:widowControl/>
              <w:jc w:val="center"/>
              <w:outlineLvl w:val="1"/>
              <w:rPr>
                <w:rFonts w:hint="eastAsia" w:ascii="仿宋_GB2312" w:hAnsi="宋体" w:eastAsia="仿宋_GB2312"/>
                <w:b/>
                <w:bCs/>
                <w:kern w:val="0"/>
                <w:szCs w:val="21"/>
                <w:highlight w:val="none"/>
              </w:rPr>
            </w:pPr>
            <w:r>
              <w:rPr>
                <w:rFonts w:hint="eastAsia" w:ascii="仿宋_GB2312" w:hAnsi="宋体" w:eastAsia="仿宋_GB2312"/>
                <w:b/>
                <w:bCs/>
                <w:kern w:val="0"/>
                <w:szCs w:val="21"/>
                <w:highlight w:val="none"/>
              </w:rPr>
              <w:t>合 计</w:t>
            </w:r>
          </w:p>
        </w:tc>
        <w:tc>
          <w:tcPr>
            <w:tcW w:w="718" w:type="dxa"/>
            <w:vAlign w:val="center"/>
          </w:tcPr>
          <w:p>
            <w:pPr>
              <w:widowControl/>
              <w:jc w:val="right"/>
              <w:outlineLvl w:val="1"/>
              <w:rPr>
                <w:rFonts w:hint="default" w:ascii="仿宋_GB2312" w:hAnsi="宋体" w:eastAsia="仿宋_GB2312"/>
                <w:kern w:val="0"/>
                <w:szCs w:val="21"/>
                <w:highlight w:val="none"/>
                <w:lang w:val="en-US" w:eastAsia="zh-CN"/>
              </w:rPr>
            </w:pPr>
          </w:p>
        </w:tc>
        <w:tc>
          <w:tcPr>
            <w:tcW w:w="543"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hint="default" w:ascii="仿宋_GB2312" w:hAnsi="宋体" w:eastAsia="仿宋_GB2312"/>
                <w:kern w:val="0"/>
                <w:sz w:val="32"/>
                <w:szCs w:val="32"/>
                <w:highlight w:val="none"/>
                <w:lang w:val="en-US" w:eastAsia="zh-CN"/>
              </w:rPr>
            </w:pPr>
          </w:p>
        </w:tc>
        <w:tc>
          <w:tcPr>
            <w:tcW w:w="613" w:type="dxa"/>
          </w:tcPr>
          <w:p>
            <w:pPr>
              <w:widowControl/>
              <w:jc w:val="right"/>
              <w:outlineLvl w:val="1"/>
              <w:rPr>
                <w:rFonts w:ascii="仿宋_GB2312" w:hAnsi="宋体" w:eastAsia="仿宋_GB2312"/>
                <w:kern w:val="0"/>
                <w:sz w:val="32"/>
                <w:szCs w:val="32"/>
                <w:highlight w:val="none"/>
              </w:rPr>
            </w:pPr>
          </w:p>
        </w:tc>
        <w:tc>
          <w:tcPr>
            <w:tcW w:w="613" w:type="dxa"/>
          </w:tcPr>
          <w:p>
            <w:pPr>
              <w:widowControl/>
              <w:jc w:val="right"/>
              <w:outlineLvl w:val="1"/>
              <w:rPr>
                <w:rFonts w:ascii="仿宋_GB2312" w:hAnsi="宋体" w:eastAsia="仿宋_GB2312"/>
                <w:kern w:val="0"/>
                <w:sz w:val="32"/>
                <w:szCs w:val="32"/>
                <w:highlight w:val="none"/>
              </w:rPr>
            </w:pPr>
          </w:p>
        </w:tc>
        <w:tc>
          <w:tcPr>
            <w:tcW w:w="578" w:type="dxa"/>
            <w:gridSpan w:val="2"/>
          </w:tcPr>
          <w:p>
            <w:pPr>
              <w:widowControl/>
              <w:jc w:val="right"/>
              <w:outlineLvl w:val="1"/>
              <w:rPr>
                <w:rFonts w:ascii="仿宋_GB2312" w:hAnsi="宋体" w:eastAsia="仿宋_GB2312"/>
                <w:kern w:val="0"/>
                <w:sz w:val="32"/>
                <w:szCs w:val="32"/>
                <w:highlight w:val="none"/>
              </w:rPr>
            </w:pPr>
          </w:p>
        </w:tc>
        <w:tc>
          <w:tcPr>
            <w:tcW w:w="536" w:type="dxa"/>
          </w:tcPr>
          <w:p>
            <w:pPr>
              <w:widowControl/>
              <w:jc w:val="right"/>
              <w:outlineLvl w:val="1"/>
              <w:rPr>
                <w:rFonts w:hint="default" w:ascii="仿宋_GB2312" w:hAnsi="宋体" w:eastAsia="仿宋_GB2312"/>
                <w:kern w:val="0"/>
                <w:sz w:val="32"/>
                <w:szCs w:val="32"/>
                <w:highlight w:val="none"/>
                <w:lang w:val="en-US" w:eastAsia="zh-CN"/>
              </w:rPr>
            </w:pPr>
          </w:p>
        </w:tc>
        <w:tc>
          <w:tcPr>
            <w:tcW w:w="578"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16" w:type="dxa"/>
          </w:tcPr>
          <w:p>
            <w:pPr>
              <w:widowControl/>
              <w:jc w:val="right"/>
              <w:outlineLvl w:val="1"/>
              <w:rPr>
                <w:rFonts w:ascii="仿宋_GB2312" w:hAnsi="宋体" w:eastAsia="仿宋_GB2312"/>
                <w:kern w:val="0"/>
                <w:sz w:val="32"/>
                <w:szCs w:val="32"/>
                <w:highlight w:val="none"/>
              </w:rPr>
            </w:pPr>
          </w:p>
        </w:tc>
        <w:tc>
          <w:tcPr>
            <w:tcW w:w="460" w:type="dxa"/>
            <w:gridSpan w:val="2"/>
          </w:tcPr>
          <w:p>
            <w:pPr>
              <w:widowControl/>
              <w:jc w:val="right"/>
              <w:outlineLvl w:val="1"/>
              <w:rPr>
                <w:rFonts w:ascii="仿宋_GB2312" w:hAnsi="宋体" w:eastAsia="仿宋_GB2312"/>
                <w:kern w:val="0"/>
                <w:sz w:val="32"/>
                <w:szCs w:val="32"/>
                <w:highlight w:val="none"/>
              </w:rPr>
            </w:pPr>
          </w:p>
        </w:tc>
      </w:tr>
    </w:tbl>
    <w:p>
      <w:pPr>
        <w:widowControl/>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备注：我单位无项目支出预算，此表为空表</w:t>
      </w:r>
    </w:p>
    <w:p>
      <w:pPr>
        <w:widowControl/>
        <w:jc w:val="left"/>
        <w:textAlignment w:val="bottom"/>
        <w:rPr>
          <w:rFonts w:hint="eastAsia"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表8</w:t>
      </w:r>
    </w:p>
    <w:p>
      <w:pPr>
        <w:widowControl/>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一般公共预算“三公”经费支出情况表</w:t>
      </w:r>
    </w:p>
    <w:p>
      <w:pPr>
        <w:widowControl/>
        <w:jc w:val="center"/>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cs="宋体"/>
          <w:color w:val="000000"/>
          <w:kern w:val="0"/>
          <w:sz w:val="24"/>
          <w:highlight w:val="none"/>
          <w:lang w:val="en-US" w:eastAsia="zh-CN"/>
        </w:rPr>
        <w:t>昌吉回族自治州交通运输综合行政执法局</w:t>
      </w:r>
      <w:r>
        <w:rPr>
          <w:rFonts w:hint="eastAsia" w:ascii="仿宋_GB2312" w:hAnsi="宋体" w:eastAsia="仿宋_GB2312"/>
          <w:kern w:val="0"/>
          <w:sz w:val="24"/>
          <w:highlight w:val="none"/>
        </w:rPr>
        <w:t xml:space="preserve">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16</w:t>
            </w:r>
            <w:r>
              <w:rPr>
                <w:rFonts w:hint="eastAsia" w:ascii="仿宋_GB2312" w:hAnsi="宋体" w:eastAsia="仿宋_GB2312" w:cs="宋体"/>
                <w:b/>
                <w:bCs/>
                <w:color w:val="000000"/>
                <w:kern w:val="0"/>
                <w:sz w:val="22"/>
                <w:szCs w:val="22"/>
                <w:highlight w:val="none"/>
              </w:rPr>
              <w:t>　</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15</w:t>
            </w:r>
            <w:r>
              <w:rPr>
                <w:rFonts w:hint="eastAsia" w:ascii="仿宋_GB2312" w:hAnsi="宋体" w:eastAsia="仿宋_GB2312" w:cs="宋体"/>
                <w:b/>
                <w:bCs/>
                <w:color w:val="000000"/>
                <w:kern w:val="0"/>
                <w:sz w:val="22"/>
                <w:szCs w:val="22"/>
                <w:highlight w:val="none"/>
              </w:rPr>
              <w:t>　</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15</w:t>
            </w:r>
            <w:r>
              <w:rPr>
                <w:rFonts w:hint="eastAsia" w:ascii="仿宋_GB2312" w:hAnsi="宋体" w:eastAsia="仿宋_GB2312" w:cs="宋体"/>
                <w:b/>
                <w:bCs/>
                <w:color w:val="000000"/>
                <w:kern w:val="0"/>
                <w:sz w:val="22"/>
                <w:szCs w:val="22"/>
                <w:highlight w:val="none"/>
              </w:rPr>
              <w:t>　</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2"/>
                <w:szCs w:val="22"/>
                <w:highlight w:val="none"/>
              </w:rPr>
            </w:pPr>
            <w:r>
              <w:rPr>
                <w:rFonts w:hint="eastAsia" w:ascii="仿宋_GB2312" w:hAnsi="宋体" w:eastAsia="仿宋_GB2312" w:cs="宋体"/>
                <w:b/>
                <w:bCs/>
                <w:color w:val="000000"/>
                <w:kern w:val="0"/>
                <w:sz w:val="22"/>
                <w:szCs w:val="22"/>
                <w:highlight w:val="none"/>
                <w:lang w:val="en-US" w:eastAsia="zh-CN"/>
              </w:rPr>
              <w:t>1</w:t>
            </w:r>
            <w:r>
              <w:rPr>
                <w:rFonts w:hint="eastAsia" w:ascii="仿宋_GB2312" w:hAnsi="宋体" w:eastAsia="仿宋_GB2312" w:cs="宋体"/>
                <w:b/>
                <w:bCs/>
                <w:color w:val="000000"/>
                <w:kern w:val="0"/>
                <w:sz w:val="22"/>
                <w:szCs w:val="22"/>
                <w:highlight w:val="none"/>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highlight w:val="none"/>
              </w:rPr>
            </w:pPr>
            <w:r>
              <w:rPr>
                <w:rFonts w:hint="eastAsia" w:ascii="宋体" w:hAnsi="宋体" w:cs="宋体"/>
                <w:color w:val="000000"/>
                <w:kern w:val="0"/>
                <w:sz w:val="24"/>
                <w:highlight w:val="none"/>
              </w:rPr>
              <w:t>　</w:t>
            </w:r>
          </w:p>
        </w:tc>
      </w:tr>
    </w:tbl>
    <w:p>
      <w:pPr>
        <w:widowControl/>
        <w:outlineLvl w:val="1"/>
        <w:rPr>
          <w:rFonts w:ascii="仿宋_GB2312" w:hAnsi="宋体" w:eastAsia="仿宋_GB2312"/>
          <w:kern w:val="0"/>
          <w:sz w:val="32"/>
          <w:szCs w:val="32"/>
          <w:highlight w:val="none"/>
        </w:rPr>
      </w:pPr>
      <w:r>
        <w:rPr>
          <w:rFonts w:hint="eastAsia" w:ascii="仿宋_GB2312" w:hAnsi="宋体" w:eastAsia="仿宋_GB2312"/>
          <w:b/>
          <w:kern w:val="0"/>
          <w:sz w:val="28"/>
          <w:szCs w:val="32"/>
          <w:highlight w:val="none"/>
        </w:rPr>
        <w:t>备注：无内容应公开空表并说明情况。</w:t>
      </w:r>
    </w:p>
    <w:p>
      <w:pPr>
        <w:widowControl/>
        <w:jc w:val="left"/>
        <w:textAlignment w:val="bottom"/>
        <w:rPr>
          <w:rFonts w:ascii="宋体" w:hAnsi="宋体" w:cs="宋体"/>
          <w:color w:val="000000"/>
          <w:kern w:val="0"/>
          <w:sz w:val="20"/>
          <w:szCs w:val="20"/>
          <w:highlight w:val="none"/>
          <w:lang w:bidi="ar"/>
        </w:rPr>
      </w:pPr>
    </w:p>
    <w:p>
      <w:pPr>
        <w:widowControl/>
        <w:jc w:val="left"/>
        <w:textAlignment w:val="bottom"/>
        <w:rPr>
          <w:rFonts w:ascii="宋体" w:hAnsi="宋体" w:cs="宋体"/>
          <w:color w:val="000000"/>
          <w:kern w:val="0"/>
          <w:sz w:val="20"/>
          <w:szCs w:val="20"/>
          <w:highlight w:val="none"/>
          <w:lang w:bidi="ar"/>
        </w:rPr>
      </w:pPr>
      <w:r>
        <w:rPr>
          <w:rFonts w:hint="eastAsia" w:ascii="宋体" w:hAnsi="宋体" w:cs="宋体"/>
          <w:color w:val="000000"/>
          <w:kern w:val="0"/>
          <w:sz w:val="20"/>
          <w:szCs w:val="20"/>
          <w:highlight w:val="none"/>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highlight w:val="none"/>
        </w:rPr>
      </w:pPr>
      <w:r>
        <w:rPr>
          <w:rFonts w:hint="eastAsia" w:ascii="方正小标宋_GBK" w:hAnsi="方正小标宋_GBK" w:eastAsia="方正小标宋_GBK" w:cs="方正小标宋_GBK"/>
          <w:bCs/>
          <w:kern w:val="0"/>
          <w:sz w:val="32"/>
          <w:szCs w:val="32"/>
          <w:highlight w:val="none"/>
        </w:rPr>
        <w:t>政府性基金预算支出情况表</w:t>
      </w:r>
    </w:p>
    <w:p>
      <w:pPr>
        <w:widowControl/>
        <w:spacing w:line="280" w:lineRule="exact"/>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编制部门（单位）：</w:t>
      </w:r>
      <w:r>
        <w:rPr>
          <w:rFonts w:hint="eastAsia" w:ascii="仿宋_GB2312" w:hAnsi="宋体" w:eastAsia="仿宋_GB2312" w:cs="宋体"/>
          <w:color w:val="000000"/>
          <w:kern w:val="0"/>
          <w:sz w:val="24"/>
          <w:highlight w:val="none"/>
          <w:lang w:val="en-US" w:eastAsia="zh-CN"/>
        </w:rPr>
        <w:t>昌吉回族自治州交通运输综合行政执法局</w:t>
      </w:r>
      <w:r>
        <w:rPr>
          <w:rFonts w:hint="eastAsia" w:ascii="仿宋_GB2312" w:hAnsi="宋体" w:eastAsia="仿宋_GB2312"/>
          <w:kern w:val="0"/>
          <w:sz w:val="24"/>
          <w:highlight w:val="none"/>
        </w:rPr>
        <w:t xml:space="preserve">          单位：万元                                </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highlight w:val="none"/>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highlight w:val="none"/>
              </w:rPr>
            </w:pPr>
            <w:r>
              <w:rPr>
                <w:rFonts w:hint="eastAsia" w:ascii="仿宋_GB2312" w:hAnsi="宋体" w:eastAsia="仿宋_GB2312" w:cs="宋体"/>
                <w:b/>
                <w:bCs/>
                <w:color w:val="000000"/>
                <w:kern w:val="0"/>
                <w:sz w:val="24"/>
                <w:highlight w:val="none"/>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bl>
    <w:p>
      <w:pPr>
        <w:widowControl/>
        <w:spacing w:line="280" w:lineRule="exact"/>
        <w:outlineLvl w:val="1"/>
        <w:rPr>
          <w:rFonts w:ascii="仿宋_GB2312" w:hAnsi="宋体" w:eastAsia="仿宋_GB2312"/>
          <w:b/>
          <w:kern w:val="0"/>
          <w:sz w:val="28"/>
          <w:szCs w:val="32"/>
          <w:highlight w:val="none"/>
        </w:rPr>
      </w:pPr>
      <w:r>
        <w:rPr>
          <w:rFonts w:hint="eastAsia" w:ascii="仿宋_GB2312" w:hAnsi="宋体" w:eastAsia="仿宋_GB2312"/>
          <w:b/>
          <w:kern w:val="0"/>
          <w:sz w:val="28"/>
          <w:szCs w:val="32"/>
          <w:highlight w:val="none"/>
        </w:rPr>
        <w:t>备注：我单位无政府性基金预算，此表为空表。</w:t>
      </w:r>
    </w:p>
    <w:p>
      <w:pPr>
        <w:widowControl/>
        <w:spacing w:line="280" w:lineRule="exact"/>
        <w:jc w:val="left"/>
        <w:outlineLvl w:val="1"/>
        <w:rPr>
          <w:rFonts w:ascii="仿宋_GB2312" w:hAnsi="宋体" w:eastAsia="仿宋_GB2312"/>
          <w:kern w:val="0"/>
          <w:sz w:val="32"/>
          <w:szCs w:val="32"/>
          <w:highlight w:val="none"/>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第三部分  2022年部门（单位）预算情况说明</w:t>
      </w:r>
    </w:p>
    <w:p>
      <w:pPr>
        <w:spacing w:line="560" w:lineRule="exact"/>
        <w:ind w:firstLine="640" w:firstLineChars="200"/>
        <w:rPr>
          <w:rFonts w:ascii="黑体" w:hAnsi="黑体" w:eastAsia="黑体"/>
          <w:kern w:val="0"/>
          <w:sz w:val="32"/>
          <w:szCs w:val="32"/>
          <w:highlight w:val="none"/>
        </w:rPr>
      </w:pPr>
    </w:p>
    <w:p>
      <w:pPr>
        <w:spacing w:line="560" w:lineRule="exact"/>
        <w:ind w:firstLine="643" w:firstLineChars="200"/>
        <w:rPr>
          <w:rFonts w:ascii="楷体_GB2312" w:hAnsi="楷体_GB2312" w:eastAsia="楷体_GB2312" w:cs="楷体_GB2312"/>
          <w:b/>
          <w:kern w:val="0"/>
          <w:sz w:val="32"/>
          <w:szCs w:val="32"/>
          <w:highlight w:val="none"/>
        </w:rPr>
      </w:pPr>
      <w:r>
        <w:rPr>
          <w:rFonts w:hint="eastAsia" w:ascii="楷体_GB2312" w:hAnsi="楷体_GB2312" w:eastAsia="楷体_GB2312" w:cs="楷体_GB2312"/>
          <w:b/>
          <w:kern w:val="0"/>
          <w:sz w:val="32"/>
          <w:szCs w:val="32"/>
          <w:highlight w:val="none"/>
        </w:rPr>
        <w:t>一、关于昌吉回族自治州交通运输综合行政执法局2022年收支预算情况的总体说明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按照全口径预算的原则，昌吉回族自治州交通运输综合行政执法局2022年所有收入和支出均纳入部门（单位）预算管理。收支总预算</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支出预算包括：社会保障和就业支出、医疗卫生健康支出、交通运输支出、住房保障支出</w:t>
      </w:r>
      <w:r>
        <w:rPr>
          <w:rFonts w:hint="eastAsia" w:ascii="仿宋_GB2312" w:hAnsi="宋体" w:eastAsia="仿宋_GB2312" w:cs="宋体"/>
          <w:kern w:val="0"/>
          <w:sz w:val="32"/>
          <w:szCs w:val="32"/>
          <w:highlight w:val="none"/>
          <w:lang w:eastAsia="zh-CN"/>
        </w:rPr>
        <w:t>等</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二、关于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kern w:val="0"/>
          <w:sz w:val="32"/>
          <w:szCs w:val="32"/>
          <w:highlight w:val="none"/>
        </w:rPr>
        <w:t>2022年收入预算情况说明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昌吉回族自治州交通运输综合行政执法局收入预算</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25.44</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6.42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人员增加，费用随之增加</w:t>
      </w:r>
      <w:r>
        <w:rPr>
          <w:rFonts w:hint="eastAsia" w:ascii="仿宋_GB2312" w:hAnsi="宋体" w:eastAsia="仿宋_GB2312" w:cs="宋体"/>
          <w:kern w:val="0"/>
          <w:sz w:val="32"/>
          <w:szCs w:val="32"/>
          <w:highlight w:val="none"/>
        </w:rPr>
        <w:t xml:space="preserve">；    </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三、关于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kern w:val="0"/>
          <w:sz w:val="32"/>
          <w:szCs w:val="32"/>
          <w:highlight w:val="none"/>
        </w:rPr>
        <w:t>2022年支出预算情况说明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昌吉回族自治州交通运输综合行政执法局2022年支出预算</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元，其中：</w:t>
      </w:r>
    </w:p>
    <w:p>
      <w:pPr>
        <w:spacing w:line="560" w:lineRule="exact"/>
        <w:ind w:firstLine="640" w:firstLineChars="20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100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25.44</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6.42</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人员增加，费用随之增加</w:t>
      </w:r>
      <w:r>
        <w:rPr>
          <w:rFonts w:hint="eastAsia" w:ascii="仿宋_GB2312" w:hAnsi="宋体" w:eastAsia="仿宋_GB2312" w:cs="宋体"/>
          <w:kern w:val="0"/>
          <w:sz w:val="32"/>
          <w:szCs w:val="32"/>
          <w:highlight w:val="none"/>
        </w:rPr>
        <w:t>。</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%，比上年预算增加</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无项目支出</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四、关于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kern w:val="0"/>
          <w:sz w:val="32"/>
          <w:szCs w:val="32"/>
          <w:highlight w:val="none"/>
        </w:rPr>
        <w:t>2022年财政拨款收支预算情况的总体说明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昌吉回族自治州交通运输综合行政执法局2022年财政拨款收支总预算</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w:t>
      </w:r>
    </w:p>
    <w:p>
      <w:pPr>
        <w:spacing w:line="560" w:lineRule="exact"/>
        <w:ind w:firstLine="616" w:firstLineChars="200"/>
        <w:rPr>
          <w:rFonts w:ascii="仿宋_GB2312" w:hAnsi="宋体" w:eastAsia="仿宋_GB2312" w:cs="宋体"/>
          <w:spacing w:val="-6"/>
          <w:kern w:val="0"/>
          <w:sz w:val="32"/>
          <w:szCs w:val="32"/>
          <w:highlight w:val="none"/>
        </w:rPr>
      </w:pPr>
      <w:r>
        <w:rPr>
          <w:rFonts w:hint="eastAsia" w:ascii="仿宋_GB2312" w:hAnsi="宋体" w:eastAsia="仿宋_GB2312" w:cs="宋体"/>
          <w:spacing w:val="-6"/>
          <w:kern w:val="0"/>
          <w:sz w:val="32"/>
          <w:szCs w:val="32"/>
          <w:highlight w:val="none"/>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收入预算包括：一般公共预算拨款</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kern w:val="0"/>
          <w:sz w:val="32"/>
          <w:szCs w:val="32"/>
          <w:highlight w:val="none"/>
        </w:rPr>
        <w:t>万元。</w:t>
      </w:r>
    </w:p>
    <w:p>
      <w:pPr>
        <w:spacing w:line="560" w:lineRule="exact"/>
        <w:ind w:firstLine="640" w:firstLineChars="20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一般公共预算支出包括：社会保障和就业支出</w:t>
      </w:r>
      <w:r>
        <w:rPr>
          <w:rFonts w:hint="eastAsia" w:ascii="仿宋_GB2312" w:hAnsi="宋体" w:eastAsia="仿宋_GB2312" w:cs="宋体"/>
          <w:kern w:val="0"/>
          <w:sz w:val="32"/>
          <w:szCs w:val="32"/>
          <w:highlight w:val="none"/>
          <w:lang w:val="en-US" w:eastAsia="zh-CN"/>
        </w:rPr>
        <w:t>40.27</w:t>
      </w:r>
      <w:r>
        <w:rPr>
          <w:rFonts w:hint="eastAsia" w:ascii="仿宋_GB2312" w:hAnsi="宋体" w:eastAsia="仿宋_GB2312" w:cs="宋体"/>
          <w:kern w:val="0"/>
          <w:sz w:val="32"/>
          <w:szCs w:val="32"/>
          <w:highlight w:val="none"/>
        </w:rPr>
        <w:t>万元，主要用于行政事业单位人员基本养老保险缴费支出；卫生健康支出</w:t>
      </w:r>
      <w:r>
        <w:rPr>
          <w:rFonts w:hint="eastAsia" w:ascii="仿宋_GB2312" w:hAnsi="宋体" w:eastAsia="仿宋_GB2312" w:cs="宋体"/>
          <w:kern w:val="0"/>
          <w:sz w:val="32"/>
          <w:szCs w:val="32"/>
          <w:highlight w:val="none"/>
          <w:lang w:val="en-US" w:eastAsia="zh-CN"/>
        </w:rPr>
        <w:t>31.36</w:t>
      </w:r>
      <w:r>
        <w:rPr>
          <w:rFonts w:hint="eastAsia" w:ascii="仿宋_GB2312" w:hAnsi="宋体" w:eastAsia="仿宋_GB2312" w:cs="宋体"/>
          <w:kern w:val="0"/>
          <w:sz w:val="32"/>
          <w:szCs w:val="32"/>
          <w:highlight w:val="none"/>
        </w:rPr>
        <w:t>万元，主要用于行政事业单位人 员医疗保险缴费相关支出、公务员医疗补助；交通运输支出</w:t>
      </w:r>
      <w:r>
        <w:rPr>
          <w:rFonts w:hint="eastAsia" w:ascii="仿宋_GB2312" w:hAnsi="宋体" w:eastAsia="仿宋_GB2312" w:cs="宋体"/>
          <w:kern w:val="0"/>
          <w:sz w:val="32"/>
          <w:szCs w:val="32"/>
          <w:highlight w:val="none"/>
          <w:lang w:val="en-US" w:eastAsia="zh-CN"/>
        </w:rPr>
        <w:t>313.09</w:t>
      </w:r>
      <w:r>
        <w:rPr>
          <w:rFonts w:hint="eastAsia" w:ascii="仿宋_GB2312" w:hAnsi="宋体" w:eastAsia="仿宋_GB2312" w:cs="宋体"/>
          <w:kern w:val="0"/>
          <w:sz w:val="32"/>
          <w:szCs w:val="32"/>
          <w:highlight w:val="none"/>
        </w:rPr>
        <w:t>万元，主要用于行政运行、公路运输管理等；住房保障支出</w:t>
      </w:r>
      <w:r>
        <w:rPr>
          <w:rFonts w:hint="eastAsia" w:ascii="仿宋_GB2312" w:hAnsi="宋体" w:eastAsia="仿宋_GB2312" w:cs="宋体"/>
          <w:kern w:val="0"/>
          <w:sz w:val="32"/>
          <w:szCs w:val="32"/>
          <w:highlight w:val="none"/>
          <w:lang w:val="en-US" w:eastAsia="zh-CN"/>
        </w:rPr>
        <w:t>36.47</w:t>
      </w:r>
      <w:r>
        <w:rPr>
          <w:rFonts w:hint="eastAsia" w:ascii="仿宋_GB2312" w:hAnsi="宋体" w:eastAsia="仿宋_GB2312" w:cs="宋体"/>
          <w:kern w:val="0"/>
          <w:sz w:val="32"/>
          <w:szCs w:val="32"/>
          <w:highlight w:val="none"/>
        </w:rPr>
        <w:t xml:space="preserve">万元，主要用于行政事业单位人员住房公积金缴费。 </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五、</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spacing w:val="-6"/>
          <w:kern w:val="0"/>
          <w:sz w:val="32"/>
          <w:szCs w:val="32"/>
          <w:highlight w:val="none"/>
        </w:rPr>
        <w:t>2022年一般公共预算当年拨款情况说明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（一）一般公共预算当年拨款规模变化情况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w:t>
      </w:r>
      <w:r>
        <w:rPr>
          <w:rFonts w:hint="eastAsia" w:ascii="仿宋_GB2312" w:hAnsi="仿宋_GB2312" w:eastAsia="仿宋_GB2312" w:cs="仿宋_GB2312"/>
          <w:kern w:val="0"/>
          <w:sz w:val="32"/>
          <w:szCs w:val="32"/>
          <w:highlight w:val="none"/>
        </w:rPr>
        <w:t>2022年一般公共预算拨款合计</w:t>
      </w:r>
      <w:r>
        <w:rPr>
          <w:rFonts w:hint="eastAsia" w:ascii="仿宋_GB2312" w:hAnsi="宋体" w:eastAsia="仿宋_GB2312" w:cs="宋体"/>
          <w:kern w:val="0"/>
          <w:sz w:val="32"/>
          <w:szCs w:val="32"/>
          <w:highlight w:val="none"/>
          <w:lang w:val="en-US" w:eastAsia="zh-CN"/>
        </w:rPr>
        <w:t>421.46</w:t>
      </w:r>
      <w:r>
        <w:rPr>
          <w:rFonts w:hint="eastAsia" w:ascii="仿宋_GB2312" w:hAnsi="仿宋_GB2312" w:eastAsia="仿宋_GB2312" w:cs="仿宋_GB2312"/>
          <w:kern w:val="0"/>
          <w:sz w:val="32"/>
          <w:szCs w:val="32"/>
          <w:highlight w:val="none"/>
        </w:rPr>
        <w:t>万元，其中：基本支出</w:t>
      </w:r>
      <w:r>
        <w:rPr>
          <w:rFonts w:hint="eastAsia" w:ascii="仿宋_GB2312" w:hAnsi="宋体" w:eastAsia="仿宋_GB2312" w:cs="宋体"/>
          <w:kern w:val="0"/>
          <w:sz w:val="32"/>
          <w:szCs w:val="32"/>
          <w:highlight w:val="none"/>
          <w:lang w:val="en-US" w:eastAsia="zh-CN"/>
        </w:rPr>
        <w:t>421.46</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25.44</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6.42</w:t>
      </w:r>
      <w:r>
        <w:rPr>
          <w:rFonts w:hint="eastAsia" w:ascii="仿宋_GB2312" w:hAnsi="宋体" w:eastAsia="仿宋_GB2312" w:cs="宋体"/>
          <w:kern w:val="0"/>
          <w:sz w:val="32"/>
          <w:szCs w:val="32"/>
          <w:highlight w:val="none"/>
          <w:lang w:val="en-US" w:eastAsia="zh-CN"/>
        </w:rPr>
        <w:t xml:space="preserve"> </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人员增加</w:t>
      </w:r>
      <w:r>
        <w:rPr>
          <w:rFonts w:hint="eastAsia" w:ascii="仿宋_GB2312" w:hAnsi="仿宋_GB2312" w:eastAsia="仿宋_GB2312" w:cs="仿宋_GB2312"/>
          <w:kern w:val="0"/>
          <w:sz w:val="32"/>
          <w:szCs w:val="32"/>
          <w:highlight w:val="none"/>
        </w:rPr>
        <w:t>。项目支出</w:t>
      </w:r>
      <w:r>
        <w:rPr>
          <w:rFonts w:hint="eastAsia" w:ascii="仿宋_GB2312" w:hAnsi="宋体" w:eastAsia="仿宋_GB2312" w:cs="宋体"/>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%。主要原因是：</w:t>
      </w:r>
      <w:r>
        <w:rPr>
          <w:rFonts w:hint="eastAsia" w:ascii="仿宋_GB2312" w:hAnsi="宋体" w:eastAsia="仿宋_GB2312" w:cs="宋体"/>
          <w:kern w:val="0"/>
          <w:sz w:val="32"/>
          <w:szCs w:val="32"/>
          <w:highlight w:val="none"/>
          <w:lang w:val="en-US" w:eastAsia="zh-CN"/>
        </w:rPr>
        <w:t>无项目预算</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（二）一般公共预算当年拨款结构情况</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、社会保障和就业支出</w:t>
      </w:r>
      <w:r>
        <w:rPr>
          <w:rFonts w:hint="eastAsia" w:ascii="仿宋_GB2312" w:hAnsi="仿宋_GB2312" w:eastAsia="仿宋_GB2312" w:cs="仿宋_GB2312"/>
          <w:kern w:val="0"/>
          <w:sz w:val="32"/>
          <w:szCs w:val="32"/>
          <w:highlight w:val="none"/>
          <w:lang w:val="en-US" w:eastAsia="zh-CN"/>
        </w:rPr>
        <w:t>40.27</w:t>
      </w:r>
      <w:r>
        <w:rPr>
          <w:rFonts w:hint="eastAsia" w:ascii="仿宋_GB2312" w:hAnsi="仿宋_GB2312" w:eastAsia="仿宋_GB2312" w:cs="仿宋_GB2312"/>
          <w:kern w:val="0"/>
          <w:sz w:val="32"/>
          <w:szCs w:val="32"/>
          <w:highlight w:val="none"/>
        </w:rPr>
        <w:t xml:space="preserve"> 万元，占 </w:t>
      </w:r>
      <w:r>
        <w:rPr>
          <w:rFonts w:hint="eastAsia" w:ascii="仿宋_GB2312" w:hAnsi="仿宋_GB2312" w:eastAsia="仿宋_GB2312" w:cs="仿宋_GB2312"/>
          <w:kern w:val="0"/>
          <w:sz w:val="32"/>
          <w:szCs w:val="32"/>
          <w:highlight w:val="none"/>
          <w:lang w:val="en-US" w:eastAsia="zh-CN"/>
        </w:rPr>
        <w:t>9.55</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、卫生健康支出</w:t>
      </w:r>
      <w:r>
        <w:rPr>
          <w:rFonts w:hint="eastAsia" w:ascii="仿宋_GB2312" w:hAnsi="宋体" w:eastAsia="仿宋_GB2312" w:cs="宋体"/>
          <w:kern w:val="0"/>
          <w:sz w:val="32"/>
          <w:szCs w:val="32"/>
          <w:highlight w:val="none"/>
          <w:lang w:val="en-US" w:eastAsia="zh-CN"/>
        </w:rPr>
        <w:t>31.36</w:t>
      </w:r>
      <w:r>
        <w:rPr>
          <w:rFonts w:hint="eastAsia" w:ascii="仿宋_GB2312" w:hAnsi="仿宋_GB2312" w:eastAsia="仿宋_GB2312" w:cs="仿宋_GB2312"/>
          <w:kern w:val="0"/>
          <w:sz w:val="32"/>
          <w:szCs w:val="32"/>
          <w:highlight w:val="none"/>
        </w:rPr>
        <w:t xml:space="preserve"> 万元，占</w:t>
      </w:r>
      <w:r>
        <w:rPr>
          <w:rFonts w:hint="eastAsia" w:ascii="仿宋_GB2312" w:hAnsi="仿宋_GB2312" w:eastAsia="仿宋_GB2312" w:cs="仿宋_GB2312"/>
          <w:kern w:val="0"/>
          <w:sz w:val="32"/>
          <w:szCs w:val="32"/>
          <w:highlight w:val="none"/>
          <w:lang w:val="en-US" w:eastAsia="zh-CN"/>
        </w:rPr>
        <w:t>7.44</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、交通运输支出</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313.09</w:t>
      </w:r>
      <w:r>
        <w:rPr>
          <w:rFonts w:hint="eastAsia" w:ascii="仿宋_GB2312" w:hAnsi="仿宋_GB2312" w:eastAsia="仿宋_GB2312" w:cs="仿宋_GB2312"/>
          <w:kern w:val="0"/>
          <w:sz w:val="32"/>
          <w:szCs w:val="32"/>
          <w:highlight w:val="none"/>
        </w:rPr>
        <w:t xml:space="preserve">万元，占 </w:t>
      </w:r>
      <w:r>
        <w:rPr>
          <w:rFonts w:hint="eastAsia" w:ascii="仿宋_GB2312" w:hAnsi="仿宋_GB2312" w:eastAsia="仿宋_GB2312" w:cs="仿宋_GB2312"/>
          <w:kern w:val="0"/>
          <w:sz w:val="32"/>
          <w:szCs w:val="32"/>
          <w:highlight w:val="none"/>
          <w:lang w:val="en-US" w:eastAsia="zh-CN"/>
        </w:rPr>
        <w:t>74.29</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仿宋_GB2312" w:hAnsi="仿宋_GB2312" w:eastAsia="仿宋_GB2312" w:cs="仿宋_GB2312"/>
          <w:b/>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、住房保障支出</w:t>
      </w:r>
      <w:r>
        <w:rPr>
          <w:rFonts w:hint="eastAsia" w:ascii="仿宋_GB2312" w:hAnsi="宋体" w:eastAsia="仿宋_GB2312" w:cs="宋体"/>
          <w:kern w:val="0"/>
          <w:sz w:val="32"/>
          <w:szCs w:val="32"/>
          <w:highlight w:val="none"/>
          <w:lang w:val="en-US" w:eastAsia="zh-CN"/>
        </w:rPr>
        <w:t>36.47</w:t>
      </w:r>
      <w:r>
        <w:rPr>
          <w:rFonts w:hint="eastAsia" w:ascii="仿宋_GB2312" w:hAnsi="仿宋_GB2312" w:eastAsia="仿宋_GB2312" w:cs="仿宋_GB2312"/>
          <w:kern w:val="0"/>
          <w:sz w:val="32"/>
          <w:szCs w:val="32"/>
          <w:highlight w:val="none"/>
        </w:rPr>
        <w:t xml:space="preserve"> 万元，占</w:t>
      </w:r>
      <w:r>
        <w:rPr>
          <w:rFonts w:hint="eastAsia" w:ascii="仿宋_GB2312" w:hAnsi="仿宋_GB2312" w:eastAsia="仿宋_GB2312" w:cs="仿宋_GB2312"/>
          <w:kern w:val="0"/>
          <w:sz w:val="32"/>
          <w:szCs w:val="32"/>
          <w:highlight w:val="none"/>
          <w:lang w:val="en-US" w:eastAsia="zh-CN"/>
        </w:rPr>
        <w:t>8.65</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（三）一般公共预算当年拨款具体使用情况</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 xml:space="preserve">、社会保障和就业支出（类）行政事业单位养老支出（款）机关事业单位基本养老保险缴费支出（项）：2022 年预算数为 </w:t>
      </w:r>
      <w:r>
        <w:rPr>
          <w:rFonts w:hint="eastAsia" w:ascii="仿宋_GB2312" w:hAnsi="仿宋_GB2312" w:eastAsia="仿宋_GB2312" w:cs="仿宋_GB2312"/>
          <w:kern w:val="0"/>
          <w:sz w:val="32"/>
          <w:szCs w:val="32"/>
          <w:highlight w:val="none"/>
          <w:lang w:val="en-US" w:eastAsia="zh-CN"/>
        </w:rPr>
        <w:t>40.27</w:t>
      </w:r>
      <w:r>
        <w:rPr>
          <w:rFonts w:hint="eastAsia" w:ascii="仿宋_GB2312" w:hAnsi="仿宋_GB2312" w:eastAsia="仿宋_GB2312" w:cs="仿宋_GB2312"/>
          <w:kern w:val="0"/>
          <w:sz w:val="32"/>
          <w:szCs w:val="32"/>
          <w:highlight w:val="none"/>
        </w:rPr>
        <w:t xml:space="preserve"> 万元，比上年预算增加 </w:t>
      </w:r>
      <w:r>
        <w:rPr>
          <w:rFonts w:hint="eastAsia" w:ascii="仿宋_GB2312" w:hAnsi="仿宋_GB2312" w:eastAsia="仿宋_GB2312" w:cs="仿宋_GB2312"/>
          <w:kern w:val="0"/>
          <w:sz w:val="32"/>
          <w:szCs w:val="32"/>
          <w:highlight w:val="none"/>
          <w:lang w:val="en-US" w:eastAsia="zh-CN"/>
        </w:rPr>
        <w:t>5.91</w:t>
      </w:r>
      <w:r>
        <w:rPr>
          <w:rFonts w:hint="eastAsia" w:ascii="仿宋_GB2312" w:hAnsi="仿宋_GB2312" w:eastAsia="仿宋_GB2312" w:cs="仿宋_GB2312"/>
          <w:kern w:val="0"/>
          <w:sz w:val="32"/>
          <w:szCs w:val="32"/>
          <w:highlight w:val="none"/>
        </w:rPr>
        <w:t xml:space="preserve"> 万元，增长 </w:t>
      </w:r>
      <w:r>
        <w:rPr>
          <w:rFonts w:hint="eastAsia" w:ascii="仿宋_GB2312" w:hAnsi="仿宋_GB2312" w:eastAsia="仿宋_GB2312" w:cs="仿宋_GB2312"/>
          <w:kern w:val="0"/>
          <w:sz w:val="32"/>
          <w:szCs w:val="32"/>
          <w:highlight w:val="none"/>
          <w:lang w:val="en-US" w:eastAsia="zh-CN"/>
        </w:rPr>
        <w:t>17.2</w:t>
      </w:r>
      <w:r>
        <w:rPr>
          <w:rFonts w:hint="eastAsia" w:ascii="仿宋_GB2312" w:hAnsi="仿宋_GB2312" w:eastAsia="仿宋_GB2312" w:cs="仿宋_GB2312"/>
          <w:kern w:val="0"/>
          <w:sz w:val="32"/>
          <w:szCs w:val="32"/>
          <w:highlight w:val="none"/>
        </w:rPr>
        <w:t>%。主要原因是人员变动，增资影响社保缴费基数。</w:t>
      </w:r>
      <w:r>
        <w:rPr>
          <w:rFonts w:hint="eastAsia" w:ascii="仿宋_GB2312" w:hAnsi="仿宋_GB2312" w:eastAsia="仿宋_GB2312" w:cs="仿宋_GB2312"/>
          <w:kern w:val="0"/>
          <w:sz w:val="32"/>
          <w:szCs w:val="32"/>
          <w:highlight w:val="none"/>
          <w:lang w:val="en-US" w:eastAsia="zh-CN"/>
        </w:rPr>
        <w:t xml:space="preserve"> </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、卫生健康支出（类）行政事业单位医疗（款）行政单位医疗（项）：2022 年预算数为</w:t>
      </w:r>
      <w:r>
        <w:rPr>
          <w:rFonts w:hint="eastAsia" w:ascii="仿宋_GB2312" w:hAnsi="仿宋_GB2312" w:eastAsia="仿宋_GB2312" w:cs="仿宋_GB2312"/>
          <w:kern w:val="0"/>
          <w:sz w:val="32"/>
          <w:szCs w:val="32"/>
          <w:highlight w:val="none"/>
          <w:lang w:val="en-US" w:eastAsia="zh-CN"/>
        </w:rPr>
        <w:t>23.91</w:t>
      </w:r>
      <w:r>
        <w:rPr>
          <w:rFonts w:hint="eastAsia" w:ascii="仿宋_GB2312" w:hAnsi="仿宋_GB2312" w:eastAsia="仿宋_GB2312" w:cs="仿宋_GB2312"/>
          <w:kern w:val="0"/>
          <w:sz w:val="32"/>
          <w:szCs w:val="32"/>
          <w:highlight w:val="none"/>
        </w:rPr>
        <w:t xml:space="preserve"> 万元，比上年预算增加</w:t>
      </w:r>
      <w:r>
        <w:rPr>
          <w:rFonts w:hint="eastAsia" w:ascii="仿宋_GB2312" w:hAnsi="仿宋_GB2312" w:eastAsia="仿宋_GB2312" w:cs="仿宋_GB2312"/>
          <w:kern w:val="0"/>
          <w:sz w:val="32"/>
          <w:szCs w:val="32"/>
          <w:highlight w:val="none"/>
          <w:lang w:val="en-US" w:eastAsia="zh-CN"/>
        </w:rPr>
        <w:t>3.51</w:t>
      </w:r>
      <w:r>
        <w:rPr>
          <w:rFonts w:hint="eastAsia" w:ascii="仿宋_GB2312" w:hAnsi="仿宋_GB2312" w:eastAsia="仿宋_GB2312" w:cs="仿宋_GB2312"/>
          <w:kern w:val="0"/>
          <w:sz w:val="32"/>
          <w:szCs w:val="32"/>
          <w:highlight w:val="none"/>
        </w:rPr>
        <w:t xml:space="preserve"> 万元，增长</w:t>
      </w:r>
      <w:r>
        <w:rPr>
          <w:rFonts w:hint="eastAsia" w:ascii="仿宋_GB2312" w:hAnsi="仿宋_GB2312" w:eastAsia="仿宋_GB2312" w:cs="仿宋_GB2312"/>
          <w:kern w:val="0"/>
          <w:sz w:val="32"/>
          <w:szCs w:val="32"/>
          <w:highlight w:val="none"/>
          <w:lang w:val="en-US" w:eastAsia="zh-CN"/>
        </w:rPr>
        <w:t>17.21</w:t>
      </w:r>
      <w:r>
        <w:rPr>
          <w:rFonts w:hint="eastAsia" w:ascii="仿宋_GB2312" w:hAnsi="仿宋_GB2312" w:eastAsia="仿宋_GB2312" w:cs="仿宋_GB2312"/>
          <w:kern w:val="0"/>
          <w:sz w:val="32"/>
          <w:szCs w:val="32"/>
          <w:highlight w:val="none"/>
        </w:rPr>
        <w:t>%。主要原因是单位人员变动，工资调整医疗缴费基数调整等因素。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卫生健康支出（类）行政事业单位医疗（款）公务员医疗补助（项）： 2022 年预算数为</w:t>
      </w:r>
      <w:r>
        <w:rPr>
          <w:rFonts w:hint="eastAsia" w:ascii="仿宋_GB2312" w:hAnsi="仿宋_GB2312" w:eastAsia="仿宋_GB2312" w:cs="仿宋_GB2312"/>
          <w:kern w:val="0"/>
          <w:sz w:val="32"/>
          <w:szCs w:val="32"/>
          <w:highlight w:val="none"/>
          <w:lang w:val="en-US" w:eastAsia="zh-CN"/>
        </w:rPr>
        <w:t>7.55</w:t>
      </w:r>
      <w:r>
        <w:rPr>
          <w:rFonts w:hint="eastAsia" w:ascii="仿宋_GB2312" w:hAnsi="仿宋_GB2312" w:eastAsia="仿宋_GB2312" w:cs="仿宋_GB2312"/>
          <w:kern w:val="0"/>
          <w:sz w:val="32"/>
          <w:szCs w:val="32"/>
          <w:highlight w:val="none"/>
        </w:rPr>
        <w:t>万元，比上年预算</w:t>
      </w:r>
      <w:r>
        <w:rPr>
          <w:rFonts w:hint="eastAsia" w:ascii="仿宋_GB2312" w:hAnsi="仿宋_GB2312" w:eastAsia="仿宋_GB2312" w:cs="仿宋_GB2312"/>
          <w:kern w:val="0"/>
          <w:sz w:val="32"/>
          <w:szCs w:val="32"/>
          <w:highlight w:val="none"/>
          <w:lang w:val="en-US" w:eastAsia="zh-CN"/>
        </w:rPr>
        <w:t>增加</w:t>
      </w:r>
      <w:r>
        <w:rPr>
          <w:rFonts w:hint="eastAsia" w:ascii="仿宋_GB2312" w:hAnsi="仿宋_GB2312" w:eastAsia="仿宋_GB2312" w:cs="仿宋_GB2312"/>
          <w:kern w:val="0"/>
          <w:sz w:val="32"/>
          <w:szCs w:val="32"/>
          <w:highlight w:val="none"/>
        </w:rPr>
        <w:t xml:space="preserve"> </w:t>
      </w:r>
      <w:r>
        <w:rPr>
          <w:rFonts w:hint="eastAsia" w:ascii="仿宋_GB2312" w:hAnsi="仿宋_GB2312" w:eastAsia="仿宋_GB2312" w:cs="仿宋_GB2312"/>
          <w:kern w:val="0"/>
          <w:sz w:val="32"/>
          <w:szCs w:val="32"/>
          <w:highlight w:val="none"/>
          <w:lang w:val="en-US" w:eastAsia="zh-CN"/>
        </w:rPr>
        <w:t>7.11</w:t>
      </w:r>
      <w:r>
        <w:rPr>
          <w:rFonts w:hint="eastAsia" w:ascii="仿宋_GB2312" w:hAnsi="仿宋_GB2312" w:eastAsia="仿宋_GB2312" w:cs="仿宋_GB2312"/>
          <w:kern w:val="0"/>
          <w:sz w:val="32"/>
          <w:szCs w:val="32"/>
          <w:highlight w:val="none"/>
        </w:rPr>
        <w:t xml:space="preserve"> 万元,</w:t>
      </w:r>
      <w:r>
        <w:rPr>
          <w:rFonts w:hint="eastAsia" w:ascii="仿宋_GB2312" w:hAnsi="仿宋_GB2312" w:eastAsia="仿宋_GB2312" w:cs="仿宋_GB2312"/>
          <w:kern w:val="0"/>
          <w:sz w:val="32"/>
          <w:szCs w:val="32"/>
          <w:highlight w:val="none"/>
          <w:lang w:val="en-US" w:eastAsia="zh-CN"/>
        </w:rPr>
        <w:t>增长</w:t>
      </w:r>
      <w:r>
        <w:rPr>
          <w:rFonts w:hint="eastAsia" w:ascii="仿宋_GB2312" w:hAnsi="仿宋_GB2312" w:eastAsia="仿宋_GB2312" w:cs="仿宋_GB2312"/>
          <w:kern w:val="0"/>
          <w:sz w:val="32"/>
          <w:szCs w:val="32"/>
          <w:highlight w:val="none"/>
        </w:rPr>
        <w:t xml:space="preserve"> 20.40%。主要原因是单位人员变动等因素。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4、</w:t>
      </w:r>
      <w:r>
        <w:rPr>
          <w:rFonts w:hint="eastAsia" w:ascii="仿宋_GB2312" w:hAnsi="仿宋_GB2312" w:eastAsia="仿宋_GB2312" w:cs="仿宋_GB2312"/>
          <w:kern w:val="0"/>
          <w:sz w:val="32"/>
          <w:szCs w:val="32"/>
          <w:highlight w:val="none"/>
        </w:rPr>
        <w:t>交通运输支出（类）公路水路运输（款）行政运行（项）：2022 年预算数为</w:t>
      </w:r>
      <w:r>
        <w:rPr>
          <w:rFonts w:hint="eastAsia" w:ascii="仿宋_GB2312" w:hAnsi="仿宋_GB2312" w:eastAsia="仿宋_GB2312" w:cs="仿宋_GB2312"/>
          <w:kern w:val="0"/>
          <w:sz w:val="32"/>
          <w:szCs w:val="32"/>
          <w:highlight w:val="none"/>
          <w:lang w:val="en-US" w:eastAsia="zh-CN"/>
        </w:rPr>
        <w:t>313.09</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4.04</w:t>
      </w:r>
      <w:r>
        <w:rPr>
          <w:rFonts w:hint="eastAsia" w:ascii="仿宋_GB2312" w:hAnsi="仿宋_GB2312" w:eastAsia="仿宋_GB2312" w:cs="仿宋_GB2312"/>
          <w:kern w:val="0"/>
          <w:sz w:val="32"/>
          <w:szCs w:val="32"/>
          <w:highlight w:val="none"/>
        </w:rPr>
        <w:t xml:space="preserve">万元，增长 </w:t>
      </w:r>
      <w:r>
        <w:rPr>
          <w:rFonts w:hint="eastAsia" w:ascii="仿宋_GB2312" w:hAnsi="仿宋_GB2312" w:eastAsia="仿宋_GB2312" w:cs="仿宋_GB2312"/>
          <w:kern w:val="0"/>
          <w:sz w:val="32"/>
          <w:szCs w:val="32"/>
          <w:highlight w:val="none"/>
          <w:lang w:val="en-US" w:eastAsia="zh-CN"/>
        </w:rPr>
        <w:t>1.31</w:t>
      </w:r>
      <w:r>
        <w:rPr>
          <w:rFonts w:hint="eastAsia" w:ascii="仿宋_GB2312" w:hAnsi="仿宋_GB2312" w:eastAsia="仿宋_GB2312" w:cs="仿宋_GB2312"/>
          <w:kern w:val="0"/>
          <w:sz w:val="32"/>
          <w:szCs w:val="32"/>
          <w:highlight w:val="none"/>
        </w:rPr>
        <w:t>%。主要原因是基本工资及相关缴费增加。</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lang w:val="en-US" w:eastAsia="zh-CN"/>
        </w:rPr>
        <w:t>5</w:t>
      </w:r>
      <w:r>
        <w:rPr>
          <w:rFonts w:hint="eastAsia" w:ascii="仿宋_GB2312" w:hAnsi="仿宋_GB2312" w:eastAsia="仿宋_GB2312" w:cs="仿宋_GB2312"/>
          <w:kern w:val="0"/>
          <w:sz w:val="32"/>
          <w:szCs w:val="32"/>
          <w:highlight w:val="none"/>
        </w:rPr>
        <w:t>、住房保障支出（类）住房改革支出（款）住房公积金（项）：2022 年 预算数为</w:t>
      </w:r>
      <w:r>
        <w:rPr>
          <w:rFonts w:hint="eastAsia" w:ascii="仿宋_GB2312" w:hAnsi="仿宋_GB2312" w:eastAsia="仿宋_GB2312" w:cs="仿宋_GB2312"/>
          <w:kern w:val="0"/>
          <w:sz w:val="32"/>
          <w:szCs w:val="32"/>
          <w:highlight w:val="none"/>
          <w:lang w:val="en-US" w:eastAsia="zh-CN"/>
        </w:rPr>
        <w:t>36.47</w:t>
      </w:r>
      <w:r>
        <w:rPr>
          <w:rFonts w:hint="eastAsia" w:ascii="仿宋_GB2312" w:hAnsi="仿宋_GB2312" w:eastAsia="仿宋_GB2312" w:cs="仿宋_GB2312"/>
          <w:kern w:val="0"/>
          <w:sz w:val="32"/>
          <w:szCs w:val="32"/>
          <w:highlight w:val="none"/>
        </w:rPr>
        <w:t xml:space="preserve">万元，比上年预算增加 </w:t>
      </w:r>
      <w:r>
        <w:rPr>
          <w:rFonts w:hint="eastAsia" w:ascii="仿宋_GB2312" w:hAnsi="仿宋_GB2312" w:eastAsia="仿宋_GB2312" w:cs="仿宋_GB2312"/>
          <w:kern w:val="0"/>
          <w:sz w:val="32"/>
          <w:szCs w:val="32"/>
          <w:highlight w:val="none"/>
          <w:lang w:val="en-US" w:eastAsia="zh-CN"/>
        </w:rPr>
        <w:t>10.7</w:t>
      </w:r>
      <w:r>
        <w:rPr>
          <w:rFonts w:hint="eastAsia" w:ascii="仿宋_GB2312" w:hAnsi="仿宋_GB2312" w:eastAsia="仿宋_GB2312" w:cs="仿宋_GB2312"/>
          <w:kern w:val="0"/>
          <w:sz w:val="32"/>
          <w:szCs w:val="32"/>
          <w:highlight w:val="none"/>
        </w:rPr>
        <w:t xml:space="preserve"> 万元，增长</w:t>
      </w:r>
      <w:r>
        <w:rPr>
          <w:rFonts w:hint="eastAsia" w:ascii="仿宋_GB2312" w:hAnsi="仿宋_GB2312" w:eastAsia="仿宋_GB2312" w:cs="仿宋_GB2312"/>
          <w:kern w:val="0"/>
          <w:sz w:val="32"/>
          <w:szCs w:val="32"/>
          <w:highlight w:val="none"/>
          <w:lang w:val="en-US" w:eastAsia="zh-CN"/>
        </w:rPr>
        <w:t>41.52</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人员变动、</w:t>
      </w:r>
      <w:r>
        <w:rPr>
          <w:rFonts w:hint="eastAsia" w:ascii="仿宋_GB2312" w:hAnsi="仿宋_GB2312" w:eastAsia="仿宋_GB2312" w:cs="仿宋_GB2312"/>
          <w:kern w:val="0"/>
          <w:sz w:val="32"/>
          <w:szCs w:val="32"/>
          <w:highlight w:val="none"/>
        </w:rPr>
        <w:t>人员工资基数调整，公积金基数调整。</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六、</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spacing w:val="-6"/>
          <w:kern w:val="0"/>
          <w:sz w:val="32"/>
          <w:szCs w:val="32"/>
          <w:highlight w:val="none"/>
        </w:rPr>
        <w:t>2022年一般公共预算基本支出情况说明</w:t>
      </w:r>
    </w:p>
    <w:p>
      <w:pPr>
        <w:spacing w:line="560" w:lineRule="exact"/>
        <w:ind w:firstLine="640" w:firstLineChars="200"/>
        <w:rPr>
          <w:rFonts w:ascii="仿宋_GB2312" w:hAnsi="宋体" w:eastAsia="仿宋_GB2312" w:cs="宋体"/>
          <w:spacing w:val="-6"/>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w:t>
      </w:r>
      <w:r>
        <w:rPr>
          <w:rFonts w:hint="eastAsia" w:ascii="仿宋_GB2312" w:hAnsi="宋体" w:eastAsia="仿宋_GB2312" w:cs="宋体"/>
          <w:spacing w:val="-6"/>
          <w:kern w:val="0"/>
          <w:sz w:val="32"/>
          <w:szCs w:val="32"/>
          <w:highlight w:val="none"/>
        </w:rPr>
        <w:t>2022年一般公共预算基本支出</w:t>
      </w:r>
      <w:r>
        <w:rPr>
          <w:rFonts w:hint="eastAsia" w:ascii="仿宋_GB2312" w:hAnsi="宋体" w:eastAsia="仿宋_GB2312" w:cs="宋体"/>
          <w:kern w:val="0"/>
          <w:sz w:val="32"/>
          <w:szCs w:val="32"/>
          <w:highlight w:val="none"/>
          <w:lang w:val="en-US" w:eastAsia="zh-CN"/>
        </w:rPr>
        <w:t>421.46</w:t>
      </w:r>
      <w:r>
        <w:rPr>
          <w:rFonts w:hint="eastAsia" w:ascii="仿宋_GB2312" w:hAnsi="宋体" w:eastAsia="仿宋_GB2312" w:cs="宋体"/>
          <w:spacing w:val="-6"/>
          <w:kern w:val="0"/>
          <w:sz w:val="32"/>
          <w:szCs w:val="32"/>
          <w:highlight w:val="none"/>
        </w:rPr>
        <w:t>万元， 其中：</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w:t>
      </w:r>
      <w:r>
        <w:rPr>
          <w:rFonts w:hint="eastAsia" w:ascii="仿宋_GB2312" w:hAnsi="宋体" w:eastAsia="仿宋_GB2312" w:cs="宋体"/>
          <w:kern w:val="0"/>
          <w:sz w:val="32"/>
          <w:szCs w:val="32"/>
          <w:highlight w:val="none"/>
          <w:lang w:val="en-US" w:eastAsia="zh-CN"/>
        </w:rPr>
        <w:t>362.94</w:t>
      </w:r>
      <w:r>
        <w:rPr>
          <w:rFonts w:hint="eastAsia" w:ascii="仿宋_GB2312" w:hAnsi="宋体" w:eastAsia="仿宋_GB2312" w:cs="宋体"/>
          <w:kern w:val="0"/>
          <w:sz w:val="32"/>
          <w:szCs w:val="32"/>
          <w:highlight w:val="none"/>
        </w:rPr>
        <w:t>万元，主要包括：基本工资、津贴补贴、奖金、伙食补助费、绩效工资、机关事业单位基本养老保险缴费、职工基本医疗保险缴费、公务员医疗补助缴费、其他社会保障缴费、住房公积金。</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w:t>
      </w:r>
      <w:r>
        <w:rPr>
          <w:rFonts w:hint="eastAsia" w:ascii="仿宋_GB2312" w:hAnsi="宋体" w:eastAsia="仿宋_GB2312" w:cs="宋体"/>
          <w:kern w:val="0"/>
          <w:sz w:val="32"/>
          <w:szCs w:val="32"/>
          <w:highlight w:val="none"/>
          <w:lang w:val="en-US" w:eastAsia="zh-CN"/>
        </w:rPr>
        <w:t>58.51</w:t>
      </w:r>
      <w:r>
        <w:rPr>
          <w:rFonts w:hint="eastAsia" w:ascii="仿宋_GB2312" w:hAnsi="宋体" w:eastAsia="仿宋_GB2312" w:cs="宋体"/>
          <w:kern w:val="0"/>
          <w:sz w:val="32"/>
          <w:szCs w:val="32"/>
          <w:highlight w:val="none"/>
        </w:rPr>
        <w:t>万元，主要包括：办公费、水费、电费、邮电费、取暖费、差旅费、培训费、公务接待费</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highlight w:val="none"/>
        </w:rPr>
      </w:pPr>
      <w:r>
        <w:rPr>
          <w:rFonts w:hint="eastAsia" w:ascii="楷体_GB2312" w:hAnsi="楷体_GB2312" w:eastAsia="楷体_GB2312" w:cs="楷体_GB2312"/>
          <w:b/>
          <w:bCs/>
          <w:kern w:val="0"/>
          <w:sz w:val="32"/>
          <w:szCs w:val="32"/>
          <w:highlight w:val="none"/>
        </w:rPr>
        <w:t>七、</w:t>
      </w:r>
      <w:r>
        <w:rPr>
          <w:rFonts w:hint="eastAsia" w:ascii="楷体_GB2312" w:hAnsi="楷体_GB2312" w:eastAsia="楷体_GB2312" w:cs="楷体_GB2312"/>
          <w:b/>
          <w:bCs/>
          <w:spacing w:val="-6"/>
          <w:kern w:val="0"/>
          <w:sz w:val="32"/>
          <w:szCs w:val="32"/>
          <w:highlight w:val="none"/>
        </w:rPr>
        <w:t>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spacing w:val="-6"/>
          <w:kern w:val="0"/>
          <w:sz w:val="32"/>
          <w:szCs w:val="32"/>
          <w:highlight w:val="none"/>
        </w:rPr>
        <w:t>2022年一般公共预算项目支出情况说明</w:t>
      </w:r>
    </w:p>
    <w:p>
      <w:pPr>
        <w:spacing w:line="560" w:lineRule="exact"/>
        <w:ind w:firstLine="640" w:firstLineChars="200"/>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无</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八、关于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kern w:val="0"/>
          <w:sz w:val="32"/>
          <w:szCs w:val="32"/>
          <w:highlight w:val="none"/>
        </w:rPr>
        <w:t>2022年一般公共预算“三公”经费预算情况说明</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昌吉回族自治州交通运输综合行政执法局2022年一般公共预算“三公”经费数为</w:t>
      </w:r>
      <w:r>
        <w:rPr>
          <w:rFonts w:hint="eastAsia" w:ascii="仿宋_GB2312" w:hAnsi="宋体" w:eastAsia="仿宋_GB2312" w:cs="宋体"/>
          <w:kern w:val="0"/>
          <w:sz w:val="32"/>
          <w:szCs w:val="32"/>
          <w:highlight w:val="none"/>
          <w:lang w:val="en-US" w:eastAsia="zh-CN"/>
        </w:rPr>
        <w:t>16</w:t>
      </w:r>
      <w:r>
        <w:rPr>
          <w:rFonts w:hint="eastAsia" w:ascii="仿宋_GB2312" w:hAnsi="宋体" w:eastAsia="仿宋_GB2312" w:cs="宋体"/>
          <w:kern w:val="0"/>
          <w:sz w:val="32"/>
          <w:szCs w:val="32"/>
          <w:highlight w:val="none"/>
        </w:rPr>
        <w:t>万元，其中：因公出国（境）费</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万元，公务用车购置</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万元，公务用车运行费</w:t>
      </w:r>
      <w:r>
        <w:rPr>
          <w:rFonts w:hint="eastAsia" w:ascii="仿宋_GB2312" w:hAnsi="宋体" w:eastAsia="仿宋_GB2312" w:cs="宋体"/>
          <w:kern w:val="0"/>
          <w:sz w:val="32"/>
          <w:szCs w:val="32"/>
          <w:highlight w:val="none"/>
          <w:lang w:val="en-US" w:eastAsia="zh-CN"/>
        </w:rPr>
        <w:t>15</w:t>
      </w:r>
      <w:r>
        <w:rPr>
          <w:rFonts w:hint="eastAsia" w:ascii="仿宋_GB2312" w:hAnsi="宋体" w:eastAsia="仿宋_GB2312" w:cs="宋体"/>
          <w:kern w:val="0"/>
          <w:sz w:val="32"/>
          <w:szCs w:val="32"/>
          <w:highlight w:val="none"/>
        </w:rPr>
        <w:t>万元，公务接待费</w:t>
      </w:r>
      <w:r>
        <w:rPr>
          <w:rFonts w:hint="eastAsia" w:ascii="仿宋_GB2312" w:hAnsi="宋体" w:eastAsia="仿宋_GB2312" w:cs="宋体"/>
          <w:kern w:val="0"/>
          <w:sz w:val="32"/>
          <w:szCs w:val="32"/>
          <w:highlight w:val="none"/>
          <w:lang w:val="en-US" w:eastAsia="zh-CN"/>
        </w:rPr>
        <w:t>1</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2022 年一般公共预算“三公”经费预算比</w:t>
      </w:r>
      <w:r>
        <w:rPr>
          <w:rFonts w:hint="eastAsia" w:ascii="仿宋_GB2312" w:hAnsi="宋体" w:eastAsia="仿宋_GB2312" w:cs="宋体"/>
          <w:kern w:val="0"/>
          <w:sz w:val="32"/>
          <w:szCs w:val="32"/>
          <w:highlight w:val="none"/>
          <w:lang w:val="en-US" w:eastAsia="zh-CN"/>
        </w:rPr>
        <w:t>增加</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 xml:space="preserve"> 万元，</w:t>
      </w:r>
      <w:r>
        <w:rPr>
          <w:rFonts w:hint="eastAsia" w:ascii="仿宋_GB2312" w:hAnsi="宋体" w:eastAsia="仿宋_GB2312" w:cs="宋体"/>
          <w:kern w:val="0"/>
          <w:sz w:val="32"/>
          <w:szCs w:val="32"/>
          <w:highlight w:val="none"/>
          <w:lang w:val="en-US" w:eastAsia="zh-CN"/>
        </w:rPr>
        <w:t>增长14.29</w:t>
      </w:r>
      <w:r>
        <w:rPr>
          <w:rFonts w:hint="eastAsia" w:ascii="仿宋_GB2312" w:hAnsi="宋体" w:eastAsia="仿宋_GB2312" w:cs="宋体"/>
          <w:kern w:val="0"/>
          <w:sz w:val="32"/>
          <w:szCs w:val="32"/>
          <w:highlight w:val="none"/>
        </w:rPr>
        <w:t>%，其中：因公出国（境）费增加 0 万元，增长 0%，主要原因是本年未安排因公出国（境）费预算；公务用车购置费增加 0 万元，增长 0%，主要原因是 本年未安排公务用车购置预算；公务用车运行费</w:t>
      </w:r>
      <w:r>
        <w:rPr>
          <w:rFonts w:hint="eastAsia" w:ascii="仿宋_GB2312" w:hAnsi="宋体" w:eastAsia="仿宋_GB2312" w:cs="宋体"/>
          <w:kern w:val="0"/>
          <w:sz w:val="32"/>
          <w:szCs w:val="32"/>
          <w:highlight w:val="none"/>
          <w:lang w:val="en-US" w:eastAsia="zh-CN"/>
        </w:rPr>
        <w:t>增加2</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w:t>
      </w:r>
      <w:r>
        <w:rPr>
          <w:rFonts w:hint="eastAsia"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lang w:val="en-US" w:eastAsia="zh-CN"/>
        </w:rPr>
        <w:t>14.29</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车辆老旧，维修费用增加</w:t>
      </w:r>
      <w:r>
        <w:rPr>
          <w:rFonts w:hint="eastAsia" w:ascii="仿宋_GB2312" w:hAnsi="宋体" w:eastAsia="仿宋_GB2312" w:cs="宋体"/>
          <w:kern w:val="0"/>
          <w:sz w:val="32"/>
          <w:szCs w:val="32"/>
          <w:highlight w:val="none"/>
        </w:rPr>
        <w:t>；公务接待费</w:t>
      </w:r>
      <w:r>
        <w:rPr>
          <w:rFonts w:hint="eastAsia" w:ascii="仿宋_GB2312" w:hAnsi="宋体" w:eastAsia="仿宋_GB2312" w:cs="宋体"/>
          <w:kern w:val="0"/>
          <w:sz w:val="32"/>
          <w:szCs w:val="32"/>
          <w:highlight w:val="none"/>
          <w:lang w:val="en-US" w:eastAsia="zh-CN"/>
        </w:rPr>
        <w:t>增加0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val="en-US" w:eastAsia="zh-CN"/>
        </w:rPr>
        <w:t>增长0</w:t>
      </w:r>
      <w:r>
        <w:rPr>
          <w:rFonts w:hint="eastAsia" w:ascii="仿宋_GB2312" w:hAnsi="宋体" w:eastAsia="仿宋_GB2312" w:cs="宋体"/>
          <w:kern w:val="0"/>
          <w:sz w:val="32"/>
          <w:szCs w:val="32"/>
          <w:highlight w:val="none"/>
        </w:rPr>
        <w:t>%，主要原因是</w:t>
      </w:r>
      <w:r>
        <w:rPr>
          <w:rFonts w:hint="eastAsia" w:ascii="仿宋_GB2312" w:hAnsi="宋体" w:eastAsia="仿宋_GB2312" w:cs="宋体"/>
          <w:kern w:val="0"/>
          <w:sz w:val="32"/>
          <w:szCs w:val="32"/>
          <w:highlight w:val="none"/>
          <w:lang w:val="en-US" w:eastAsia="zh-CN"/>
        </w:rPr>
        <w:t>本着接待费不增加的原则做计划</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九、关于</w:t>
      </w:r>
      <w:r>
        <w:rPr>
          <w:rFonts w:hint="eastAsia" w:ascii="楷体_GB2312" w:hAnsi="楷体_GB2312" w:eastAsia="楷体_GB2312" w:cs="楷体_GB2312"/>
          <w:b/>
          <w:kern w:val="0"/>
          <w:sz w:val="32"/>
          <w:szCs w:val="32"/>
          <w:highlight w:val="none"/>
        </w:rPr>
        <w:t>昌吉回族自治州交通运输综合行政执法局</w:t>
      </w:r>
      <w:r>
        <w:rPr>
          <w:rFonts w:hint="eastAsia" w:ascii="楷体_GB2312" w:hAnsi="楷体_GB2312" w:eastAsia="楷体_GB2312" w:cs="楷体_GB2312"/>
          <w:b/>
          <w:bCs/>
          <w:kern w:val="0"/>
          <w:sz w:val="32"/>
          <w:szCs w:val="32"/>
          <w:highlight w:val="none"/>
        </w:rPr>
        <w:t>2022年政府性基金预算拨款情况说明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宋体" w:eastAsia="仿宋_GB2312" w:cs="宋体"/>
          <w:kern w:val="0"/>
          <w:sz w:val="32"/>
          <w:szCs w:val="32"/>
          <w:highlight w:val="none"/>
        </w:rPr>
        <w:t>昌吉回族自治州交通运输综合行政执法局</w:t>
      </w:r>
      <w:r>
        <w:rPr>
          <w:rFonts w:hint="eastAsia" w:ascii="仿宋_GB2312" w:hAnsi="仿宋_GB2312" w:eastAsia="仿宋_GB2312" w:cs="仿宋_GB2312"/>
          <w:kern w:val="0"/>
          <w:sz w:val="32"/>
          <w:szCs w:val="32"/>
          <w:highlight w:val="none"/>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highlight w:val="none"/>
        </w:rPr>
      </w:pPr>
      <w:r>
        <w:rPr>
          <w:rFonts w:hint="eastAsia" w:ascii="楷体_GB2312" w:hAnsi="楷体_GB2312" w:eastAsia="楷体_GB2312" w:cs="楷体_GB2312"/>
          <w:b/>
          <w:bCs/>
          <w:kern w:val="0"/>
          <w:sz w:val="32"/>
          <w:szCs w:val="32"/>
          <w:highlight w:val="none"/>
        </w:rPr>
        <w:t>十、其他重要事项的情况说明</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（一）机关运行经费情况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rPr>
        <w:t>昌吉回族自治州交通运输综合行政执法局</w:t>
      </w:r>
      <w:r>
        <w:rPr>
          <w:rFonts w:hint="eastAsia" w:ascii="仿宋_GB2312" w:hAnsi="仿宋_GB2312" w:eastAsia="仿宋_GB2312" w:cs="仿宋_GB2312"/>
          <w:kern w:val="0"/>
          <w:sz w:val="32"/>
          <w:szCs w:val="32"/>
          <w:highlight w:val="none"/>
        </w:rPr>
        <w:t>机关运行经费财政拨款预算</w:t>
      </w:r>
      <w:r>
        <w:rPr>
          <w:rFonts w:hint="eastAsia" w:ascii="仿宋_GB2312" w:hAnsi="仿宋_GB2312" w:eastAsia="仿宋_GB2312" w:cs="仿宋_GB2312"/>
          <w:kern w:val="0"/>
          <w:sz w:val="32"/>
          <w:szCs w:val="32"/>
          <w:highlight w:val="none"/>
          <w:lang w:val="en-US" w:eastAsia="zh-CN"/>
        </w:rPr>
        <w:t>58.51</w:t>
      </w:r>
      <w:r>
        <w:rPr>
          <w:rFonts w:hint="eastAsia" w:ascii="仿宋_GB2312" w:hAnsi="仿宋_GB2312" w:eastAsia="仿宋_GB2312" w:cs="仿宋_GB2312"/>
          <w:kern w:val="0"/>
          <w:sz w:val="32"/>
          <w:szCs w:val="32"/>
          <w:highlight w:val="none"/>
        </w:rPr>
        <w:t>万元，比上年预算增加</w:t>
      </w:r>
      <w:r>
        <w:rPr>
          <w:rFonts w:hint="eastAsia" w:ascii="仿宋_GB2312" w:hAnsi="仿宋_GB2312" w:eastAsia="仿宋_GB2312" w:cs="仿宋_GB2312"/>
          <w:kern w:val="0"/>
          <w:sz w:val="32"/>
          <w:szCs w:val="32"/>
          <w:highlight w:val="none"/>
          <w:lang w:val="en-US" w:eastAsia="zh-CN"/>
        </w:rPr>
        <w:t>0.9</w:t>
      </w:r>
      <w:r>
        <w:rPr>
          <w:rFonts w:hint="eastAsia" w:ascii="仿宋_GB2312" w:hAnsi="仿宋_GB2312" w:eastAsia="仿宋_GB2312" w:cs="仿宋_GB2312"/>
          <w:kern w:val="0"/>
          <w:sz w:val="32"/>
          <w:szCs w:val="32"/>
          <w:highlight w:val="none"/>
        </w:rPr>
        <w:t>万元，增长</w:t>
      </w:r>
      <w:r>
        <w:rPr>
          <w:rFonts w:hint="eastAsia" w:ascii="仿宋_GB2312" w:hAnsi="仿宋_GB2312" w:eastAsia="仿宋_GB2312" w:cs="仿宋_GB2312"/>
          <w:kern w:val="0"/>
          <w:sz w:val="32"/>
          <w:szCs w:val="32"/>
          <w:highlight w:val="none"/>
          <w:lang w:val="en-US" w:eastAsia="zh-CN"/>
        </w:rPr>
        <w:t>1.56</w:t>
      </w:r>
      <w:r>
        <w:rPr>
          <w:rFonts w:hint="eastAsia" w:ascii="仿宋_GB2312" w:hAnsi="仿宋_GB2312" w:eastAsia="仿宋_GB2312" w:cs="仿宋_GB2312"/>
          <w:kern w:val="0"/>
          <w:sz w:val="32"/>
          <w:szCs w:val="32"/>
          <w:highlight w:val="none"/>
        </w:rPr>
        <w:t>%。主要原因是</w:t>
      </w:r>
      <w:r>
        <w:rPr>
          <w:rFonts w:hint="eastAsia" w:ascii="仿宋_GB2312" w:hAnsi="仿宋_GB2312" w:eastAsia="仿宋_GB2312" w:cs="仿宋_GB2312"/>
          <w:kern w:val="0"/>
          <w:sz w:val="32"/>
          <w:szCs w:val="32"/>
          <w:highlight w:val="none"/>
          <w:lang w:val="en-US" w:eastAsia="zh-CN"/>
        </w:rPr>
        <w:t>人员变动预算增加</w:t>
      </w:r>
      <w:r>
        <w:rPr>
          <w:rFonts w:hint="eastAsia" w:ascii="仿宋_GB2312" w:hAnsi="仿宋_GB2312" w:eastAsia="仿宋_GB2312" w:cs="仿宋_GB2312"/>
          <w:kern w:val="0"/>
          <w:sz w:val="32"/>
          <w:szCs w:val="32"/>
          <w:highlight w:val="none"/>
        </w:rPr>
        <w:t>。</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（二）政府采购情况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w:t>
      </w:r>
      <w:r>
        <w:rPr>
          <w:rFonts w:hint="eastAsia" w:ascii="仿宋_GB2312" w:hAnsi="宋体" w:eastAsia="仿宋_GB2312" w:cs="宋体"/>
          <w:kern w:val="0"/>
          <w:sz w:val="32"/>
          <w:szCs w:val="32"/>
          <w:highlight w:val="none"/>
        </w:rPr>
        <w:t>昌吉回族自治州交通运输综合行政执法局</w:t>
      </w:r>
      <w:r>
        <w:rPr>
          <w:rFonts w:hint="eastAsia" w:ascii="仿宋_GB2312" w:hAnsi="仿宋_GB2312" w:eastAsia="仿宋_GB2312" w:cs="仿宋_GB2312"/>
          <w:kern w:val="0"/>
          <w:sz w:val="32"/>
          <w:szCs w:val="32"/>
          <w:highlight w:val="none"/>
        </w:rPr>
        <w:t>政府采购预算</w:t>
      </w:r>
      <w:r>
        <w:rPr>
          <w:rFonts w:hint="eastAsia" w:ascii="仿宋_GB2312" w:hAnsi="仿宋_GB2312" w:eastAsia="仿宋_GB2312" w:cs="仿宋_GB2312"/>
          <w:kern w:val="0"/>
          <w:sz w:val="32"/>
          <w:szCs w:val="32"/>
          <w:highlight w:val="none"/>
          <w:lang w:val="en-US" w:eastAsia="zh-CN"/>
        </w:rPr>
        <w:t>45.78</w:t>
      </w:r>
      <w:r>
        <w:rPr>
          <w:rFonts w:hint="eastAsia" w:ascii="仿宋_GB2312" w:hAnsi="仿宋_GB2312" w:eastAsia="仿宋_GB2312" w:cs="仿宋_GB2312"/>
          <w:kern w:val="0"/>
          <w:sz w:val="32"/>
          <w:szCs w:val="32"/>
          <w:highlight w:val="none"/>
        </w:rPr>
        <w:t>万元，其中：政府采购货物预算</w:t>
      </w:r>
      <w:r>
        <w:rPr>
          <w:rFonts w:hint="eastAsia" w:ascii="仿宋_GB2312" w:hAnsi="仿宋_GB2312" w:eastAsia="仿宋_GB2312" w:cs="仿宋_GB2312"/>
          <w:kern w:val="0"/>
          <w:sz w:val="32"/>
          <w:szCs w:val="32"/>
          <w:highlight w:val="none"/>
          <w:lang w:val="en-US" w:eastAsia="zh-CN"/>
        </w:rPr>
        <w:t>11.3</w:t>
      </w:r>
      <w:r>
        <w:rPr>
          <w:rFonts w:hint="eastAsia" w:ascii="仿宋_GB2312" w:hAnsi="仿宋_GB2312" w:eastAsia="仿宋_GB2312" w:cs="仿宋_GB2312"/>
          <w:kern w:val="0"/>
          <w:sz w:val="32"/>
          <w:szCs w:val="32"/>
          <w:highlight w:val="none"/>
        </w:rPr>
        <w:t>万元，政府采购工程预算</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万元，政府采购服务预算</w:t>
      </w:r>
      <w:r>
        <w:rPr>
          <w:rFonts w:hint="eastAsia" w:ascii="仿宋_GB2312" w:hAnsi="仿宋_GB2312" w:eastAsia="仿宋_GB2312" w:cs="仿宋_GB2312"/>
          <w:kern w:val="0"/>
          <w:sz w:val="32"/>
          <w:szCs w:val="32"/>
          <w:highlight w:val="none"/>
          <w:lang w:val="en-US" w:eastAsia="zh-CN"/>
        </w:rPr>
        <w:t>38.48</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highlight w:val="none"/>
        </w:rPr>
        <w:t>2022年度本部门（单位）面向中小企业预留政府采购项目预算金额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万元，其中：面向小微企业预留政府采购项目预算金额</w:t>
      </w:r>
      <w:r>
        <w:rPr>
          <w:rFonts w:hint="eastAsia"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万元。</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（三）国有资产占用使用情况</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截至2021年底，</w:t>
      </w:r>
      <w:r>
        <w:rPr>
          <w:rFonts w:hint="eastAsia" w:ascii="仿宋_GB2312" w:hAnsi="宋体" w:eastAsia="仿宋_GB2312" w:cs="宋体"/>
          <w:kern w:val="0"/>
          <w:sz w:val="32"/>
          <w:szCs w:val="32"/>
          <w:highlight w:val="none"/>
        </w:rPr>
        <w:t>昌吉回族自治州交通运输综合行政执法局</w:t>
      </w:r>
      <w:r>
        <w:rPr>
          <w:rFonts w:hint="eastAsia" w:ascii="仿宋_GB2312" w:hAnsi="仿宋_GB2312" w:eastAsia="仿宋_GB2312" w:cs="仿宋_GB2312"/>
          <w:kern w:val="0"/>
          <w:sz w:val="32"/>
          <w:szCs w:val="32"/>
          <w:highlight w:val="none"/>
        </w:rPr>
        <w:t>占用使用国有资产总体情况为</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1.房屋</w:t>
      </w:r>
      <w:r>
        <w:rPr>
          <w:rFonts w:hint="eastAsia" w:ascii="仿宋_GB2312" w:hAnsi="仿宋_GB2312" w:eastAsia="仿宋_GB2312" w:cs="仿宋_GB2312"/>
          <w:kern w:val="0"/>
          <w:sz w:val="32"/>
          <w:szCs w:val="32"/>
          <w:highlight w:val="none"/>
          <w:lang w:val="en-US" w:eastAsia="zh-CN"/>
        </w:rPr>
        <w:t>13456.72</w:t>
      </w:r>
      <w:r>
        <w:rPr>
          <w:rFonts w:hint="eastAsia" w:ascii="仿宋_GB2312" w:hAnsi="仿宋_GB2312" w:eastAsia="仿宋_GB2312" w:cs="仿宋_GB2312"/>
          <w:kern w:val="0"/>
          <w:sz w:val="32"/>
          <w:szCs w:val="32"/>
          <w:highlight w:val="none"/>
        </w:rPr>
        <w:t>平方米，价值</w:t>
      </w:r>
      <w:r>
        <w:rPr>
          <w:rFonts w:hint="eastAsia" w:ascii="仿宋_GB2312" w:hAnsi="仿宋_GB2312" w:eastAsia="仿宋_GB2312" w:cs="仿宋_GB2312"/>
          <w:kern w:val="0"/>
          <w:sz w:val="32"/>
          <w:szCs w:val="32"/>
          <w:highlight w:val="none"/>
          <w:lang w:val="en-US" w:eastAsia="zh-CN"/>
        </w:rPr>
        <w:t>1136.88</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2.车辆</w:t>
      </w:r>
      <w:r>
        <w:rPr>
          <w:rFonts w:hint="eastAsia" w:ascii="仿宋_GB2312" w:hAnsi="仿宋_GB2312" w:eastAsia="仿宋_GB2312" w:cs="仿宋_GB2312"/>
          <w:kern w:val="0"/>
          <w:sz w:val="32"/>
          <w:szCs w:val="32"/>
          <w:highlight w:val="none"/>
          <w:lang w:val="en-US" w:eastAsia="zh-CN"/>
        </w:rPr>
        <w:t>16</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333.85</w:t>
      </w:r>
      <w:r>
        <w:rPr>
          <w:rFonts w:hint="eastAsia" w:ascii="仿宋_GB2312" w:hAnsi="仿宋_GB2312" w:eastAsia="仿宋_GB2312" w:cs="仿宋_GB2312"/>
          <w:kern w:val="0"/>
          <w:sz w:val="32"/>
          <w:szCs w:val="32"/>
          <w:highlight w:val="none"/>
        </w:rPr>
        <w:t>万元；其中：一般公务用车</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万元；执法执勤用车</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110.79</w:t>
      </w:r>
      <w:r>
        <w:rPr>
          <w:rFonts w:hint="eastAsia" w:ascii="仿宋_GB2312" w:hAnsi="仿宋_GB2312" w:eastAsia="仿宋_GB2312" w:cs="仿宋_GB2312"/>
          <w:kern w:val="0"/>
          <w:sz w:val="32"/>
          <w:szCs w:val="32"/>
          <w:highlight w:val="none"/>
        </w:rPr>
        <w:t>万元；其他车</w:t>
      </w:r>
      <w:r>
        <w:rPr>
          <w:rFonts w:hint="eastAsia" w:ascii="仿宋_GB2312" w:hAnsi="仿宋_GB2312" w:eastAsia="仿宋_GB2312" w:cs="仿宋_GB2312"/>
          <w:kern w:val="0"/>
          <w:sz w:val="32"/>
          <w:szCs w:val="32"/>
          <w:highlight w:val="none"/>
          <w:lang w:val="en-US" w:eastAsia="zh-CN"/>
        </w:rPr>
        <w:t>8</w:t>
      </w:r>
      <w:r>
        <w:rPr>
          <w:rFonts w:hint="eastAsia" w:ascii="仿宋_GB2312" w:hAnsi="仿宋_GB2312" w:eastAsia="仿宋_GB2312" w:cs="仿宋_GB2312"/>
          <w:kern w:val="0"/>
          <w:sz w:val="32"/>
          <w:szCs w:val="32"/>
          <w:highlight w:val="none"/>
        </w:rPr>
        <w:t>辆，价值</w:t>
      </w:r>
      <w:r>
        <w:rPr>
          <w:rFonts w:hint="eastAsia" w:ascii="仿宋_GB2312" w:hAnsi="仿宋_GB2312" w:eastAsia="仿宋_GB2312" w:cs="仿宋_GB2312"/>
          <w:kern w:val="0"/>
          <w:sz w:val="32"/>
          <w:szCs w:val="32"/>
          <w:highlight w:val="none"/>
          <w:lang w:val="en-US" w:eastAsia="zh-CN"/>
        </w:rPr>
        <w:t>223.06</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3.办公家具价值</w:t>
      </w:r>
      <w:r>
        <w:rPr>
          <w:rFonts w:hint="eastAsia" w:ascii="仿宋_GB2312" w:hAnsi="仿宋_GB2312" w:eastAsia="仿宋_GB2312" w:cs="仿宋_GB2312"/>
          <w:kern w:val="0"/>
          <w:sz w:val="32"/>
          <w:szCs w:val="32"/>
          <w:highlight w:val="none"/>
          <w:lang w:val="en-US" w:eastAsia="zh-CN"/>
        </w:rPr>
        <w:t>33.57</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4.其他资产价值</w:t>
      </w:r>
      <w:r>
        <w:rPr>
          <w:rFonts w:hint="eastAsia" w:ascii="仿宋_GB2312" w:hAnsi="仿宋_GB2312" w:eastAsia="仿宋_GB2312" w:cs="仿宋_GB2312"/>
          <w:kern w:val="0"/>
          <w:sz w:val="32"/>
          <w:szCs w:val="32"/>
          <w:highlight w:val="none"/>
          <w:lang w:val="en-US" w:eastAsia="zh-CN"/>
        </w:rPr>
        <w:t>378.77</w:t>
      </w:r>
      <w:r>
        <w:rPr>
          <w:rFonts w:hint="eastAsia" w:ascii="仿宋_GB2312" w:hAnsi="仿宋_GB2312" w:eastAsia="仿宋_GB2312" w:cs="仿宋_GB2312"/>
          <w:kern w:val="0"/>
          <w:sz w:val="32"/>
          <w:szCs w:val="32"/>
          <w:highlight w:val="none"/>
        </w:rPr>
        <w:t>万元。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单位价值50万元以上大型设备</w:t>
      </w:r>
      <w:r>
        <w:rPr>
          <w:rFonts w:hint="eastAsia" w:ascii="仿宋_GB2312" w:hAnsi="仿宋_GB2312" w:eastAsia="仿宋_GB2312" w:cs="仿宋_GB2312"/>
          <w:kern w:val="0"/>
          <w:sz w:val="32"/>
          <w:szCs w:val="32"/>
          <w:highlight w:val="none"/>
          <w:lang w:val="en-US" w:eastAsia="zh-CN"/>
        </w:rPr>
        <w:t>1</w:t>
      </w:r>
      <w:r>
        <w:rPr>
          <w:rFonts w:hint="eastAsia" w:ascii="仿宋_GB2312" w:hAnsi="仿宋_GB2312" w:eastAsia="仿宋_GB2312" w:cs="仿宋_GB2312"/>
          <w:kern w:val="0"/>
          <w:sz w:val="32"/>
          <w:szCs w:val="32"/>
          <w:highlight w:val="none"/>
        </w:rPr>
        <w:t>台（套），单位价值100万元以上大型设备</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b/>
          <w:kern w:val="0"/>
          <w:sz w:val="32"/>
          <w:szCs w:val="32"/>
          <w:highlight w:val="none"/>
        </w:rPr>
        <w:t>（四）预算绩效情况</w:t>
      </w:r>
    </w:p>
    <w:p>
      <w:pPr>
        <w:spacing w:line="560" w:lineRule="exact"/>
        <w:ind w:firstLine="640" w:firstLineChars="200"/>
        <w:rPr>
          <w:rFonts w:hint="eastAsia" w:ascii="楷体_GB2312" w:hAnsi="宋体" w:eastAsia="楷体_GB2312" w:cs="宋体"/>
          <w:b/>
          <w:kern w:val="0"/>
          <w:sz w:val="32"/>
          <w:szCs w:val="32"/>
          <w:highlight w:val="none"/>
        </w:rPr>
      </w:pPr>
      <w:r>
        <w:rPr>
          <w:rFonts w:hint="eastAsia" w:ascii="仿宋_GB2312" w:hAnsi="仿宋_GB2312" w:eastAsia="仿宋_GB2312" w:cs="仿宋_GB2312"/>
          <w:kern w:val="0"/>
          <w:sz w:val="32"/>
          <w:szCs w:val="32"/>
          <w:highlight w:val="none"/>
        </w:rPr>
        <w:t>2022年，本年度预算绩效管理的</w:t>
      </w:r>
      <w:r>
        <w:rPr>
          <w:rFonts w:hint="eastAsia" w:ascii="仿宋_GB2312" w:hAnsi="仿宋_GB2312" w:eastAsia="仿宋_GB2312" w:cs="仿宋_GB2312"/>
          <w:kern w:val="0"/>
          <w:sz w:val="32"/>
          <w:szCs w:val="32"/>
          <w:highlight w:val="none"/>
          <w:lang w:eastAsia="zh-Hans"/>
        </w:rPr>
        <w:t>财政拨款</w:t>
      </w:r>
      <w:r>
        <w:rPr>
          <w:rFonts w:hint="eastAsia" w:ascii="仿宋_GB2312" w:hAnsi="仿宋_GB2312" w:eastAsia="仿宋_GB2312" w:cs="仿宋_GB2312"/>
          <w:kern w:val="0"/>
          <w:sz w:val="32"/>
          <w:szCs w:val="32"/>
          <w:highlight w:val="none"/>
        </w:rPr>
        <w:t>项目</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个，涉及预算金额</w:t>
      </w:r>
      <w:r>
        <w:rPr>
          <w:rFonts w:hint="eastAsia" w:ascii="仿宋_GB2312" w:hAnsi="仿宋_GB2312" w:eastAsia="仿宋_GB2312" w:cs="仿宋_GB2312"/>
          <w:kern w:val="0"/>
          <w:sz w:val="32"/>
          <w:szCs w:val="32"/>
          <w:highlight w:val="none"/>
          <w:lang w:val="en-US" w:eastAsia="zh-CN"/>
        </w:rPr>
        <w:t>0</w:t>
      </w:r>
      <w:r>
        <w:rPr>
          <w:rFonts w:hint="eastAsia" w:ascii="仿宋_GB2312" w:hAnsi="仿宋_GB2312" w:eastAsia="仿宋_GB2312" w:cs="仿宋_GB2312"/>
          <w:kern w:val="0"/>
          <w:sz w:val="32"/>
          <w:szCs w:val="32"/>
          <w:highlight w:val="none"/>
        </w:rPr>
        <w:t>万元。</w:t>
      </w:r>
    </w:p>
    <w:p>
      <w:pPr>
        <w:spacing w:line="60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spacing w:line="60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无其他需要说明的事项。</w:t>
      </w:r>
    </w:p>
    <w:p>
      <w:pPr>
        <w:spacing w:line="600" w:lineRule="exact"/>
        <w:ind w:firstLine="640" w:firstLineChars="200"/>
        <w:rPr>
          <w:rFonts w:ascii="仿宋_GB2312" w:hAnsi="宋体" w:eastAsia="仿宋_GB2312" w:cs="宋体"/>
          <w:kern w:val="0"/>
          <w:sz w:val="32"/>
          <w:szCs w:val="32"/>
          <w:highlight w:val="none"/>
        </w:rPr>
      </w:pPr>
    </w:p>
    <w:p>
      <w:pPr>
        <w:spacing w:line="560" w:lineRule="exact"/>
        <w:jc w:val="center"/>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spacing w:line="560" w:lineRule="exact"/>
        <w:ind w:firstLine="640" w:firstLineChars="200"/>
        <w:rPr>
          <w:rFonts w:ascii="黑体" w:hAnsi="黑体" w:eastAsia="黑体"/>
          <w:sz w:val="32"/>
          <w:szCs w:val="32"/>
          <w:highlight w:val="none"/>
        </w:rPr>
      </w:pP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一、财政拨款：</w:t>
      </w:r>
      <w:r>
        <w:rPr>
          <w:rFonts w:hint="eastAsia" w:ascii="仿宋_GB2312" w:eastAsia="仿宋_GB2312"/>
          <w:sz w:val="32"/>
          <w:szCs w:val="32"/>
          <w:highlight w:val="none"/>
        </w:rPr>
        <w:t>指由一般公共预算、政府性基金预算、国有资本经营预算安排的财政拨款数。</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rPr>
        <w:t>二、一般公共预算：</w:t>
      </w:r>
      <w:r>
        <w:rPr>
          <w:rFonts w:hint="eastAsia" w:ascii="仿宋_GB2312" w:eastAsia="仿宋_GB2312"/>
          <w:spacing w:val="-6"/>
          <w:sz w:val="32"/>
          <w:szCs w:val="32"/>
          <w:highlight w:val="none"/>
        </w:rPr>
        <w:t>包括公共财政拨款（补助）资金、专项收入。</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三</w:t>
      </w:r>
      <w:r>
        <w:rPr>
          <w:rFonts w:hint="eastAsia" w:ascii="楷体_GB2312" w:hAnsi="楷体_GB2312" w:eastAsia="楷体_GB2312" w:cs="楷体_GB2312"/>
          <w:b/>
          <w:bCs/>
          <w:sz w:val="32"/>
          <w:szCs w:val="32"/>
          <w:highlight w:val="none"/>
        </w:rPr>
        <w:t>、基本支出：</w:t>
      </w:r>
      <w:r>
        <w:rPr>
          <w:rFonts w:hint="eastAsia" w:ascii="仿宋_GB2312" w:eastAsia="仿宋_GB2312"/>
          <w:sz w:val="32"/>
          <w:szCs w:val="32"/>
          <w:highlight w:val="none"/>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highlight w:val="none"/>
        </w:rPr>
      </w:pPr>
      <w:r>
        <w:rPr>
          <w:rFonts w:hint="eastAsia" w:ascii="楷体_GB2312" w:hAnsi="楷体_GB2312" w:eastAsia="楷体_GB2312" w:cs="楷体_GB2312"/>
          <w:b/>
          <w:bCs/>
          <w:sz w:val="32"/>
          <w:szCs w:val="32"/>
          <w:highlight w:val="none"/>
          <w:lang w:val="en-US" w:eastAsia="zh-CN"/>
        </w:rPr>
        <w:t>四</w:t>
      </w:r>
      <w:r>
        <w:rPr>
          <w:rFonts w:hint="eastAsia" w:ascii="楷体_GB2312" w:hAnsi="楷体_GB2312" w:eastAsia="楷体_GB2312" w:cs="楷体_GB2312"/>
          <w:b/>
          <w:bCs/>
          <w:sz w:val="32"/>
          <w:szCs w:val="32"/>
          <w:highlight w:val="none"/>
        </w:rPr>
        <w:t>、项目支出：</w:t>
      </w:r>
      <w:r>
        <w:rPr>
          <w:rFonts w:hint="eastAsia" w:ascii="仿宋_GB2312" w:eastAsia="仿宋_GB2312"/>
          <w:sz w:val="32"/>
          <w:szCs w:val="32"/>
          <w:highlight w:val="none"/>
        </w:rPr>
        <w:t>部门（单位）支出预算的组成部分，是</w:t>
      </w:r>
      <w:r>
        <w:rPr>
          <w:rFonts w:hint="eastAsia" w:ascii="仿宋_GB2312" w:eastAsia="仿宋_GB2312"/>
          <w:sz w:val="32"/>
          <w:szCs w:val="32"/>
          <w:highlight w:val="none"/>
          <w:lang w:eastAsia="zh-CN"/>
        </w:rPr>
        <w:t>州</w:t>
      </w:r>
      <w:r>
        <w:rPr>
          <w:rFonts w:hint="eastAsia" w:ascii="仿宋_GB2312" w:eastAsia="仿宋_GB2312"/>
          <w:sz w:val="32"/>
          <w:szCs w:val="32"/>
          <w:highlight w:val="none"/>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highlight w:val="none"/>
        </w:rPr>
      </w:pPr>
      <w:r>
        <w:rPr>
          <w:rFonts w:hint="eastAsia" w:ascii="楷体_GB2312" w:hAnsi="楷体_GB2312" w:eastAsia="楷体_GB2312" w:cs="楷体_GB2312"/>
          <w:b/>
          <w:bCs/>
          <w:sz w:val="32"/>
          <w:szCs w:val="32"/>
          <w:highlight w:val="none"/>
          <w:lang w:val="en-US" w:eastAsia="zh-CN"/>
        </w:rPr>
        <w:t>五</w:t>
      </w:r>
      <w:r>
        <w:rPr>
          <w:rFonts w:hint="eastAsia" w:ascii="楷体_GB2312" w:hAnsi="楷体_GB2312" w:eastAsia="楷体_GB2312" w:cs="楷体_GB2312"/>
          <w:b/>
          <w:bCs/>
          <w:sz w:val="32"/>
          <w:szCs w:val="32"/>
          <w:highlight w:val="none"/>
        </w:rPr>
        <w:t>、“三公”经费：</w:t>
      </w:r>
      <w:r>
        <w:rPr>
          <w:rFonts w:hint="eastAsia" w:ascii="仿宋_GB2312" w:eastAsia="仿宋_GB2312"/>
          <w:sz w:val="32"/>
          <w:szCs w:val="32"/>
          <w:highlight w:val="none"/>
        </w:rPr>
        <w:t>指</w:t>
      </w:r>
      <w:r>
        <w:rPr>
          <w:rFonts w:hint="eastAsia" w:ascii="仿宋_GB2312" w:eastAsia="仿宋_GB2312"/>
          <w:sz w:val="32"/>
          <w:szCs w:val="32"/>
          <w:highlight w:val="none"/>
          <w:lang w:eastAsia="zh-CN"/>
        </w:rPr>
        <w:t>州本级</w:t>
      </w:r>
      <w:r>
        <w:rPr>
          <w:rFonts w:hint="eastAsia" w:ascii="仿宋_GB2312" w:eastAsia="仿宋_GB2312"/>
          <w:sz w:val="32"/>
          <w:szCs w:val="32"/>
          <w:highlight w:val="none"/>
        </w:rPr>
        <w:t>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highlight w:val="none"/>
        </w:rPr>
        <w:t>务接待费指单位按规定开支的各类公务接待（含外宾接待）支出。</w:t>
      </w:r>
    </w:p>
    <w:p>
      <w:pPr>
        <w:spacing w:line="560" w:lineRule="exact"/>
        <w:ind w:firstLine="643" w:firstLineChars="200"/>
        <w:rPr>
          <w:rFonts w:ascii="仿宋_GB2312" w:eastAsia="仿宋_GB2312"/>
          <w:spacing w:val="-11"/>
          <w:sz w:val="32"/>
          <w:szCs w:val="32"/>
          <w:highlight w:val="none"/>
        </w:rPr>
      </w:pPr>
      <w:r>
        <w:rPr>
          <w:rFonts w:hint="eastAsia" w:ascii="楷体_GB2312" w:hAnsi="楷体_GB2312" w:eastAsia="楷体_GB2312" w:cs="楷体_GB2312"/>
          <w:b/>
          <w:bCs/>
          <w:sz w:val="32"/>
          <w:szCs w:val="32"/>
          <w:highlight w:val="none"/>
          <w:lang w:val="en-US" w:eastAsia="zh-CN"/>
        </w:rPr>
        <w:t>六</w:t>
      </w:r>
      <w:r>
        <w:rPr>
          <w:rFonts w:hint="eastAsia" w:ascii="楷体_GB2312" w:hAnsi="楷体_GB2312" w:eastAsia="楷体_GB2312" w:cs="楷体_GB2312"/>
          <w:b/>
          <w:bCs/>
          <w:sz w:val="32"/>
          <w:szCs w:val="32"/>
          <w:highlight w:val="none"/>
        </w:rPr>
        <w:t>、机关运行经费：</w:t>
      </w:r>
      <w:r>
        <w:rPr>
          <w:rFonts w:hint="eastAsia" w:ascii="仿宋_GB2312" w:eastAsia="仿宋_GB2312"/>
          <w:sz w:val="32"/>
          <w:szCs w:val="32"/>
          <w:highlight w:val="none"/>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highlight w:val="none"/>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highlight w:val="none"/>
        </w:rPr>
      </w:pP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昌吉回族自治州交通运输综合行政执法局</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                        2022</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2</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12</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07C8"/>
    <w:rsid w:val="00F91EEB"/>
    <w:rsid w:val="014856A4"/>
    <w:rsid w:val="06DF6ACE"/>
    <w:rsid w:val="09350DC6"/>
    <w:rsid w:val="09C01340"/>
    <w:rsid w:val="0BD1459C"/>
    <w:rsid w:val="0CA3116B"/>
    <w:rsid w:val="0D3C1C70"/>
    <w:rsid w:val="0DD47A77"/>
    <w:rsid w:val="0FA737B2"/>
    <w:rsid w:val="0FDD12BC"/>
    <w:rsid w:val="10663D30"/>
    <w:rsid w:val="11AC786B"/>
    <w:rsid w:val="11D041D0"/>
    <w:rsid w:val="13C8517E"/>
    <w:rsid w:val="155264F4"/>
    <w:rsid w:val="160C1F08"/>
    <w:rsid w:val="161C116C"/>
    <w:rsid w:val="1A480655"/>
    <w:rsid w:val="1B65432C"/>
    <w:rsid w:val="1BFB17C7"/>
    <w:rsid w:val="1CE119EA"/>
    <w:rsid w:val="1E2F53D8"/>
    <w:rsid w:val="24665C59"/>
    <w:rsid w:val="251B0699"/>
    <w:rsid w:val="291512F1"/>
    <w:rsid w:val="2D566942"/>
    <w:rsid w:val="3502007D"/>
    <w:rsid w:val="3D065C9A"/>
    <w:rsid w:val="3FD81ABE"/>
    <w:rsid w:val="415C1173"/>
    <w:rsid w:val="41740FD8"/>
    <w:rsid w:val="445C578B"/>
    <w:rsid w:val="45077D2C"/>
    <w:rsid w:val="48EC7E6A"/>
    <w:rsid w:val="4F7216D7"/>
    <w:rsid w:val="4FEF36AE"/>
    <w:rsid w:val="51B57295"/>
    <w:rsid w:val="51DC16B6"/>
    <w:rsid w:val="52B477D1"/>
    <w:rsid w:val="59747854"/>
    <w:rsid w:val="5FFD3D15"/>
    <w:rsid w:val="628B3274"/>
    <w:rsid w:val="637C1157"/>
    <w:rsid w:val="63C87D8C"/>
    <w:rsid w:val="6627654E"/>
    <w:rsid w:val="6AFD7AE6"/>
    <w:rsid w:val="6C9C16DC"/>
    <w:rsid w:val="6CE23CF0"/>
    <w:rsid w:val="71442A3D"/>
    <w:rsid w:val="722344B4"/>
    <w:rsid w:val="74881F36"/>
    <w:rsid w:val="759F5118"/>
    <w:rsid w:val="7BB42B35"/>
    <w:rsid w:val="7C0474EC"/>
    <w:rsid w:val="7CB1685A"/>
    <w:rsid w:val="7DBA6BB7"/>
    <w:rsid w:val="7E281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21</Pages>
  <Words>6396</Words>
  <Characters>7749</Characters>
  <Lines>69</Lines>
  <Paragraphs>19</Paragraphs>
  <TotalTime>1</TotalTime>
  <ScaleCrop>false</ScaleCrop>
  <LinksUpToDate>false</LinksUpToDate>
  <CharactersWithSpaces>8360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dcterms:modified xsi:type="dcterms:W3CDTF">2022-04-21T12:29:57Z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D22C9ED1408943D8A9D1A4B5573F45F9</vt:lpwstr>
  </property>
</Properties>
</file>