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lang w:val="en-US" w:eastAsia="zh-CN"/>
        </w:rPr>
      </w:pPr>
      <w:r>
        <w:rPr>
          <w:rFonts w:hint="eastAsia" w:ascii="方正小标宋_GBK" w:hAnsi="宋体" w:eastAsia="方正小标宋_GBK"/>
          <w:kern w:val="0"/>
          <w:sz w:val="44"/>
          <w:szCs w:val="44"/>
          <w:highlight w:val="none"/>
          <w:lang w:val="en-US" w:eastAsia="zh-CN"/>
        </w:rPr>
        <w:t>昌吉回族自治州交通运输局</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lang w:val="en-US" w:eastAsia="zh-CN"/>
        </w:rPr>
        <w:t>2022年部门</w:t>
      </w:r>
      <w:r>
        <w:rPr>
          <w:rFonts w:hint="eastAsia" w:ascii="方正小标宋_GBK" w:hAnsi="宋体" w:eastAsia="方正小标宋_GBK"/>
          <w:kern w:val="0"/>
          <w:sz w:val="44"/>
          <w:szCs w:val="44"/>
          <w:highlight w:val="none"/>
        </w:rPr>
        <w:t>预算公开</w:t>
      </w: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both"/>
        <w:outlineLvl w:val="1"/>
        <w:rPr>
          <w:rFonts w:ascii="黑体" w:hAnsi="黑体" w:eastAsia="黑体"/>
          <w:kern w:val="0"/>
          <w:sz w:val="36"/>
          <w:szCs w:val="32"/>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仿宋_GB2312" w:eastAsia="仿宋_GB2312" w:cs="仿宋_GB2312"/>
          <w:b/>
          <w:kern w:val="0"/>
          <w:sz w:val="32"/>
          <w:szCs w:val="32"/>
          <w:highlight w:val="none"/>
          <w:lang w:val="en-US" w:eastAsia="zh-CN"/>
        </w:rPr>
        <w:t>昌吉回族自治州交通运输局</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w:t>
      </w:r>
      <w:r>
        <w:rPr>
          <w:rFonts w:hint="eastAsia" w:ascii="仿宋_GB2312" w:hAnsi="仿宋_GB2312" w:eastAsia="仿宋_GB2312" w:cs="仿宋_GB2312"/>
          <w:b/>
          <w:kern w:val="0"/>
          <w:sz w:val="32"/>
          <w:szCs w:val="32"/>
          <w:highlight w:val="none"/>
          <w:lang w:val="en-US" w:eastAsia="zh-CN"/>
        </w:rPr>
        <w:t>昌吉回族自治州交通运输局</w:t>
      </w:r>
      <w:r>
        <w:rPr>
          <w:rFonts w:hint="eastAsia" w:ascii="仿宋_GB2312" w:hAnsi="仿宋_GB2312" w:eastAsia="仿宋_GB2312" w:cs="仿宋_GB2312"/>
          <w:b/>
          <w:kern w:val="0"/>
          <w:sz w:val="32"/>
          <w:szCs w:val="32"/>
          <w:highlight w:val="none"/>
        </w:rPr>
        <w:t>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仿宋_GB2312" w:eastAsia="仿宋_GB2312" w:cs="仿宋_GB2312"/>
          <w:kern w:val="0"/>
          <w:sz w:val="32"/>
          <w:szCs w:val="32"/>
          <w:highlight w:val="none"/>
          <w:lang w:val="en-US" w:eastAsia="zh-CN"/>
        </w:rPr>
        <w:t>昌吉回族自治州交通运输局</w:t>
      </w:r>
      <w:r>
        <w:rPr>
          <w:rFonts w:hint="eastAsia" w:ascii="仿宋_GB2312" w:hAnsi="仿宋_GB2312" w:eastAsia="仿宋_GB2312" w:cs="仿宋_GB2312"/>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昌吉回族自治州交通运输局概况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40" w:lineRule="exact"/>
        <w:jc w:val="left"/>
        <w:rPr>
          <w:rFonts w:hint="eastAsia" w:ascii="仿宋_GB2312" w:hAnsi="黑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（一）贯彻落实国家和自治区有关公路交通运输行业的方针、政策、法规，并组织实施和监督检查；起草有关地方性法规、政府规章草案和政策措施，并监督实施。</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（二）拟订自治州农村公路交通运输发展规划、计划，并监督实施；参与拟订自治州运输物流业发展战略与规划。</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（三）组织自治州道路运输管理工作。指导城乡交通运输协调发展和城乡交通运输一体化，负责城市公交、出租汽车行业管理工作；</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四）承担农村公路建设市场监管工作。承担管辖农村公路建设项目的招投标监督管理、市场准入、竣工验收和质量监督工作。监督实施公路工程建设相关政策、制度和技术标准，组织协调自治州公路重点工程建设和工程质量、安全生产监督管理工作，维护交通基础设施建设秩序。</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（五）承担自治州农村公路养护管理责任。</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（六）负责并指导自治州交通行业财务、审计、统计工作；会同有关部门拟定交通运输行业价格。</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（七）指导交通运输行业体制改革。</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（八）负责交通运输行业安全生产的监督管理。</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九）贯彻执行交通行业科技政策、技术标准和规范；指导自治州交通运输行业职业教育、培训、职工队伍建设和精神文明建设工作，指导自治州交通运输行业环境保护和节能减排工作。组织交通运输行业统计、运行分析工作。</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（十）指导自治州交通运输行业开展国际经济技术合作与交流及利用外资工作，</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（十一）监督指导交通运输综合行政执法工作‘</w:t>
      </w:r>
    </w:p>
    <w:p>
      <w:pPr>
        <w:widowControl/>
        <w:spacing w:line="540" w:lineRule="exact"/>
        <w:ind w:firstLine="640" w:firstLineChars="200"/>
        <w:jc w:val="left"/>
        <w:rPr>
          <w:rFonts w:hint="eastAsia" w:ascii="仿宋_GB2312" w:hAnsi="黑体" w:eastAsia="仿宋_GB2312" w:cs="宋体"/>
          <w:bCs/>
          <w:kern w:val="0"/>
          <w:sz w:val="32"/>
          <w:szCs w:val="32"/>
          <w:highlight w:val="none"/>
        </w:rPr>
      </w:pPr>
      <w:r>
        <w:rPr>
          <w:rFonts w:hint="eastAsia" w:ascii="仿宋_GB2312" w:hAnsi="黑体" w:eastAsia="仿宋_GB2312" w:cs="宋体"/>
          <w:bCs/>
          <w:kern w:val="0"/>
          <w:sz w:val="32"/>
          <w:szCs w:val="32"/>
          <w:highlight w:val="none"/>
        </w:rPr>
        <w:t>（十二）负责自治州交通战备工作。</w:t>
      </w:r>
    </w:p>
    <w:p>
      <w:pPr>
        <w:widowControl/>
        <w:spacing w:line="540" w:lineRule="exact"/>
        <w:ind w:firstLine="640" w:firstLineChars="200"/>
        <w:jc w:val="left"/>
        <w:rPr>
          <w:rFonts w:ascii="仿宋_GB2312" w:hAnsi="宋体" w:eastAsia="仿宋_GB2312" w:cs="宋体"/>
          <w:bCs/>
          <w:kern w:val="0"/>
          <w:sz w:val="32"/>
          <w:szCs w:val="32"/>
          <w:highlight w:val="none"/>
        </w:rPr>
      </w:pPr>
      <w:r>
        <w:rPr>
          <w:rFonts w:hint="eastAsia" w:ascii="仿宋_GB2312" w:hAnsi="黑体" w:eastAsia="仿宋_GB2312" w:cs="宋体"/>
          <w:bCs/>
          <w:kern w:val="0"/>
          <w:sz w:val="32"/>
          <w:szCs w:val="32"/>
          <w:highlight w:val="none"/>
        </w:rPr>
        <w:t>（十三）完成自治州党委、自治州人民政府交办的其他任务。。</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40" w:lineRule="exact"/>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eastAsia="仿宋_GB2312"/>
          <w:sz w:val="32"/>
          <w:szCs w:val="32"/>
          <w:highlight w:val="none"/>
        </w:rPr>
        <w:t>昌吉州交通运输局下属事业单位共</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个，一是昌吉州交通运输</w:t>
      </w:r>
      <w:r>
        <w:rPr>
          <w:rFonts w:hint="eastAsia" w:ascii="仿宋_GB2312" w:eastAsia="仿宋_GB2312"/>
          <w:sz w:val="32"/>
          <w:szCs w:val="32"/>
          <w:highlight w:val="none"/>
          <w:lang w:val="en-US" w:eastAsia="zh-CN"/>
        </w:rPr>
        <w:t>综合行政执法局</w:t>
      </w:r>
      <w:r>
        <w:rPr>
          <w:rFonts w:hint="eastAsia" w:ascii="仿宋_GB2312" w:eastAsia="仿宋_GB2312"/>
          <w:sz w:val="32"/>
          <w:szCs w:val="32"/>
          <w:highlight w:val="none"/>
        </w:rPr>
        <w:t>；二是昌吉州民航铁路服务中心；三是昌吉州城乡客运服务中心；四是昌吉州</w:t>
      </w:r>
      <w:r>
        <w:rPr>
          <w:rFonts w:hint="eastAsia" w:ascii="仿宋_GB2312" w:eastAsia="仿宋_GB2312"/>
          <w:sz w:val="32"/>
          <w:szCs w:val="32"/>
          <w:highlight w:val="none"/>
          <w:lang w:val="en-US" w:eastAsia="zh-CN"/>
        </w:rPr>
        <w:t>交通运输监测调度中心（州</w:t>
      </w:r>
      <w:r>
        <w:rPr>
          <w:rFonts w:hint="eastAsia" w:ascii="仿宋_GB2312" w:eastAsia="仿宋_GB2312"/>
          <w:sz w:val="32"/>
          <w:szCs w:val="32"/>
          <w:highlight w:val="none"/>
        </w:rPr>
        <w:t>公路工程质量</w:t>
      </w:r>
      <w:r>
        <w:rPr>
          <w:rFonts w:hint="eastAsia" w:ascii="仿宋_GB2312" w:eastAsia="仿宋_GB2312"/>
          <w:sz w:val="32"/>
          <w:szCs w:val="32"/>
          <w:highlight w:val="none"/>
          <w:lang w:val="en-US" w:eastAsia="zh-CN"/>
        </w:rPr>
        <w:t>鉴定中心）；五是物流及邮政业安全中心</w:t>
      </w:r>
      <w:r>
        <w:rPr>
          <w:rFonts w:hint="eastAsia" w:ascii="仿宋_GB2312" w:hAnsi="黑体" w:eastAsia="仿宋_GB2312" w:cs="宋体"/>
          <w:bCs/>
          <w:kern w:val="0"/>
          <w:sz w:val="32"/>
          <w:szCs w:val="32"/>
          <w:highlight w:val="none"/>
        </w:rPr>
        <w:t>，下设</w:t>
      </w:r>
      <w:r>
        <w:rPr>
          <w:rFonts w:hint="eastAsia" w:ascii="仿宋_GB2312" w:hAnsi="黑体" w:eastAsia="仿宋_GB2312" w:cs="宋体"/>
          <w:bCs/>
          <w:kern w:val="0"/>
          <w:sz w:val="32"/>
          <w:szCs w:val="32"/>
          <w:highlight w:val="none"/>
          <w:lang w:val="en-US" w:eastAsia="zh-CN"/>
        </w:rPr>
        <w:t>6</w:t>
      </w:r>
      <w:r>
        <w:rPr>
          <w:rFonts w:hint="eastAsia" w:ascii="仿宋_GB2312" w:hAnsi="黑体" w:eastAsia="仿宋_GB2312" w:cs="宋体"/>
          <w:bCs/>
          <w:kern w:val="0"/>
          <w:sz w:val="32"/>
          <w:szCs w:val="32"/>
          <w:highlight w:val="none"/>
        </w:rPr>
        <w:t>个科室，分别是：</w:t>
      </w:r>
      <w:r>
        <w:rPr>
          <w:rFonts w:hint="eastAsia" w:ascii="仿宋_GB2312" w:eastAsia="仿宋_GB2312"/>
          <w:sz w:val="32"/>
          <w:szCs w:val="32"/>
          <w:highlight w:val="none"/>
        </w:rPr>
        <w:t>办公室（组织人事科）、法规科（安全监督科）、综合规划科（交通战备办公室、行政审批科）、公路管理科、运输管理科、财务审计科</w:t>
      </w:r>
      <w:r>
        <w:rPr>
          <w:rFonts w:hint="eastAsia" w:ascii="仿宋_GB2312" w:hAnsi="宋体" w:eastAsia="仿宋_GB2312" w:cs="宋体"/>
          <w:kern w:val="0"/>
          <w:sz w:val="32"/>
          <w:szCs w:val="32"/>
          <w:highlight w:val="none"/>
        </w:rPr>
        <w:t>。</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昌吉回族自治州交通运输局</w:t>
      </w:r>
      <w:r>
        <w:rPr>
          <w:rFonts w:hint="eastAsia" w:ascii="仿宋_GB2312" w:hAnsi="宋体" w:eastAsia="仿宋_GB2312" w:cs="宋体"/>
          <w:kern w:val="0"/>
          <w:sz w:val="32"/>
          <w:szCs w:val="32"/>
          <w:highlight w:val="none"/>
        </w:rPr>
        <w:t>单位编制数</w:t>
      </w:r>
      <w:r>
        <w:rPr>
          <w:rFonts w:hint="eastAsia" w:ascii="仿宋_GB2312" w:hAnsi="宋体" w:eastAsia="仿宋_GB2312" w:cs="宋体"/>
          <w:kern w:val="0"/>
          <w:sz w:val="32"/>
          <w:szCs w:val="32"/>
          <w:highlight w:val="none"/>
          <w:lang w:val="en-US" w:eastAsia="zh-CN"/>
        </w:rPr>
        <w:t>42</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59</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36</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人； 退休</w:t>
      </w:r>
      <w:r>
        <w:rPr>
          <w:rFonts w:hint="eastAsia" w:ascii="仿宋_GB2312" w:hAnsi="宋体" w:eastAsia="仿宋_GB2312" w:cs="宋体"/>
          <w:kern w:val="0"/>
          <w:sz w:val="32"/>
          <w:szCs w:val="32"/>
          <w:highlight w:val="none"/>
          <w:lang w:val="en-US" w:eastAsia="zh-CN"/>
        </w:rPr>
        <w:t>23</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4</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both"/>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昌吉回族自治州交通运输局</w:t>
      </w:r>
      <w:r>
        <w:rPr>
          <w:rFonts w:hint="eastAsia" w:ascii="仿宋_GB2312" w:hAnsi="宋体" w:eastAsia="仿宋_GB2312"/>
          <w:kern w:val="0"/>
          <w:sz w:val="24"/>
          <w:highlight w:val="none"/>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704.52</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40</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56.82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9"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43.18</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595.2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49.32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744.52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744.52</w:t>
            </w:r>
            <w:r>
              <w:rPr>
                <w:rFonts w:hint="eastAsia" w:ascii="仿宋_GB2312" w:hAnsi="宋体" w:eastAsia="仿宋_GB2312" w:cs="宋体"/>
                <w:kern w:val="0"/>
                <w:sz w:val="18"/>
                <w:szCs w:val="18"/>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eastAsia="zh-CN"/>
        </w:rPr>
        <w:t>昌吉回族自治州交通运输局</w:t>
      </w:r>
      <w:r>
        <w:rPr>
          <w:rFonts w:hint="eastAsia" w:ascii="仿宋_GB2312" w:hAnsi="宋体" w:eastAsia="仿宋_GB2312"/>
          <w:kern w:val="0"/>
          <w:sz w:val="24"/>
          <w:highlight w:val="none"/>
        </w:rPr>
        <w:t xml:space="preserve">                      单位：万元</w:t>
      </w:r>
    </w:p>
    <w:tbl>
      <w:tblPr>
        <w:tblStyle w:val="6"/>
        <w:tblW w:w="9798" w:type="dxa"/>
        <w:tblInd w:w="-450" w:type="dxa"/>
        <w:tblLayout w:type="fixed"/>
        <w:tblCellMar>
          <w:top w:w="0" w:type="dxa"/>
          <w:left w:w="108" w:type="dxa"/>
          <w:bottom w:w="0" w:type="dxa"/>
          <w:right w:w="108" w:type="dxa"/>
        </w:tblCellMar>
      </w:tblPr>
      <w:tblGrid>
        <w:gridCol w:w="594"/>
        <w:gridCol w:w="478"/>
        <w:gridCol w:w="567"/>
        <w:gridCol w:w="1814"/>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81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814"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850"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95"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921"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660"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08"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684" w:type="dxa"/>
            <w:tcBorders>
              <w:top w:val="single" w:color="auto" w:sz="4" w:space="0"/>
              <w:left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253" w:hRule="atLeast"/>
        </w:trPr>
        <w:tc>
          <w:tcPr>
            <w:tcW w:w="594"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shd w:val="clear" w:color="auto" w:fill="auto"/>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shd w:val="clear" w:color="000000" w:fill="FFFFFF"/>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行政单位离退休</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17.58</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14.97</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03</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10.28</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0.35</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交通运输支出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555.20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40</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公路水路运输</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555.20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40</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行政运行</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441.20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6.00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40</w:t>
            </w: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公路运输管理</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10.00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04"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其他公路水路运输支出</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rPr>
            </w:pPr>
            <w:r>
              <w:rPr>
                <w:rFonts w:hint="default" w:ascii="仿宋_GB2312" w:hAnsi="宋体" w:eastAsia="仿宋_GB2312" w:cs="宋体"/>
                <w:kern w:val="0"/>
                <w:sz w:val="18"/>
                <w:szCs w:val="18"/>
                <w:highlight w:val="none"/>
                <w:lang w:val="en-US" w:eastAsia="zh-CN"/>
              </w:rPr>
              <w:t>98.00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7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67"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住房保障支出</w:t>
            </w:r>
          </w:p>
        </w:tc>
        <w:tc>
          <w:tcPr>
            <w:tcW w:w="101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850"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709"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95"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921"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60"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0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84"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7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567"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14"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住房改革支出</w:t>
            </w:r>
          </w:p>
        </w:tc>
        <w:tc>
          <w:tcPr>
            <w:tcW w:w="101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850"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709"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95"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921"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60"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0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84"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7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567"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住房公积金</w:t>
            </w:r>
          </w:p>
        </w:tc>
        <w:tc>
          <w:tcPr>
            <w:tcW w:w="101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850" w:type="dxa"/>
            <w:tcBorders>
              <w:top w:val="nil"/>
              <w:left w:val="nil"/>
              <w:bottom w:val="nil"/>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709"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95"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921"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60"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08"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84" w:type="dxa"/>
            <w:tcBorders>
              <w:top w:val="nil"/>
              <w:left w:val="nil"/>
              <w:bottom w:val="nil"/>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78"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合计</w:t>
            </w:r>
          </w:p>
        </w:tc>
        <w:tc>
          <w:tcPr>
            <w:tcW w:w="101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85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704.52</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95"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921"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60"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08"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84"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40</w:t>
            </w:r>
          </w:p>
        </w:tc>
      </w:tr>
    </w:tbl>
    <w:p>
      <w:pPr>
        <w:widowControl/>
        <w:spacing w:line="280" w:lineRule="exact"/>
        <w:outlineLvl w:val="1"/>
        <w:rPr>
          <w:rFonts w:hint="eastAsia" w:ascii="宋体" w:hAnsi="宋体" w:cs="宋体"/>
          <w:color w:val="000000"/>
          <w:kern w:val="0"/>
          <w:sz w:val="20"/>
          <w:szCs w:val="20"/>
          <w:highlight w:val="none"/>
          <w:lang w:bidi="ar"/>
        </w:rPr>
      </w:pPr>
      <w:r>
        <w:rPr>
          <w:rFonts w:hint="eastAsia" w:ascii="仿宋_GB2312" w:hAnsi="宋体" w:eastAsia="仿宋_GB2312"/>
          <w:b/>
          <w:kern w:val="0"/>
          <w:sz w:val="28"/>
          <w:szCs w:val="32"/>
          <w:highlight w:val="none"/>
        </w:rPr>
        <w:t>备注：无内容应公开空表并说明情况</w:t>
      </w:r>
      <w:r>
        <w:rPr>
          <w:rFonts w:hint="eastAsia" w:ascii="仿宋_GB2312" w:hAnsi="宋体" w:eastAsia="仿宋_GB2312"/>
          <w:b/>
          <w:kern w:val="0"/>
          <w:sz w:val="28"/>
          <w:szCs w:val="32"/>
          <w:highlight w:val="none"/>
          <w:lang w:eastAsia="zh-CN"/>
        </w:rPr>
        <w:t>。</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昌吉回族自治州交通运输局</w:t>
      </w:r>
      <w:r>
        <w:rPr>
          <w:rFonts w:hint="eastAsia" w:ascii="仿宋_GB2312" w:hAnsi="宋体" w:eastAsia="仿宋_GB2312"/>
          <w:kern w:val="0"/>
          <w:szCs w:val="21"/>
          <w:highlight w:val="none"/>
        </w:rPr>
        <w:t xml:space="preserve">  </w:t>
      </w:r>
      <w:r>
        <w:rPr>
          <w:rFonts w:hint="eastAsia" w:ascii="仿宋_GB2312" w:hAnsi="宋体" w:eastAsia="仿宋_GB2312"/>
          <w:kern w:val="0"/>
          <w:sz w:val="24"/>
          <w:highlight w:val="none"/>
        </w:rPr>
        <w:t xml:space="preserve">           单位：万元                                  </w:t>
      </w:r>
    </w:p>
    <w:tbl>
      <w:tblPr>
        <w:tblStyle w:val="6"/>
        <w:tblW w:w="9420" w:type="dxa"/>
        <w:tblInd w:w="-240" w:type="dxa"/>
        <w:tblLayout w:type="fixed"/>
        <w:tblCellMar>
          <w:top w:w="0" w:type="dxa"/>
          <w:left w:w="108" w:type="dxa"/>
          <w:bottom w:w="0" w:type="dxa"/>
          <w:right w:w="108" w:type="dxa"/>
        </w:tblCellMar>
      </w:tblPr>
      <w:tblGrid>
        <w:gridCol w:w="551"/>
        <w:gridCol w:w="436"/>
        <w:gridCol w:w="436"/>
        <w:gridCol w:w="2530"/>
        <w:gridCol w:w="1806"/>
        <w:gridCol w:w="1807"/>
        <w:gridCol w:w="1854"/>
      </w:tblGrid>
      <w:tr>
        <w:tblPrEx>
          <w:tblCellMar>
            <w:top w:w="0" w:type="dxa"/>
            <w:left w:w="108" w:type="dxa"/>
            <w:bottom w:w="0" w:type="dxa"/>
            <w:right w:w="108" w:type="dxa"/>
          </w:tblCellMar>
        </w:tblPrEx>
        <w:trPr>
          <w:trHeight w:val="345" w:hRule="atLeast"/>
        </w:trPr>
        <w:tc>
          <w:tcPr>
            <w:tcW w:w="395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46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42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3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0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0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85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3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0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0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社会保障和就业支出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行政事业单位养老支出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行政单位离退休</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机关事业单位基本养老保险缴费支出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卫生健康支出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行政事业单位医疗</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行政单位医疗</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17.58</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17.58</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事业单位医疗</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14.97</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14.97</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03</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公务员医疗补助</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其他行政事业单位医疗支出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0.35</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0.35</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交通运输支出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595.2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154</w:t>
            </w: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公路水路运输</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595.2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154</w:t>
            </w: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行政运行</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一般行政管理事务</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46</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46</w:t>
            </w: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公路运输管理</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w:t>
            </w: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其他公路水路运输支出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98</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98</w:t>
            </w: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住房保障支出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住房改革支出</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住房公积金</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1806"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744.52</w:t>
            </w:r>
          </w:p>
        </w:tc>
        <w:tc>
          <w:tcPr>
            <w:tcW w:w="1807"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590.52</w:t>
            </w:r>
          </w:p>
        </w:tc>
        <w:tc>
          <w:tcPr>
            <w:tcW w:w="1854" w:type="dxa"/>
            <w:tcBorders>
              <w:top w:val="nil"/>
              <w:left w:val="nil"/>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154</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 w:val="24"/>
          <w:highlight w:val="none"/>
          <w:lang w:val="en-US" w:eastAsia="zh-CN"/>
        </w:rPr>
        <w:t>昌吉回族自治州交通运输局</w:t>
      </w:r>
      <w:r>
        <w:rPr>
          <w:rFonts w:hint="eastAsia" w:ascii="仿宋_GB2312" w:hAnsi="宋体" w:eastAsia="仿宋_GB2312"/>
          <w:kern w:val="0"/>
          <w:szCs w:val="21"/>
          <w:highlight w:val="none"/>
        </w:rPr>
        <w:t xml:space="preserve">      </w:t>
      </w:r>
      <w:r>
        <w:rPr>
          <w:rFonts w:hint="eastAsia" w:ascii="仿宋_GB2312" w:hAnsi="宋体" w:eastAsia="仿宋_GB2312"/>
          <w:kern w:val="0"/>
          <w:szCs w:val="21"/>
          <w:highlight w:val="none"/>
          <w:lang w:val="en-US" w:eastAsia="zh-CN"/>
        </w:rPr>
        <w:t xml:space="preserve">                  </w:t>
      </w:r>
      <w:r>
        <w:rPr>
          <w:rFonts w:hint="eastAsia" w:ascii="仿宋_GB2312" w:hAnsi="宋体" w:eastAsia="仿宋_GB2312"/>
          <w:kern w:val="0"/>
          <w:szCs w:val="21"/>
          <w:highlight w:val="none"/>
        </w:rPr>
        <w:t xml:space="preserve">  单位：万元                                                </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704.52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704.52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555.2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85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highlight w:val="none"/>
                <w:u w:val="none"/>
                <w:lang w:val="en-US" w:eastAsia="zh-CN" w:bidi="ar-SA"/>
              </w:rPr>
            </w:pPr>
            <w:r>
              <w:rPr>
                <w:rFonts w:hint="default" w:ascii="Calibri" w:hAnsi="Calibri" w:eastAsia="宋体" w:cs="Calibri"/>
                <w:i w:val="0"/>
                <w:iCs w:val="0"/>
                <w:color w:val="000000"/>
                <w:kern w:val="0"/>
                <w:sz w:val="22"/>
                <w:szCs w:val="22"/>
                <w:highlight w:val="none"/>
                <w:u w:val="none"/>
                <w:lang w:val="en-US" w:eastAsia="zh-CN" w:bidi="ar"/>
              </w:rPr>
              <w:t>704.52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Calibri" w:hAnsi="Calibri" w:eastAsia="宋体" w:cs="Calibri"/>
                <w:i w:val="0"/>
                <w:iCs w:val="0"/>
                <w:color w:val="000000"/>
                <w:kern w:val="2"/>
                <w:sz w:val="22"/>
                <w:szCs w:val="22"/>
                <w:highlight w:val="none"/>
                <w:u w:val="none"/>
                <w:lang w:val="en-US" w:eastAsia="zh-CN" w:bidi="ar-SA"/>
              </w:rPr>
            </w:pPr>
            <w:r>
              <w:rPr>
                <w:rFonts w:hint="default" w:ascii="Calibri" w:hAnsi="Calibri" w:eastAsia="宋体" w:cs="Calibri"/>
                <w:i w:val="0"/>
                <w:iCs w:val="0"/>
                <w:color w:val="000000"/>
                <w:kern w:val="0"/>
                <w:sz w:val="22"/>
                <w:szCs w:val="22"/>
                <w:highlight w:val="none"/>
                <w:u w:val="none"/>
                <w:lang w:val="en-US" w:eastAsia="zh-CN" w:bidi="ar"/>
              </w:rPr>
              <w:t>704.52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36"/>
        <w:gridCol w:w="2503"/>
        <w:gridCol w:w="659"/>
        <w:gridCol w:w="1021"/>
        <w:gridCol w:w="216"/>
        <w:gridCol w:w="1622"/>
        <w:gridCol w:w="1697"/>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21"/>
                <w:szCs w:val="21"/>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99"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昌吉回族自治州交通运输局</w:t>
            </w:r>
          </w:p>
        </w:tc>
        <w:tc>
          <w:tcPr>
            <w:tcW w:w="659"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3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19"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99"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15"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9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0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3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69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3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3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9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社会保障和就业支出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行政事业单位养老支出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56.82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行政单位离退休</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机关事业单位基本养老保险缴费支出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卫生健康支出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行政事业单位医疗</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43.18</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行政单位医疗</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17.58</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17.58</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事业单位医疗</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14.97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14.97</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03</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公务员医疗补助</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其他行政事业单位医疗支出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0.35</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0.35</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交通运输支出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555.2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114</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公路水路运输</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555.2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114</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行政运行</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441.2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一般行政管理事务</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公路运输管理</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其他公路水路运输支出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98</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98</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住房保障支出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住房改革支出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38"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697"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nil"/>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221</w:t>
            </w:r>
          </w:p>
        </w:tc>
        <w:tc>
          <w:tcPr>
            <w:tcW w:w="492" w:type="dxa"/>
            <w:tcBorders>
              <w:top w:val="nil"/>
              <w:left w:val="nil"/>
              <w:bottom w:val="nil"/>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nil"/>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nil"/>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住房公积金</w:t>
            </w:r>
          </w:p>
        </w:tc>
        <w:tc>
          <w:tcPr>
            <w:tcW w:w="1680" w:type="dxa"/>
            <w:gridSpan w:val="2"/>
            <w:tcBorders>
              <w:top w:val="nil"/>
              <w:left w:val="nil"/>
              <w:bottom w:val="nil"/>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838" w:type="dxa"/>
            <w:gridSpan w:val="2"/>
            <w:tcBorders>
              <w:top w:val="nil"/>
              <w:left w:val="nil"/>
              <w:bottom w:val="nil"/>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697" w:type="dxa"/>
            <w:tcBorders>
              <w:top w:val="nil"/>
              <w:left w:val="nil"/>
              <w:bottom w:val="nil"/>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503"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704.52</w:t>
            </w:r>
          </w:p>
        </w:tc>
        <w:tc>
          <w:tcPr>
            <w:tcW w:w="1838" w:type="dxa"/>
            <w:gridSpan w:val="2"/>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590.52</w:t>
            </w:r>
          </w:p>
        </w:tc>
        <w:tc>
          <w:tcPr>
            <w:tcW w:w="169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114</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昌吉回族自治州交通运输局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504.10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504.10</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基本工资</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163.92</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163.92</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津贴补贴</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106.20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106.20</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03</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奖金</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13.39</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13.39</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07</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绩效工资</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62.91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62.91</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08</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54.82</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城镇职工基本医疗保险缴费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32.55</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32.55</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公务员医疗补助缴费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10.28</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其他社会保障缴费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13</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住房公积金</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49.32</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其他工资福利支出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9.71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9.71</w:t>
            </w: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62.44</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62.44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办公费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10.63</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10.63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印刷费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06</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电费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07</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邮电费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6.50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08</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取暖费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3.51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3.51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差旅费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8.41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8.41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14</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租赁费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16</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培训费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17</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公务接待费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0.45</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0.45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28</w:t>
            </w:r>
          </w:p>
        </w:tc>
        <w:tc>
          <w:tcPr>
            <w:tcW w:w="289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工会经费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6.46</w:t>
            </w:r>
          </w:p>
        </w:tc>
        <w:tc>
          <w:tcPr>
            <w:tcW w:w="1701" w:type="dxa"/>
            <w:gridSpan w:val="2"/>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6.46</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29</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福利费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5.81</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5.81</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31</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公务用车运行维护费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7.00</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7.00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6.67</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6.67</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23.98</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23.98</w:t>
            </w: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离休费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2.00</w:t>
            </w: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医疗费补助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20.67</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20.67</w:t>
            </w: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09</w:t>
            </w:r>
          </w:p>
        </w:tc>
        <w:tc>
          <w:tcPr>
            <w:tcW w:w="289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奖励金</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1.31</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1.31</w:t>
            </w: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590.52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528.08</w:t>
            </w:r>
          </w:p>
        </w:tc>
        <w:tc>
          <w:tcPr>
            <w:tcW w:w="1701" w:type="dxa"/>
            <w:tcBorders>
              <w:top w:val="single" w:color="auto" w:sz="4" w:space="0"/>
              <w:left w:val="single" w:color="auto" w:sz="4" w:space="0"/>
              <w:bottom w:val="single" w:color="auto" w:sz="4" w:space="0"/>
              <w:right w:val="single" w:color="auto" w:sz="4" w:space="0"/>
            </w:tcBorders>
            <w:vAlign w:val="top"/>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62.44</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11"/>
        <w:gridCol w:w="540"/>
        <w:gridCol w:w="436"/>
        <w:gridCol w:w="436"/>
        <w:gridCol w:w="788"/>
        <w:gridCol w:w="1322"/>
        <w:gridCol w:w="718"/>
        <w:gridCol w:w="110"/>
        <w:gridCol w:w="433"/>
        <w:gridCol w:w="536"/>
        <w:gridCol w:w="613"/>
        <w:gridCol w:w="613"/>
        <w:gridCol w:w="378"/>
        <w:gridCol w:w="200"/>
        <w:gridCol w:w="536"/>
        <w:gridCol w:w="578"/>
        <w:gridCol w:w="416"/>
        <w:gridCol w:w="416"/>
        <w:gridCol w:w="384"/>
        <w:gridCol w:w="76"/>
      </w:tblGrid>
      <w:tr>
        <w:tblPrEx>
          <w:tblCellMar>
            <w:top w:w="0" w:type="dxa"/>
            <w:left w:w="108" w:type="dxa"/>
            <w:bottom w:w="0" w:type="dxa"/>
            <w:right w:w="108" w:type="dxa"/>
          </w:tblCellMar>
        </w:tblPrEx>
        <w:trPr>
          <w:gridBefore w:val="1"/>
          <w:gridAfter w:val="1"/>
          <w:wBefore w:w="11" w:type="dxa"/>
          <w:wAfter w:w="76"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11" w:type="dxa"/>
          <w:wAfter w:w="76"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kern w:val="0"/>
                <w:sz w:val="24"/>
                <w:highlight w:val="none"/>
                <w:lang w:val="en-US" w:eastAsia="zh-CN"/>
              </w:rPr>
              <w:t>昌吉回族自治州交通运输局</w:t>
            </w:r>
          </w:p>
        </w:tc>
        <w:tc>
          <w:tcPr>
            <w:tcW w:w="96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0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530"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23"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78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322"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1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43"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1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1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1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1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0"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1"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3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3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78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32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1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4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1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1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88" w:type="dxa"/>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交通运输支出</w:t>
            </w:r>
          </w:p>
        </w:tc>
        <w:tc>
          <w:tcPr>
            <w:tcW w:w="1322"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18"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114</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88" w:type="dxa"/>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公路水路运输</w:t>
            </w:r>
          </w:p>
        </w:tc>
        <w:tc>
          <w:tcPr>
            <w:tcW w:w="1322"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18"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114</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788" w:type="dxa"/>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一般行政管理事务</w:t>
            </w:r>
          </w:p>
        </w:tc>
        <w:tc>
          <w:tcPr>
            <w:tcW w:w="1322"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交通战备费</w:t>
            </w:r>
          </w:p>
        </w:tc>
        <w:tc>
          <w:tcPr>
            <w:tcW w:w="718" w:type="dxa"/>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6</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6</w:t>
            </w: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788" w:type="dxa"/>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公路运输管理</w:t>
            </w:r>
          </w:p>
        </w:tc>
        <w:tc>
          <w:tcPr>
            <w:tcW w:w="1322"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运输管理费</w:t>
            </w:r>
          </w:p>
        </w:tc>
        <w:tc>
          <w:tcPr>
            <w:tcW w:w="718"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788" w:type="dxa"/>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其他公路水路运输支出</w:t>
            </w:r>
          </w:p>
        </w:tc>
        <w:tc>
          <w:tcPr>
            <w:tcW w:w="1322"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七个县市客运站数据专线网络链路费用</w:t>
            </w:r>
          </w:p>
        </w:tc>
        <w:tc>
          <w:tcPr>
            <w:tcW w:w="718" w:type="dxa"/>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w:t>
            </w: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214</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788"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其他公路水路运输支出</w:t>
            </w:r>
          </w:p>
        </w:tc>
        <w:tc>
          <w:tcPr>
            <w:tcW w:w="1322"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西部南山伴行公路项目前期费(质量检测费用)</w:t>
            </w:r>
          </w:p>
        </w:tc>
        <w:tc>
          <w:tcPr>
            <w:tcW w:w="718"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95</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13"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13"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78"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eastAsia" w:ascii="仿宋_GB2312" w:hAnsi="宋体" w:eastAsia="仿宋_GB2312" w:cs="宋体"/>
                <w:kern w:val="0"/>
                <w:sz w:val="18"/>
                <w:szCs w:val="18"/>
                <w:highlight w:val="none"/>
                <w:lang w:val="en-US" w:eastAsia="zh-CN"/>
              </w:rPr>
            </w:pPr>
          </w:p>
          <w:p>
            <w:pPr>
              <w:widowControl/>
              <w:spacing w:line="280" w:lineRule="exact"/>
              <w:jc w:val="left"/>
              <w:rPr>
                <w:rFonts w:hint="eastAsia" w:ascii="仿宋_GB2312" w:hAnsi="宋体" w:eastAsia="仿宋_GB2312" w:cs="宋体"/>
                <w:kern w:val="0"/>
                <w:sz w:val="18"/>
                <w:szCs w:val="18"/>
                <w:highlight w:val="none"/>
                <w:lang w:val="en-US" w:eastAsia="zh-CN"/>
              </w:rPr>
            </w:pPr>
          </w:p>
          <w:p>
            <w:pPr>
              <w:widowControl/>
              <w:spacing w:line="280" w:lineRule="exact"/>
              <w:jc w:val="left"/>
              <w:rPr>
                <w:rFonts w:hint="eastAsia" w:ascii="仿宋_GB2312" w:hAnsi="宋体" w:eastAsia="仿宋_GB2312" w:cs="宋体"/>
                <w:kern w:val="0"/>
                <w:sz w:val="18"/>
                <w:szCs w:val="18"/>
                <w:highlight w:val="none"/>
                <w:lang w:val="en-US" w:eastAsia="zh-CN"/>
              </w:rPr>
            </w:pPr>
          </w:p>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95</w:t>
            </w: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3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788"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1322" w:type="dxa"/>
            <w:vAlign w:val="center"/>
          </w:tcPr>
          <w:p>
            <w:pPr>
              <w:widowControl/>
              <w:spacing w:line="280" w:lineRule="exact"/>
              <w:jc w:val="lef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718" w:type="dxa"/>
            <w:vAlign w:val="center"/>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114</w:t>
            </w:r>
          </w:p>
        </w:tc>
        <w:tc>
          <w:tcPr>
            <w:tcW w:w="543"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19</w:t>
            </w:r>
          </w:p>
        </w:tc>
        <w:tc>
          <w:tcPr>
            <w:tcW w:w="613"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613"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78"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536" w:type="dxa"/>
          </w:tcPr>
          <w:p>
            <w:pPr>
              <w:widowControl/>
              <w:spacing w:line="280" w:lineRule="exact"/>
              <w:jc w:val="lef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95</w:t>
            </w:r>
          </w:p>
        </w:tc>
        <w:tc>
          <w:tcPr>
            <w:tcW w:w="578"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1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16" w:type="dxa"/>
          </w:tcPr>
          <w:p>
            <w:pPr>
              <w:widowControl/>
              <w:spacing w:line="280" w:lineRule="exact"/>
              <w:jc w:val="left"/>
              <w:rPr>
                <w:rFonts w:hint="default" w:ascii="仿宋_GB2312" w:hAnsi="宋体" w:eastAsia="仿宋_GB2312" w:cs="宋体"/>
                <w:kern w:val="0"/>
                <w:sz w:val="18"/>
                <w:szCs w:val="18"/>
                <w:highlight w:val="none"/>
                <w:lang w:val="en-US" w:eastAsia="zh-CN"/>
              </w:rPr>
            </w:pPr>
          </w:p>
        </w:tc>
        <w:tc>
          <w:tcPr>
            <w:tcW w:w="460" w:type="dxa"/>
            <w:gridSpan w:val="2"/>
          </w:tcPr>
          <w:p>
            <w:pPr>
              <w:widowControl/>
              <w:spacing w:line="280" w:lineRule="exact"/>
              <w:jc w:val="left"/>
              <w:rPr>
                <w:rFonts w:hint="default" w:ascii="仿宋_GB2312" w:hAnsi="宋体" w:eastAsia="仿宋_GB2312" w:cs="宋体"/>
                <w:kern w:val="0"/>
                <w:sz w:val="18"/>
                <w:szCs w:val="18"/>
                <w:highlight w:val="none"/>
                <w:lang w:val="en-US" w:eastAsia="zh-CN"/>
              </w:rPr>
            </w:pPr>
          </w:p>
        </w:tc>
      </w:tr>
    </w:tbl>
    <w:p>
      <w:pPr>
        <w:widowControl/>
        <w:spacing w:line="280" w:lineRule="exact"/>
        <w:jc w:val="left"/>
        <w:rPr>
          <w:rFonts w:ascii="仿宋_GB2312" w:hAnsi="宋体" w:eastAsia="仿宋_GB2312"/>
          <w:b/>
          <w:kern w:val="0"/>
          <w:sz w:val="28"/>
          <w:szCs w:val="32"/>
          <w:highlight w:val="none"/>
        </w:rPr>
      </w:pPr>
      <w:r>
        <w:rPr>
          <w:rFonts w:hint="eastAsia" w:ascii="仿宋_GB2312" w:hAnsi="宋体" w:eastAsia="仿宋_GB2312" w:cs="宋体"/>
          <w:kern w:val="0"/>
          <w:sz w:val="18"/>
          <w:szCs w:val="18"/>
          <w:highlight w:val="none"/>
          <w:lang w:val="en-US" w:eastAsia="zh-CN"/>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kern w:val="0"/>
          <w:sz w:val="24"/>
          <w:highlight w:val="none"/>
          <w:lang w:val="en-US" w:eastAsia="zh-CN"/>
        </w:rPr>
        <w:t>昌吉回族自治州交通运输局</w:t>
      </w:r>
      <w:r>
        <w:rPr>
          <w:rFonts w:hint="eastAsia" w:ascii="仿宋_GB2312" w:hAnsi="宋体" w:eastAsia="仿宋_GB2312"/>
          <w:kern w:val="0"/>
          <w:sz w:val="24"/>
          <w:highlight w:val="none"/>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7.45</w:t>
            </w:r>
            <w:r>
              <w:rPr>
                <w:rFonts w:hint="eastAsia" w:ascii="仿宋_GB2312" w:hAnsi="宋体" w:eastAsia="仿宋_GB2312" w:cs="宋体"/>
                <w:b/>
                <w:bCs/>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7</w:t>
            </w:r>
            <w:r>
              <w:rPr>
                <w:rFonts w:hint="eastAsia" w:ascii="仿宋_GB2312" w:hAnsi="宋体" w:eastAsia="仿宋_GB2312" w:cs="宋体"/>
                <w:b/>
                <w:bCs/>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7</w:t>
            </w:r>
            <w:r>
              <w:rPr>
                <w:rFonts w:hint="eastAsia" w:ascii="仿宋_GB2312" w:hAnsi="宋体" w:eastAsia="仿宋_GB2312" w:cs="宋体"/>
                <w:b/>
                <w:bCs/>
                <w:color w:val="000000"/>
                <w:kern w:val="0"/>
                <w:sz w:val="22"/>
                <w:szCs w:val="22"/>
                <w:highlight w:val="none"/>
              </w:rPr>
              <w:t>　</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0.45</w:t>
            </w:r>
            <w:r>
              <w:rPr>
                <w:rFonts w:hint="eastAsia" w:ascii="仿宋_GB2312" w:hAnsi="宋体" w:eastAsia="仿宋_GB2312" w:cs="宋体"/>
                <w:b/>
                <w:bCs/>
                <w:color w:val="000000"/>
                <w:kern w:val="0"/>
                <w:sz w:val="22"/>
                <w:szCs w:val="22"/>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w:t>
      </w:r>
      <w:r>
        <w:rPr>
          <w:rFonts w:ascii="仿宋_GB2312" w:hAnsi="宋体" w:eastAsia="仿宋_GB2312"/>
          <w:b/>
          <w:kern w:val="0"/>
          <w:sz w:val="28"/>
          <w:szCs w:val="32"/>
          <w:highlight w:val="none"/>
        </w:rPr>
        <w:t>我单位无政府性基金预算，此表为空表</w:t>
      </w:r>
      <w:r>
        <w:rPr>
          <w:rFonts w:hint="eastAsia" w:ascii="仿宋_GB2312" w:hAnsi="宋体" w:eastAsia="仿宋_GB2312"/>
          <w:b/>
          <w:kern w:val="0"/>
          <w:sz w:val="28"/>
          <w:szCs w:val="32"/>
          <w:highlight w:val="none"/>
        </w:rPr>
        <w:t>。。</w:t>
      </w:r>
    </w:p>
    <w:p>
      <w:pPr>
        <w:widowControl/>
        <w:spacing w:line="280" w:lineRule="exact"/>
        <w:jc w:val="left"/>
        <w:outlineLvl w:val="1"/>
        <w:rPr>
          <w:rFonts w:ascii="仿宋_GB2312" w:hAnsi="宋体" w:eastAsia="仿宋_GB2312"/>
          <w:kern w:val="0"/>
          <w:sz w:val="32"/>
          <w:szCs w:val="32"/>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kern w:val="0"/>
          <w:sz w:val="32"/>
          <w:szCs w:val="32"/>
          <w:highlight w:val="none"/>
        </w:rPr>
        <w:t>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w:t>
      </w:r>
      <w:r>
        <w:rPr>
          <w:rFonts w:hint="eastAsia" w:ascii="仿宋_GB2312" w:hAnsi="宋体" w:eastAsia="仿宋_GB2312" w:cs="宋体"/>
          <w:kern w:val="0"/>
          <w:sz w:val="32"/>
          <w:szCs w:val="32"/>
          <w:highlight w:val="none"/>
          <w:lang w:eastAsia="zh-CN"/>
        </w:rPr>
        <w:t>昌吉回族自治州交通运输局</w:t>
      </w:r>
      <w:r>
        <w:rPr>
          <w:rFonts w:hint="eastAsia" w:ascii="仿宋_GB2312" w:hAnsi="宋体" w:eastAsia="仿宋_GB2312" w:cs="宋体"/>
          <w:kern w:val="0"/>
          <w:sz w:val="32"/>
          <w:szCs w:val="32"/>
          <w:highlight w:val="none"/>
        </w:rPr>
        <w:t>2022年所有收入和支出均纳入部门（单位）预算管理。收支总预算</w:t>
      </w:r>
      <w:r>
        <w:rPr>
          <w:rFonts w:hint="eastAsia" w:ascii="仿宋_GB2312" w:hAnsi="宋体" w:eastAsia="仿宋_GB2312" w:cs="宋体"/>
          <w:kern w:val="0"/>
          <w:sz w:val="32"/>
          <w:szCs w:val="32"/>
          <w:highlight w:val="none"/>
          <w:lang w:val="en-US" w:eastAsia="zh-CN"/>
        </w:rPr>
        <w:t>744.52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单位其他资金收入等。</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支出预算包括：社会保障和就业支出、医疗卫生健康支出、交通运输支出、住房保障支出</w:t>
      </w:r>
      <w:r>
        <w:rPr>
          <w:rFonts w:hint="eastAsia" w:ascii="仿宋_GB2312" w:hAnsi="宋体" w:eastAsia="仿宋_GB2312" w:cs="宋体"/>
          <w:kern w:val="0"/>
          <w:sz w:val="32"/>
          <w:szCs w:val="32"/>
          <w:highlight w:val="none"/>
          <w:lang w:eastAsia="zh-CN"/>
        </w:rPr>
        <w:t>等</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bCs/>
          <w:kern w:val="0"/>
          <w:sz w:val="32"/>
          <w:szCs w:val="32"/>
          <w:highlight w:val="none"/>
          <w:lang w:eastAsia="zh-CN"/>
        </w:rPr>
        <w:t>昌吉回族自治州在交通运输局</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收入预算</w:t>
      </w:r>
      <w:r>
        <w:rPr>
          <w:rFonts w:hint="eastAsia" w:ascii="仿宋_GB2312" w:hAnsi="宋体" w:eastAsia="仿宋_GB2312" w:cs="宋体"/>
          <w:kern w:val="0"/>
          <w:sz w:val="32"/>
          <w:szCs w:val="32"/>
          <w:highlight w:val="none"/>
          <w:lang w:val="en-US" w:eastAsia="zh-CN"/>
        </w:rPr>
        <w:t>744.52</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704.52</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94.63</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90.26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14.69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人员变动，工资上涨等原因</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单位其他资金收入</w:t>
      </w:r>
      <w:r>
        <w:rPr>
          <w:rFonts w:hint="eastAsia" w:ascii="仿宋_GB2312" w:hAnsi="宋体" w:eastAsia="仿宋_GB2312" w:cs="宋体"/>
          <w:kern w:val="0"/>
          <w:sz w:val="32"/>
          <w:szCs w:val="32"/>
          <w:highlight w:val="none"/>
          <w:lang w:val="en-US" w:eastAsia="zh-CN"/>
        </w:rPr>
        <w:t>40</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5.37</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40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上年度预算批复不包含其他资金收入</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2022年支出预算</w:t>
      </w:r>
      <w:r>
        <w:rPr>
          <w:rFonts w:hint="eastAsia" w:ascii="仿宋_GB2312" w:hAnsi="宋体" w:eastAsia="仿宋_GB2312" w:cs="宋体"/>
          <w:kern w:val="0"/>
          <w:sz w:val="32"/>
          <w:szCs w:val="32"/>
          <w:highlight w:val="none"/>
          <w:lang w:val="en-US" w:eastAsia="zh-CN"/>
        </w:rPr>
        <w:t>744.52</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590.52</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79.32</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95.26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19.23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人员变动，经费增加</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154</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20.68</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35</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29.41</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本年度计划实施项目有所变化</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704.52</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704.52</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一般公共预算支出包括：社会保障和就业支出</w:t>
      </w:r>
      <w:r>
        <w:rPr>
          <w:rFonts w:hint="eastAsia" w:ascii="仿宋_GB2312" w:hAnsi="宋体" w:eastAsia="仿宋_GB2312" w:cs="宋体"/>
          <w:kern w:val="0"/>
          <w:sz w:val="32"/>
          <w:szCs w:val="32"/>
          <w:highlight w:val="none"/>
          <w:lang w:val="en-US" w:eastAsia="zh-CN"/>
        </w:rPr>
        <w:t>56.82</w:t>
      </w:r>
      <w:r>
        <w:rPr>
          <w:rFonts w:hint="eastAsia" w:ascii="仿宋_GB2312" w:hAnsi="宋体" w:eastAsia="仿宋_GB2312" w:cs="宋体"/>
          <w:kern w:val="0"/>
          <w:sz w:val="32"/>
          <w:szCs w:val="32"/>
          <w:highlight w:val="none"/>
        </w:rPr>
        <w:t>万元，主要用于行政事业单位人员基本养老保险缴费支出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职业年金缴费支出；卫生健康支出</w:t>
      </w:r>
      <w:r>
        <w:rPr>
          <w:rFonts w:hint="eastAsia" w:ascii="仿宋_GB2312" w:hAnsi="宋体" w:eastAsia="仿宋_GB2312" w:cs="宋体"/>
          <w:kern w:val="0"/>
          <w:sz w:val="32"/>
          <w:szCs w:val="32"/>
          <w:highlight w:val="none"/>
          <w:lang w:val="en-US" w:eastAsia="zh-CN"/>
        </w:rPr>
        <w:t>43.18</w:t>
      </w:r>
      <w:r>
        <w:rPr>
          <w:rFonts w:hint="eastAsia" w:ascii="仿宋_GB2312" w:hAnsi="宋体" w:eastAsia="仿宋_GB2312" w:cs="宋体"/>
          <w:kern w:val="0"/>
          <w:sz w:val="32"/>
          <w:szCs w:val="32"/>
          <w:highlight w:val="none"/>
        </w:rPr>
        <w:t xml:space="preserve">万元，主要用于行政事业单位人 员医疗保险缴费相关支出、公务员医疗补助；交通运输支出 </w:t>
      </w:r>
      <w:r>
        <w:rPr>
          <w:rFonts w:hint="eastAsia" w:ascii="仿宋_GB2312" w:hAnsi="宋体" w:eastAsia="仿宋_GB2312" w:cs="宋体"/>
          <w:kern w:val="0"/>
          <w:sz w:val="32"/>
          <w:szCs w:val="32"/>
          <w:highlight w:val="none"/>
          <w:lang w:val="en-US" w:eastAsia="zh-CN"/>
        </w:rPr>
        <w:t>669.2</w:t>
      </w:r>
      <w:r>
        <w:rPr>
          <w:rFonts w:hint="eastAsia" w:ascii="仿宋_GB2312" w:hAnsi="宋体" w:eastAsia="仿宋_GB2312" w:cs="宋体"/>
          <w:kern w:val="0"/>
          <w:sz w:val="32"/>
          <w:szCs w:val="32"/>
          <w:highlight w:val="none"/>
        </w:rPr>
        <w:t>万元， 主要用于行政运行、公路运输管理等；住房保障支出</w:t>
      </w:r>
      <w:r>
        <w:rPr>
          <w:rFonts w:hint="eastAsia" w:ascii="仿宋_GB2312" w:hAnsi="宋体" w:eastAsia="仿宋_GB2312" w:cs="宋体"/>
          <w:kern w:val="0"/>
          <w:sz w:val="32"/>
          <w:szCs w:val="32"/>
          <w:highlight w:val="none"/>
          <w:lang w:val="en-US" w:eastAsia="zh-CN"/>
        </w:rPr>
        <w:t>49.32</w:t>
      </w:r>
      <w:r>
        <w:rPr>
          <w:rFonts w:hint="eastAsia" w:ascii="仿宋_GB2312" w:hAnsi="宋体" w:eastAsia="仿宋_GB2312" w:cs="宋体"/>
          <w:kern w:val="0"/>
          <w:sz w:val="32"/>
          <w:szCs w:val="32"/>
          <w:highlight w:val="none"/>
        </w:rPr>
        <w:t xml:space="preserve">万元，主要用于行政事业单位人员住房公积金缴费。 </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仿宋_GB2312" w:eastAsia="仿宋_GB2312" w:cs="仿宋_GB2312"/>
          <w:kern w:val="0"/>
          <w:sz w:val="32"/>
          <w:szCs w:val="32"/>
          <w:highlight w:val="none"/>
        </w:rPr>
        <w:t>2022年一般公共预算拨款合计</w:t>
      </w:r>
      <w:r>
        <w:rPr>
          <w:rFonts w:hint="eastAsia" w:ascii="仿宋_GB2312" w:hAnsi="宋体" w:eastAsia="仿宋_GB2312" w:cs="宋体"/>
          <w:kern w:val="0"/>
          <w:sz w:val="32"/>
          <w:szCs w:val="32"/>
          <w:highlight w:val="none"/>
          <w:lang w:val="en-US" w:eastAsia="zh-CN"/>
        </w:rPr>
        <w:t>704.52</w:t>
      </w:r>
      <w:r>
        <w:rPr>
          <w:rFonts w:hint="eastAsia" w:ascii="仿宋_GB2312" w:hAnsi="仿宋_GB2312" w:eastAsia="仿宋_GB2312" w:cs="仿宋_GB2312"/>
          <w:kern w:val="0"/>
          <w:sz w:val="32"/>
          <w:szCs w:val="32"/>
          <w:highlight w:val="none"/>
        </w:rPr>
        <w:t>万元，其中：</w:t>
      </w: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590.52</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83.82</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95.26</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19.23</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人员变动，经费增加</w:t>
      </w: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114</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16.18</w:t>
      </w:r>
      <w:r>
        <w:rPr>
          <w:rFonts w:hint="eastAsia" w:ascii="仿宋_GB2312" w:hAnsi="宋体" w:eastAsia="仿宋_GB2312" w:cs="宋体"/>
          <w:kern w:val="0"/>
          <w:sz w:val="32"/>
          <w:szCs w:val="32"/>
          <w:highlight w:val="none"/>
        </w:rPr>
        <w:t>%，比上年预算</w:t>
      </w:r>
      <w:r>
        <w:rPr>
          <w:rFonts w:hint="eastAsia" w:ascii="仿宋_GB2312" w:hAnsi="宋体" w:eastAsia="仿宋_GB2312" w:cs="宋体"/>
          <w:kern w:val="0"/>
          <w:sz w:val="32"/>
          <w:szCs w:val="32"/>
          <w:highlight w:val="none"/>
          <w:lang w:val="en-US" w:eastAsia="zh-CN"/>
        </w:rPr>
        <w:t>减少5</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下降4.2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本年度计划实施项目有所变化</w:t>
      </w:r>
      <w:r>
        <w:rPr>
          <w:rFonts w:hint="eastAsia" w:ascii="仿宋_GB2312" w:hAnsi="宋体" w:eastAsia="仿宋_GB2312" w:cs="宋体"/>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、社会保障和就业支出</w:t>
      </w:r>
      <w:r>
        <w:rPr>
          <w:rFonts w:hint="eastAsia" w:ascii="仿宋_GB2312" w:hAnsi="仿宋_GB2312" w:eastAsia="仿宋_GB2312" w:cs="仿宋_GB2312"/>
          <w:kern w:val="0"/>
          <w:sz w:val="32"/>
          <w:szCs w:val="32"/>
          <w:highlight w:val="none"/>
          <w:lang w:val="en-US" w:eastAsia="zh-CN"/>
        </w:rPr>
        <w:t>56.82</w:t>
      </w:r>
      <w:r>
        <w:rPr>
          <w:rFonts w:hint="eastAsia" w:ascii="仿宋_GB2312" w:hAnsi="仿宋_GB2312" w:eastAsia="仿宋_GB2312" w:cs="仿宋_GB2312"/>
          <w:kern w:val="0"/>
          <w:sz w:val="32"/>
          <w:szCs w:val="32"/>
          <w:highlight w:val="none"/>
        </w:rPr>
        <w:t xml:space="preserve"> 万元，占 8.</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7%。</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、卫生健康支出</w:t>
      </w:r>
      <w:r>
        <w:rPr>
          <w:rFonts w:hint="eastAsia" w:ascii="仿宋_GB2312" w:hAnsi="宋体" w:eastAsia="仿宋_GB2312" w:cs="宋体"/>
          <w:kern w:val="0"/>
          <w:sz w:val="32"/>
          <w:szCs w:val="32"/>
          <w:highlight w:val="none"/>
          <w:lang w:val="en-US" w:eastAsia="zh-CN"/>
        </w:rPr>
        <w:t>43.18</w:t>
      </w:r>
      <w:r>
        <w:rPr>
          <w:rFonts w:hint="eastAsia" w:ascii="仿宋_GB2312" w:hAnsi="仿宋_GB2312" w:eastAsia="仿宋_GB2312" w:cs="仿宋_GB2312"/>
          <w:kern w:val="0"/>
          <w:sz w:val="32"/>
          <w:szCs w:val="32"/>
          <w:highlight w:val="none"/>
        </w:rPr>
        <w:t xml:space="preserve"> 万元，占 </w:t>
      </w:r>
      <w:r>
        <w:rPr>
          <w:rFonts w:hint="eastAsia" w:ascii="仿宋_GB2312" w:hAnsi="仿宋_GB2312" w:eastAsia="仿宋_GB2312" w:cs="仿宋_GB2312"/>
          <w:kern w:val="0"/>
          <w:sz w:val="32"/>
          <w:szCs w:val="32"/>
          <w:highlight w:val="none"/>
          <w:lang w:val="en-US" w:eastAsia="zh-CN"/>
        </w:rPr>
        <w:t>6.13</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、交通运输支出</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555.2</w:t>
      </w:r>
      <w:r>
        <w:rPr>
          <w:rFonts w:hint="eastAsia" w:ascii="仿宋_GB2312" w:hAnsi="仿宋_GB2312" w:eastAsia="仿宋_GB2312" w:cs="仿宋_GB2312"/>
          <w:kern w:val="0"/>
          <w:sz w:val="32"/>
          <w:szCs w:val="32"/>
          <w:highlight w:val="none"/>
        </w:rPr>
        <w:t xml:space="preserve">万元，占 </w:t>
      </w:r>
      <w:r>
        <w:rPr>
          <w:rFonts w:hint="eastAsia" w:ascii="仿宋_GB2312" w:hAnsi="仿宋_GB2312" w:eastAsia="仿宋_GB2312" w:cs="仿宋_GB2312"/>
          <w:kern w:val="0"/>
          <w:sz w:val="32"/>
          <w:szCs w:val="32"/>
          <w:highlight w:val="none"/>
          <w:lang w:val="en-US" w:eastAsia="zh-CN"/>
        </w:rPr>
        <w:t>78.81</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仿宋_GB2312" w:hAnsi="仿宋_GB2312" w:eastAsia="仿宋_GB2312" w:cs="仿宋_GB2312"/>
          <w:b/>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、住房保障支出</w:t>
      </w:r>
      <w:r>
        <w:rPr>
          <w:rFonts w:hint="eastAsia" w:ascii="仿宋_GB2312" w:hAnsi="宋体" w:eastAsia="仿宋_GB2312" w:cs="宋体"/>
          <w:kern w:val="0"/>
          <w:sz w:val="32"/>
          <w:szCs w:val="32"/>
          <w:highlight w:val="none"/>
          <w:lang w:val="en-US" w:eastAsia="zh-CN"/>
        </w:rPr>
        <w:t>49.32</w:t>
      </w:r>
      <w:r>
        <w:rPr>
          <w:rFonts w:hint="eastAsia" w:ascii="仿宋_GB2312" w:hAnsi="仿宋_GB2312" w:eastAsia="仿宋_GB2312" w:cs="仿宋_GB2312"/>
          <w:kern w:val="0"/>
          <w:sz w:val="32"/>
          <w:szCs w:val="32"/>
          <w:highlight w:val="none"/>
        </w:rPr>
        <w:t xml:space="preserve"> 万元，占</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、社会保障和就业支出（类）行政事业单位养老支出（款）行政单位离退休（项）：2022 年预算数为</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 xml:space="preserve"> 万元，比上年预算</w:t>
      </w:r>
      <w:r>
        <w:rPr>
          <w:rFonts w:hint="eastAsia" w:ascii="仿宋_GB2312" w:hAnsi="仿宋_GB2312" w:eastAsia="仿宋_GB2312" w:cs="仿宋_GB2312"/>
          <w:kern w:val="0"/>
          <w:sz w:val="32"/>
          <w:szCs w:val="32"/>
          <w:highlight w:val="none"/>
          <w:lang w:val="en-US" w:eastAsia="zh-CN"/>
        </w:rPr>
        <w:t>增加2</w:t>
      </w:r>
      <w:r>
        <w:rPr>
          <w:rFonts w:hint="eastAsia" w:ascii="仿宋_GB2312" w:hAnsi="仿宋_GB2312" w:eastAsia="仿宋_GB2312" w:cs="仿宋_GB2312"/>
          <w:kern w:val="0"/>
          <w:sz w:val="32"/>
          <w:szCs w:val="32"/>
          <w:highlight w:val="none"/>
        </w:rPr>
        <w:t xml:space="preserve">万元, 下降 </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本年度功能科目分类与上年度有所不同</w:t>
      </w:r>
      <w:r>
        <w:rPr>
          <w:rFonts w:hint="eastAsia" w:ascii="仿宋_GB2312" w:hAnsi="仿宋_GB2312" w:eastAsia="仿宋_GB2312" w:cs="仿宋_GB2312"/>
          <w:kern w:val="0"/>
          <w:sz w:val="32"/>
          <w:szCs w:val="32"/>
          <w:highlight w:val="none"/>
        </w:rPr>
        <w:t xml:space="preserve">。 </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 xml:space="preserve">、社会保障和就业支出（类）行政事业单位养老支出（款）机关事业单位基本养老保险缴费支出（项）：2022 年预算数为 </w:t>
      </w:r>
      <w:r>
        <w:rPr>
          <w:rFonts w:hint="eastAsia" w:ascii="仿宋_GB2312" w:hAnsi="仿宋_GB2312" w:eastAsia="仿宋_GB2312" w:cs="仿宋_GB2312"/>
          <w:kern w:val="0"/>
          <w:sz w:val="32"/>
          <w:szCs w:val="32"/>
          <w:highlight w:val="none"/>
          <w:lang w:val="en-US" w:eastAsia="zh-CN"/>
        </w:rPr>
        <w:t>54.82</w:t>
      </w:r>
      <w:r>
        <w:rPr>
          <w:rFonts w:hint="eastAsia" w:ascii="仿宋_GB2312" w:hAnsi="仿宋_GB2312" w:eastAsia="仿宋_GB2312" w:cs="仿宋_GB2312"/>
          <w:kern w:val="0"/>
          <w:sz w:val="32"/>
          <w:szCs w:val="32"/>
          <w:highlight w:val="none"/>
        </w:rPr>
        <w:t xml:space="preserve"> 万元，比上年预算增加</w:t>
      </w:r>
      <w:r>
        <w:rPr>
          <w:rFonts w:hint="eastAsia" w:ascii="仿宋_GB2312" w:hAnsi="仿宋_GB2312" w:eastAsia="仿宋_GB2312" w:cs="仿宋_GB2312"/>
          <w:kern w:val="0"/>
          <w:sz w:val="32"/>
          <w:szCs w:val="32"/>
          <w:highlight w:val="none"/>
          <w:lang w:val="en-US" w:eastAsia="zh-CN"/>
        </w:rPr>
        <w:t>13.09</w:t>
      </w:r>
      <w:r>
        <w:rPr>
          <w:rFonts w:hint="eastAsia" w:ascii="仿宋_GB2312" w:hAnsi="仿宋_GB2312" w:eastAsia="仿宋_GB2312" w:cs="仿宋_GB2312"/>
          <w:kern w:val="0"/>
          <w:sz w:val="32"/>
          <w:szCs w:val="32"/>
          <w:highlight w:val="none"/>
        </w:rPr>
        <w:t xml:space="preserve">万元，增长 </w:t>
      </w:r>
      <w:r>
        <w:rPr>
          <w:rFonts w:hint="eastAsia" w:ascii="仿宋_GB2312" w:hAnsi="仿宋_GB2312" w:eastAsia="仿宋_GB2312" w:cs="仿宋_GB2312"/>
          <w:kern w:val="0"/>
          <w:sz w:val="32"/>
          <w:szCs w:val="32"/>
          <w:highlight w:val="none"/>
          <w:lang w:val="en-US" w:eastAsia="zh-CN"/>
        </w:rPr>
        <w:t>31.36</w:t>
      </w:r>
      <w:r>
        <w:rPr>
          <w:rFonts w:hint="eastAsia" w:ascii="仿宋_GB2312" w:hAnsi="仿宋_GB2312" w:eastAsia="仿宋_GB2312" w:cs="仿宋_GB2312"/>
          <w:kern w:val="0"/>
          <w:sz w:val="32"/>
          <w:szCs w:val="32"/>
          <w:highlight w:val="none"/>
        </w:rPr>
        <w:t>%。主要原因是人员变动，增资影响社保缴费基数。</w:t>
      </w:r>
      <w:r>
        <w:rPr>
          <w:rFonts w:hint="eastAsia" w:ascii="仿宋_GB2312" w:hAnsi="仿宋_GB2312" w:eastAsia="仿宋_GB2312" w:cs="仿宋_GB2312"/>
          <w:kern w:val="0"/>
          <w:sz w:val="32"/>
          <w:szCs w:val="32"/>
          <w:highlight w:val="none"/>
          <w:lang w:val="en-US" w:eastAsia="zh-CN"/>
        </w:rPr>
        <w:t xml:space="preserve"> </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、卫生健康支出（类）行政事业单位医疗（款）行政单位医疗（项）：2022 年预算数为</w:t>
      </w:r>
      <w:r>
        <w:rPr>
          <w:rFonts w:hint="eastAsia" w:ascii="仿宋_GB2312" w:hAnsi="仿宋_GB2312" w:eastAsia="仿宋_GB2312" w:cs="仿宋_GB2312"/>
          <w:kern w:val="0"/>
          <w:sz w:val="32"/>
          <w:szCs w:val="32"/>
          <w:highlight w:val="none"/>
          <w:lang w:val="en-US" w:eastAsia="zh-CN"/>
        </w:rPr>
        <w:t>17.58</w:t>
      </w:r>
      <w:r>
        <w:rPr>
          <w:rFonts w:hint="eastAsia" w:ascii="仿宋_GB2312" w:hAnsi="仿宋_GB2312" w:eastAsia="仿宋_GB2312" w:cs="仿宋_GB2312"/>
          <w:kern w:val="0"/>
          <w:sz w:val="32"/>
          <w:szCs w:val="32"/>
          <w:highlight w:val="none"/>
        </w:rPr>
        <w:t xml:space="preserve"> 万元，比上年预算增加</w:t>
      </w:r>
      <w:r>
        <w:rPr>
          <w:rFonts w:hint="eastAsia" w:ascii="仿宋_GB2312" w:hAnsi="仿宋_GB2312" w:eastAsia="仿宋_GB2312" w:cs="仿宋_GB2312"/>
          <w:kern w:val="0"/>
          <w:sz w:val="32"/>
          <w:szCs w:val="32"/>
          <w:highlight w:val="none"/>
          <w:lang w:val="en-US" w:eastAsia="zh-CN"/>
        </w:rPr>
        <w:t>1.56</w:t>
      </w:r>
      <w:r>
        <w:rPr>
          <w:rFonts w:hint="eastAsia" w:ascii="仿宋_GB2312" w:hAnsi="仿宋_GB2312" w:eastAsia="仿宋_GB2312" w:cs="仿宋_GB2312"/>
          <w:kern w:val="0"/>
          <w:sz w:val="32"/>
          <w:szCs w:val="32"/>
          <w:highlight w:val="none"/>
        </w:rPr>
        <w:t xml:space="preserve"> 万元，增长 </w:t>
      </w:r>
      <w:r>
        <w:rPr>
          <w:rFonts w:hint="eastAsia" w:ascii="仿宋_GB2312" w:hAnsi="仿宋_GB2312" w:eastAsia="仿宋_GB2312" w:cs="仿宋_GB2312"/>
          <w:kern w:val="0"/>
          <w:sz w:val="32"/>
          <w:szCs w:val="32"/>
          <w:highlight w:val="none"/>
          <w:lang w:val="en-US" w:eastAsia="zh-CN"/>
        </w:rPr>
        <w:t>9.74</w:t>
      </w:r>
      <w:r>
        <w:rPr>
          <w:rFonts w:hint="eastAsia" w:ascii="仿宋_GB2312" w:hAnsi="仿宋_GB2312" w:eastAsia="仿宋_GB2312" w:cs="仿宋_GB2312"/>
          <w:kern w:val="0"/>
          <w:sz w:val="32"/>
          <w:szCs w:val="32"/>
          <w:highlight w:val="none"/>
        </w:rPr>
        <w:t>%。主要原 因是单位人员变动，工资调整医疗缴费基数调整等因素。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卫生健康支出（类）行政事业单位医疗（款）事业单位医疗（项）：2022 年预算数为</w:t>
      </w:r>
      <w:r>
        <w:rPr>
          <w:rFonts w:hint="eastAsia" w:ascii="仿宋_GB2312" w:hAnsi="仿宋_GB2312" w:eastAsia="仿宋_GB2312" w:cs="仿宋_GB2312"/>
          <w:kern w:val="0"/>
          <w:sz w:val="32"/>
          <w:szCs w:val="32"/>
          <w:highlight w:val="none"/>
          <w:lang w:val="en-US" w:eastAsia="zh-CN"/>
        </w:rPr>
        <w:t>14.97</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0.89</w:t>
      </w:r>
      <w:r>
        <w:rPr>
          <w:rFonts w:hint="eastAsia" w:ascii="仿宋_GB2312" w:hAnsi="仿宋_GB2312" w:eastAsia="仿宋_GB2312" w:cs="仿宋_GB2312"/>
          <w:kern w:val="0"/>
          <w:sz w:val="32"/>
          <w:szCs w:val="32"/>
          <w:highlight w:val="none"/>
        </w:rPr>
        <w:t xml:space="preserve"> 万元，增长 </w:t>
      </w:r>
      <w:r>
        <w:rPr>
          <w:rFonts w:hint="eastAsia" w:ascii="仿宋_GB2312" w:hAnsi="仿宋_GB2312" w:eastAsia="仿宋_GB2312" w:cs="仿宋_GB2312"/>
          <w:kern w:val="0"/>
          <w:sz w:val="32"/>
          <w:szCs w:val="32"/>
          <w:highlight w:val="none"/>
          <w:lang w:val="en-US" w:eastAsia="zh-CN"/>
        </w:rPr>
        <w:t>6.32</w:t>
      </w:r>
      <w:r>
        <w:rPr>
          <w:rFonts w:hint="eastAsia" w:ascii="仿宋_GB2312" w:hAnsi="仿宋_GB2312" w:eastAsia="仿宋_GB2312" w:cs="仿宋_GB2312"/>
          <w:kern w:val="0"/>
          <w:sz w:val="32"/>
          <w:szCs w:val="32"/>
          <w:highlight w:val="none"/>
        </w:rPr>
        <w:t>%。主要原 因是单位人员变动，工资调整医疗缴费基数调整等因素。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卫生健康支出（类）行政事业单位医疗（款）公务员医疗补助（项）： 2022 年预算数为</w:t>
      </w:r>
      <w:r>
        <w:rPr>
          <w:rFonts w:hint="eastAsia" w:ascii="仿宋_GB2312" w:hAnsi="仿宋_GB2312" w:eastAsia="仿宋_GB2312" w:cs="仿宋_GB2312"/>
          <w:kern w:val="0"/>
          <w:sz w:val="32"/>
          <w:szCs w:val="32"/>
          <w:highlight w:val="none"/>
          <w:lang w:val="en-US" w:eastAsia="zh-CN"/>
        </w:rPr>
        <w:t>10.28</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2.09</w:t>
      </w:r>
      <w:r>
        <w:rPr>
          <w:rFonts w:hint="eastAsia" w:ascii="仿宋_GB2312" w:hAnsi="仿宋_GB2312" w:eastAsia="仿宋_GB2312" w:cs="仿宋_GB2312"/>
          <w:kern w:val="0"/>
          <w:sz w:val="32"/>
          <w:szCs w:val="32"/>
          <w:highlight w:val="none"/>
        </w:rPr>
        <w:t xml:space="preserve">万元,下降 </w:t>
      </w:r>
      <w:r>
        <w:rPr>
          <w:rFonts w:hint="eastAsia" w:ascii="仿宋_GB2312" w:hAnsi="仿宋_GB2312" w:eastAsia="仿宋_GB2312" w:cs="仿宋_GB2312"/>
          <w:kern w:val="0"/>
          <w:sz w:val="32"/>
          <w:szCs w:val="32"/>
          <w:highlight w:val="none"/>
          <w:lang w:val="en-US" w:eastAsia="zh-CN"/>
        </w:rPr>
        <w:t>16.9</w:t>
      </w:r>
      <w:r>
        <w:rPr>
          <w:rFonts w:hint="eastAsia" w:ascii="仿宋_GB2312" w:hAnsi="仿宋_GB2312" w:eastAsia="仿宋_GB2312" w:cs="仿宋_GB2312"/>
          <w:kern w:val="0"/>
          <w:sz w:val="32"/>
          <w:szCs w:val="32"/>
          <w:highlight w:val="none"/>
        </w:rPr>
        <w:t>%。 主要原因是</w:t>
      </w:r>
      <w:r>
        <w:rPr>
          <w:rFonts w:hint="eastAsia" w:ascii="仿宋_GB2312" w:hAnsi="仿宋_GB2312" w:eastAsia="仿宋_GB2312" w:cs="仿宋_GB2312"/>
          <w:kern w:val="0"/>
          <w:sz w:val="32"/>
          <w:szCs w:val="32"/>
          <w:highlight w:val="none"/>
          <w:lang w:val="en-US" w:eastAsia="zh-CN"/>
        </w:rPr>
        <w:t>人员变动</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lang w:eastAsia="zh-CN"/>
        </w:rPr>
      </w:pP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卫生健康支出（类）行政事业单位医疗（款）</w:t>
      </w:r>
      <w:r>
        <w:rPr>
          <w:rFonts w:hint="eastAsia" w:ascii="仿宋_GB2312" w:hAnsi="仿宋_GB2312" w:eastAsia="仿宋_GB2312" w:cs="仿宋_GB2312"/>
          <w:kern w:val="0"/>
          <w:sz w:val="32"/>
          <w:szCs w:val="32"/>
          <w:highlight w:val="none"/>
          <w:lang w:eastAsia="zh-CN"/>
        </w:rPr>
        <w:t>其他行政事业单位医疗支出</w:t>
      </w:r>
      <w:r>
        <w:rPr>
          <w:rFonts w:hint="eastAsia" w:ascii="仿宋_GB2312" w:hAnsi="仿宋_GB2312" w:eastAsia="仿宋_GB2312" w:cs="仿宋_GB2312"/>
          <w:kern w:val="0"/>
          <w:sz w:val="32"/>
          <w:szCs w:val="32"/>
          <w:highlight w:val="none"/>
        </w:rPr>
        <w:t>（项）</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 xml:space="preserve"> 2022 年预算数为</w:t>
      </w:r>
      <w:r>
        <w:rPr>
          <w:rFonts w:hint="eastAsia" w:ascii="仿宋_GB2312" w:hAnsi="仿宋_GB2312" w:eastAsia="仿宋_GB2312" w:cs="仿宋_GB2312"/>
          <w:kern w:val="0"/>
          <w:sz w:val="32"/>
          <w:szCs w:val="32"/>
          <w:highlight w:val="none"/>
          <w:lang w:val="en-US" w:eastAsia="zh-CN"/>
        </w:rPr>
        <w:t>0.35</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增加0.01</w:t>
      </w:r>
      <w:r>
        <w:rPr>
          <w:rFonts w:hint="eastAsia" w:ascii="仿宋_GB2312" w:hAnsi="仿宋_GB2312" w:eastAsia="仿宋_GB2312" w:cs="仿宋_GB2312"/>
          <w:kern w:val="0"/>
          <w:sz w:val="32"/>
          <w:szCs w:val="32"/>
          <w:highlight w:val="none"/>
        </w:rPr>
        <w:t>万元,</w:t>
      </w:r>
      <w:r>
        <w:rPr>
          <w:rFonts w:hint="eastAsia" w:ascii="仿宋_GB2312" w:hAnsi="仿宋_GB2312" w:eastAsia="仿宋_GB2312" w:cs="仿宋_GB2312"/>
          <w:kern w:val="0"/>
          <w:sz w:val="32"/>
          <w:szCs w:val="32"/>
          <w:highlight w:val="none"/>
          <w:lang w:val="en-US" w:eastAsia="zh-CN"/>
        </w:rPr>
        <w:t>增长</w:t>
      </w:r>
      <w:r>
        <w:rPr>
          <w:rFonts w:hint="eastAsia" w:ascii="仿宋_GB2312" w:hAnsi="仿宋_GB2312" w:eastAsia="仿宋_GB2312" w:cs="仿宋_GB2312"/>
          <w:kern w:val="0"/>
          <w:sz w:val="32"/>
          <w:szCs w:val="32"/>
          <w:highlight w:val="none"/>
        </w:rPr>
        <w:t xml:space="preserve"> </w:t>
      </w:r>
      <w:r>
        <w:rPr>
          <w:rFonts w:hint="eastAsia" w:ascii="仿宋_GB2312" w:hAnsi="仿宋_GB2312" w:eastAsia="仿宋_GB2312" w:cs="仿宋_GB2312"/>
          <w:kern w:val="0"/>
          <w:sz w:val="32"/>
          <w:szCs w:val="32"/>
          <w:highlight w:val="none"/>
          <w:lang w:val="en-US" w:eastAsia="zh-CN"/>
        </w:rPr>
        <w:t>2.94</w:t>
      </w:r>
      <w:r>
        <w:rPr>
          <w:rFonts w:hint="eastAsia" w:ascii="仿宋_GB2312" w:hAnsi="仿宋_GB2312" w:eastAsia="仿宋_GB2312" w:cs="仿宋_GB2312"/>
          <w:kern w:val="0"/>
          <w:sz w:val="32"/>
          <w:szCs w:val="32"/>
          <w:highlight w:val="none"/>
        </w:rPr>
        <w:t>%。 主要原因是</w:t>
      </w:r>
      <w:r>
        <w:rPr>
          <w:rFonts w:hint="eastAsia" w:ascii="仿宋_GB2312" w:hAnsi="仿宋_GB2312" w:eastAsia="仿宋_GB2312" w:cs="仿宋_GB2312"/>
          <w:kern w:val="0"/>
          <w:sz w:val="32"/>
          <w:szCs w:val="32"/>
          <w:highlight w:val="none"/>
          <w:lang w:val="en-US" w:eastAsia="zh-CN"/>
        </w:rPr>
        <w:t>工资调整，社保基数调整</w:t>
      </w:r>
      <w:r>
        <w:rPr>
          <w:rFonts w:hint="eastAsia" w:ascii="仿宋_GB2312" w:hAnsi="仿宋_GB2312" w:eastAsia="仿宋_GB2312" w:cs="仿宋_GB2312"/>
          <w:kern w:val="0"/>
          <w:sz w:val="32"/>
          <w:szCs w:val="32"/>
          <w:highlight w:val="none"/>
          <w:lang w:eastAsia="zh-CN"/>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交通运输支出（类）公路水路运输（款）行政运行（项）：2022 年预算数为</w:t>
      </w:r>
      <w:r>
        <w:rPr>
          <w:rFonts w:hint="eastAsia" w:ascii="仿宋_GB2312" w:hAnsi="仿宋_GB2312" w:eastAsia="仿宋_GB2312" w:cs="仿宋_GB2312"/>
          <w:kern w:val="0"/>
          <w:sz w:val="32"/>
          <w:szCs w:val="32"/>
          <w:highlight w:val="none"/>
          <w:lang w:val="en-US" w:eastAsia="zh-CN"/>
        </w:rPr>
        <w:t>441.2</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38.79</w:t>
      </w:r>
      <w:r>
        <w:rPr>
          <w:rFonts w:hint="eastAsia" w:ascii="仿宋_GB2312" w:hAnsi="仿宋_GB2312" w:eastAsia="仿宋_GB2312" w:cs="仿宋_GB2312"/>
          <w:kern w:val="0"/>
          <w:sz w:val="32"/>
          <w:szCs w:val="32"/>
          <w:highlight w:val="none"/>
        </w:rPr>
        <w:t xml:space="preserve"> 万元，增长</w:t>
      </w:r>
      <w:r>
        <w:rPr>
          <w:rFonts w:hint="eastAsia" w:ascii="仿宋_GB2312" w:hAnsi="仿宋_GB2312" w:eastAsia="仿宋_GB2312" w:cs="仿宋_GB2312"/>
          <w:kern w:val="0"/>
          <w:sz w:val="32"/>
          <w:szCs w:val="32"/>
          <w:highlight w:val="none"/>
          <w:lang w:val="en-US" w:eastAsia="zh-CN"/>
        </w:rPr>
        <w:t>9.64</w:t>
      </w:r>
      <w:r>
        <w:rPr>
          <w:rFonts w:hint="eastAsia" w:ascii="仿宋_GB2312" w:hAnsi="仿宋_GB2312" w:eastAsia="仿宋_GB2312" w:cs="仿宋_GB2312"/>
          <w:kern w:val="0"/>
          <w:sz w:val="32"/>
          <w:szCs w:val="32"/>
          <w:highlight w:val="none"/>
        </w:rPr>
        <w:t>%。主要原因是基本工资及相关缴费增加。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 xml:space="preserve">交通运输支出（类）公路水路运输（款）一般行政管理事务（项）： 2022 年预算数为 </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万元，比上年预算增加 0万元，增长 0%。主要原因是</w:t>
      </w:r>
      <w:r>
        <w:rPr>
          <w:rFonts w:hint="eastAsia" w:ascii="仿宋_GB2312" w:hAnsi="仿宋_GB2312" w:eastAsia="仿宋_GB2312" w:cs="仿宋_GB2312"/>
          <w:kern w:val="0"/>
          <w:sz w:val="32"/>
          <w:szCs w:val="32"/>
          <w:highlight w:val="none"/>
          <w:lang w:val="en-US" w:eastAsia="zh-CN"/>
        </w:rPr>
        <w:t>该项目与上年项目一致</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w:t>
      </w:r>
      <w:r>
        <w:rPr>
          <w:rFonts w:hint="eastAsia" w:ascii="仿宋_GB2312" w:hAnsi="仿宋_GB2312" w:eastAsia="仿宋_GB2312" w:cs="仿宋_GB2312"/>
          <w:kern w:val="0"/>
          <w:sz w:val="32"/>
          <w:szCs w:val="32"/>
          <w:highlight w:val="none"/>
        </w:rPr>
        <w:t>交通运输支出（类）公路水路运输（款）</w:t>
      </w:r>
      <w:r>
        <w:rPr>
          <w:rFonts w:hint="eastAsia" w:ascii="仿宋_GB2312" w:hAnsi="仿宋_GB2312" w:eastAsia="仿宋_GB2312" w:cs="仿宋_GB2312"/>
          <w:kern w:val="0"/>
          <w:sz w:val="32"/>
          <w:szCs w:val="32"/>
          <w:highlight w:val="none"/>
          <w:lang w:eastAsia="zh-CN"/>
        </w:rPr>
        <w:t>公路运输管理</w:t>
      </w:r>
      <w:r>
        <w:rPr>
          <w:rFonts w:hint="eastAsia" w:ascii="仿宋_GB2312" w:hAnsi="仿宋_GB2312" w:eastAsia="仿宋_GB2312" w:cs="仿宋_GB2312"/>
          <w:kern w:val="0"/>
          <w:sz w:val="32"/>
          <w:szCs w:val="32"/>
          <w:highlight w:val="none"/>
        </w:rPr>
        <w:t>（项）：2022 年预算数为</w:t>
      </w:r>
      <w:r>
        <w:rPr>
          <w:rFonts w:hint="eastAsia" w:ascii="仿宋_GB2312" w:hAnsi="仿宋_GB2312" w:eastAsia="仿宋_GB2312" w:cs="仿宋_GB2312"/>
          <w:kern w:val="0"/>
          <w:sz w:val="32"/>
          <w:szCs w:val="32"/>
          <w:highlight w:val="none"/>
          <w:lang w:val="en-US" w:eastAsia="zh-CN"/>
        </w:rPr>
        <w:t>10</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%。主要原因主要原因是</w:t>
      </w:r>
      <w:r>
        <w:rPr>
          <w:rFonts w:hint="eastAsia" w:ascii="仿宋_GB2312" w:hAnsi="仿宋_GB2312" w:eastAsia="仿宋_GB2312" w:cs="仿宋_GB2312"/>
          <w:kern w:val="0"/>
          <w:sz w:val="32"/>
          <w:szCs w:val="32"/>
          <w:highlight w:val="none"/>
          <w:lang w:val="en-US" w:eastAsia="zh-CN"/>
        </w:rPr>
        <w:t>道路运输管理力度加大，相关费用增加</w:t>
      </w:r>
      <w:r>
        <w:rPr>
          <w:rFonts w:hint="eastAsia" w:ascii="仿宋_GB2312" w:hAnsi="仿宋_GB2312" w:eastAsia="仿宋_GB2312" w:cs="仿宋_GB2312"/>
          <w:kern w:val="0"/>
          <w:sz w:val="32"/>
          <w:szCs w:val="32"/>
          <w:highlight w:val="none"/>
        </w:rPr>
        <w:t xml:space="preserve">。 </w:t>
      </w:r>
      <w:r>
        <w:rPr>
          <w:rFonts w:hint="eastAsia" w:ascii="仿宋_GB2312" w:hAnsi="仿宋_GB2312" w:eastAsia="仿宋_GB2312" w:cs="仿宋_GB2312"/>
          <w:kern w:val="0"/>
          <w:sz w:val="32"/>
          <w:szCs w:val="32"/>
          <w:highlight w:val="none"/>
          <w:lang w:val="en-US" w:eastAsia="zh-CN"/>
        </w:rPr>
        <w:t xml:space="preserve">    </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10、</w:t>
      </w:r>
      <w:r>
        <w:rPr>
          <w:rFonts w:hint="eastAsia" w:ascii="仿宋_GB2312" w:hAnsi="仿宋_GB2312" w:eastAsia="仿宋_GB2312" w:cs="仿宋_GB2312"/>
          <w:kern w:val="0"/>
          <w:sz w:val="32"/>
          <w:szCs w:val="32"/>
          <w:highlight w:val="none"/>
        </w:rPr>
        <w:t>交通运输支出（类）公路水路运输（款）</w:t>
      </w:r>
      <w:r>
        <w:rPr>
          <w:rFonts w:hint="eastAsia" w:ascii="仿宋_GB2312" w:hAnsi="仿宋_GB2312" w:eastAsia="仿宋_GB2312" w:cs="仿宋_GB2312"/>
          <w:kern w:val="0"/>
          <w:sz w:val="32"/>
          <w:szCs w:val="32"/>
          <w:highlight w:val="none"/>
          <w:lang w:eastAsia="zh-CN"/>
        </w:rPr>
        <w:t>其他公路水路运输支出</w:t>
      </w:r>
      <w:r>
        <w:rPr>
          <w:rFonts w:hint="eastAsia" w:ascii="仿宋_GB2312" w:hAnsi="仿宋_GB2312" w:eastAsia="仿宋_GB2312" w:cs="仿宋_GB2312"/>
          <w:kern w:val="0"/>
          <w:sz w:val="32"/>
          <w:szCs w:val="32"/>
          <w:highlight w:val="none"/>
        </w:rPr>
        <w:t>（项）：2022 年预 算数为</w:t>
      </w:r>
      <w:r>
        <w:rPr>
          <w:rFonts w:hint="eastAsia" w:ascii="仿宋_GB2312" w:hAnsi="仿宋_GB2312" w:eastAsia="仿宋_GB2312" w:cs="仿宋_GB2312"/>
          <w:kern w:val="0"/>
          <w:sz w:val="32"/>
          <w:szCs w:val="32"/>
          <w:highlight w:val="none"/>
          <w:lang w:val="en-US" w:eastAsia="zh-CN"/>
        </w:rPr>
        <w:t>98</w:t>
      </w:r>
      <w:r>
        <w:rPr>
          <w:rFonts w:hint="eastAsia" w:ascii="仿宋_GB2312" w:hAnsi="仿宋_GB2312" w:eastAsia="仿宋_GB2312" w:cs="仿宋_GB2312"/>
          <w:kern w:val="0"/>
          <w:sz w:val="32"/>
          <w:szCs w:val="32"/>
          <w:highlight w:val="none"/>
        </w:rPr>
        <w:t>万元，比上年预算减少</w:t>
      </w:r>
      <w:r>
        <w:rPr>
          <w:rFonts w:hint="eastAsia" w:ascii="仿宋_GB2312" w:hAnsi="仿宋_GB2312" w:eastAsia="仿宋_GB2312" w:cs="仿宋_GB2312"/>
          <w:kern w:val="0"/>
          <w:sz w:val="32"/>
          <w:szCs w:val="32"/>
          <w:highlight w:val="none"/>
          <w:lang w:val="en-US" w:eastAsia="zh-CN"/>
        </w:rPr>
        <w:t>10</w:t>
      </w:r>
      <w:r>
        <w:rPr>
          <w:rFonts w:hint="eastAsia" w:ascii="仿宋_GB2312" w:hAnsi="仿宋_GB2312" w:eastAsia="仿宋_GB2312" w:cs="仿宋_GB2312"/>
          <w:kern w:val="0"/>
          <w:sz w:val="32"/>
          <w:szCs w:val="32"/>
          <w:highlight w:val="none"/>
        </w:rPr>
        <w:t xml:space="preserve">万元,下降 </w:t>
      </w:r>
      <w:r>
        <w:rPr>
          <w:rFonts w:hint="eastAsia" w:ascii="仿宋_GB2312" w:hAnsi="仿宋_GB2312" w:eastAsia="仿宋_GB2312" w:cs="仿宋_GB2312"/>
          <w:kern w:val="0"/>
          <w:sz w:val="32"/>
          <w:szCs w:val="32"/>
          <w:highlight w:val="none"/>
          <w:lang w:val="en-US" w:eastAsia="zh-CN"/>
        </w:rPr>
        <w:t>9.26</w:t>
      </w:r>
      <w:r>
        <w:rPr>
          <w:rFonts w:hint="eastAsia" w:ascii="仿宋_GB2312" w:hAnsi="仿宋_GB2312" w:eastAsia="仿宋_GB2312" w:cs="仿宋_GB2312"/>
          <w:kern w:val="0"/>
          <w:sz w:val="32"/>
          <w:szCs w:val="32"/>
          <w:highlight w:val="none"/>
        </w:rPr>
        <w:t>%。主要原因是本年度</w:t>
      </w:r>
      <w:r>
        <w:rPr>
          <w:rFonts w:hint="eastAsia" w:ascii="仿宋_GB2312" w:hAnsi="仿宋_GB2312" w:eastAsia="仿宋_GB2312" w:cs="仿宋_GB2312"/>
          <w:kern w:val="0"/>
          <w:sz w:val="32"/>
          <w:szCs w:val="32"/>
          <w:highlight w:val="none"/>
          <w:lang w:val="en-US" w:eastAsia="zh-CN"/>
        </w:rPr>
        <w:t>项目与上年度实施项目不同</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、住房保障支出（类）住房改革支出（款）住房公积金（项）：2022 年 预算数为</w:t>
      </w:r>
      <w:r>
        <w:rPr>
          <w:rFonts w:hint="eastAsia" w:ascii="仿宋_GB2312" w:hAnsi="仿宋_GB2312" w:eastAsia="仿宋_GB2312" w:cs="仿宋_GB2312"/>
          <w:kern w:val="0"/>
          <w:sz w:val="32"/>
          <w:szCs w:val="32"/>
          <w:highlight w:val="none"/>
          <w:lang w:val="en-US" w:eastAsia="zh-CN"/>
        </w:rPr>
        <w:t>49.32</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18.02</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57.57</w:t>
      </w:r>
      <w:r>
        <w:rPr>
          <w:rFonts w:hint="eastAsia" w:ascii="仿宋_GB2312" w:hAnsi="仿宋_GB2312" w:eastAsia="仿宋_GB2312" w:cs="仿宋_GB2312"/>
          <w:kern w:val="0"/>
          <w:sz w:val="32"/>
          <w:szCs w:val="32"/>
          <w:highlight w:val="none"/>
        </w:rPr>
        <w:t>%。主要原因是人员工资调整，公积金基数调整。</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40" w:firstLineChars="200"/>
        <w:rPr>
          <w:rFonts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kern w:val="0"/>
          <w:sz w:val="32"/>
          <w:szCs w:val="32"/>
          <w:highlight w:val="none"/>
          <w:lang w:val="en-US" w:eastAsia="zh-CN"/>
        </w:rPr>
        <w:t>590.52</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528.08</w:t>
      </w:r>
      <w:r>
        <w:rPr>
          <w:rFonts w:hint="eastAsia" w:ascii="仿宋_GB2312" w:hAnsi="宋体" w:eastAsia="仿宋_GB2312" w:cs="宋体"/>
          <w:kern w:val="0"/>
          <w:sz w:val="32"/>
          <w:szCs w:val="32"/>
          <w:highlight w:val="none"/>
        </w:rPr>
        <w:t>万元，主要包括：基本工资、津贴补贴、奖金、伙食补助费、绩效工资、机关事业单位基本养老保险缴费、职工基本医疗保险缴费、公务员医疗补助缴费、其他社会保障缴费、住房公积金、医疗费、其他工资福利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离休费、医疗费补助</w:t>
      </w:r>
      <w:r>
        <w:rPr>
          <w:rFonts w:hint="eastAsia" w:ascii="仿宋_GB2312" w:hAnsi="宋体" w:eastAsia="仿宋_GB2312" w:cs="宋体"/>
          <w:kern w:val="0"/>
          <w:sz w:val="32"/>
          <w:szCs w:val="32"/>
          <w:highlight w:val="none"/>
          <w:lang w:eastAsia="zh-CN"/>
        </w:rPr>
        <w:t>、奖励金</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62.44</w:t>
      </w:r>
      <w:r>
        <w:rPr>
          <w:rFonts w:hint="eastAsia" w:ascii="仿宋_GB2312" w:hAnsi="宋体" w:eastAsia="仿宋_GB2312" w:cs="宋体"/>
          <w:kern w:val="0"/>
          <w:sz w:val="32"/>
          <w:szCs w:val="32"/>
          <w:highlight w:val="none"/>
        </w:rPr>
        <w:t>万元，主要包括：办公费、印刷费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水费、电费、邮电费、取暖费、差旅费、租赁费、培训费、公务接待费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工会经费、福利费、公务用车运行维护费、其他交通费用、其他商品和服务支出。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（一）项目名称：</w:t>
      </w:r>
      <w:r>
        <w:rPr>
          <w:rFonts w:hint="eastAsia" w:ascii="仿宋_GB2312" w:hAnsi="宋体" w:eastAsia="仿宋_GB2312" w:cs="宋体"/>
          <w:kern w:val="0"/>
          <w:sz w:val="32"/>
          <w:szCs w:val="32"/>
          <w:highlight w:val="none"/>
          <w:lang w:eastAsia="zh-CN"/>
        </w:rPr>
        <w:t>运输</w:t>
      </w:r>
      <w:r>
        <w:rPr>
          <w:rFonts w:hint="eastAsia" w:ascii="仿宋_GB2312" w:hAnsi="宋体" w:eastAsia="仿宋_GB2312" w:cs="宋体"/>
          <w:kern w:val="0"/>
          <w:sz w:val="32"/>
          <w:szCs w:val="32"/>
          <w:highlight w:val="none"/>
        </w:rPr>
        <w:t xml:space="preserve">管理项目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设立的政策依据：《中华人民共和国道路运输条例》。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 xml:space="preserve"> 万元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项目承担单位：</w:t>
      </w: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 xml:space="preserve">本级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资金分配情况：根据项目实际情况分配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资金执行时间：2022 年全年 </w:t>
      </w:r>
    </w:p>
    <w:p>
      <w:pPr>
        <w:numPr>
          <w:ilvl w:val="0"/>
          <w:numId w:val="1"/>
        </w:numPr>
        <w:spacing w:line="560" w:lineRule="exact"/>
        <w:ind w:left="-13" w:leftChars="0" w:firstLine="643" w:firstLineChars="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项目名称：交通战备项目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设立的政策依据：贯彻和执行国家和自治区有关公路交通运输行业的方针、政策、法规，提升全州国防交通战备保障能力。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 xml:space="preserve">万元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项目承担单位：</w:t>
      </w: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本级</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资金分配情况：根据项目实际情况分配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资金执行时间：2022 年全年 </w:t>
      </w:r>
    </w:p>
    <w:p>
      <w:pPr>
        <w:numPr>
          <w:ilvl w:val="0"/>
          <w:numId w:val="1"/>
        </w:numPr>
        <w:spacing w:line="560" w:lineRule="exact"/>
        <w:ind w:left="-13" w:leftChars="0" w:firstLine="643" w:firstLineChars="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项目名称：七个县市客运站数据专线网络链路</w:t>
      </w:r>
      <w:r>
        <w:rPr>
          <w:rFonts w:hint="eastAsia" w:ascii="仿宋_GB2312" w:hAnsi="宋体" w:eastAsia="仿宋_GB2312" w:cs="宋体"/>
          <w:kern w:val="0"/>
          <w:sz w:val="32"/>
          <w:szCs w:val="32"/>
          <w:highlight w:val="none"/>
          <w:lang w:eastAsia="zh-CN"/>
        </w:rPr>
        <w:t>项目</w:t>
      </w:r>
      <w:r>
        <w:rPr>
          <w:rFonts w:hint="eastAsia" w:ascii="仿宋_GB2312" w:hAnsi="宋体" w:eastAsia="仿宋_GB2312" w:cs="宋体"/>
          <w:kern w:val="0"/>
          <w:sz w:val="32"/>
          <w:szCs w:val="32"/>
          <w:highlight w:val="none"/>
        </w:rPr>
        <w:t xml:space="preserve">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设立的政策依据：1.按照2016年交通运输部、公安部、国家安监总局发布的《道路运输车辆动态监督管理办法》第18条规定“道路运输管理机构负责建设和维护道路运输车辆动态信息公共服务平台，落实维护经费。2.《昌吉回族自治州交通运输局（客运站）数据专线租用协议 》。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 xml:space="preserve">万元 </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项目承担单位：</w:t>
      </w:r>
      <w:r>
        <w:rPr>
          <w:rFonts w:hint="eastAsia" w:ascii="仿宋_GB2312" w:hAnsi="宋体" w:eastAsia="仿宋_GB2312" w:cs="宋体"/>
          <w:kern w:val="0"/>
          <w:sz w:val="32"/>
          <w:szCs w:val="32"/>
          <w:highlight w:val="none"/>
          <w:lang w:eastAsia="zh-CN"/>
        </w:rPr>
        <w:t>新疆昌吉移动公司</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资金分配情况：2022 年按</w:t>
      </w:r>
      <w:r>
        <w:rPr>
          <w:rFonts w:hint="eastAsia" w:ascii="仿宋_GB2312" w:hAnsi="宋体" w:eastAsia="仿宋_GB2312" w:cs="宋体"/>
          <w:kern w:val="0"/>
          <w:sz w:val="32"/>
          <w:szCs w:val="32"/>
          <w:highlight w:val="none"/>
          <w:lang w:eastAsia="zh-CN"/>
        </w:rPr>
        <w:t>项目</w:t>
      </w:r>
      <w:r>
        <w:rPr>
          <w:rFonts w:hint="eastAsia" w:ascii="仿宋_GB2312" w:hAnsi="宋体" w:eastAsia="仿宋_GB2312" w:cs="宋体"/>
          <w:kern w:val="0"/>
          <w:sz w:val="32"/>
          <w:szCs w:val="32"/>
          <w:highlight w:val="none"/>
        </w:rPr>
        <w:t xml:space="preserve">进度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资金执行时间：2022 年全年</w:t>
      </w:r>
    </w:p>
    <w:p>
      <w:pPr>
        <w:numPr>
          <w:ilvl w:val="0"/>
          <w:numId w:val="1"/>
        </w:numPr>
        <w:spacing w:line="560" w:lineRule="exact"/>
        <w:ind w:left="-13" w:leftChars="0" w:firstLine="643" w:firstLineChars="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项目名称：西部南山伴行公路项目前期质量检测项目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设立的政策依据：1.《公路水运工程质量监督管理规定》2017年28号令</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2.交通运输部《公路工程竣（交）工验收办法实施细则》（交公路发[2010]65号）；3.新疆维吾尔自治区交通运输厅《关于印发《新疆维吾尔自治区公路工程竣（交）工验收实施细则》的通知》（新交体法[2016]18号）               4.《新疆维吾尔自治区公路建设工程质量监督管理条例》2019年自治区第十三届人代会第九次会议通过。                   5.《关于进一步规范我区公路建设项目竣（交）工验收工作有关事宜的通知（新交建管[2021]29号。</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预算安排规模：</w:t>
      </w:r>
      <w:r>
        <w:rPr>
          <w:rFonts w:hint="eastAsia" w:ascii="仿宋_GB2312" w:hAnsi="宋体" w:eastAsia="仿宋_GB2312" w:cs="宋体"/>
          <w:kern w:val="0"/>
          <w:sz w:val="32"/>
          <w:szCs w:val="32"/>
          <w:highlight w:val="none"/>
          <w:lang w:val="en-US" w:eastAsia="zh-CN"/>
        </w:rPr>
        <w:t>95</w:t>
      </w:r>
      <w:r>
        <w:rPr>
          <w:rFonts w:hint="eastAsia" w:ascii="仿宋_GB2312" w:hAnsi="宋体" w:eastAsia="仿宋_GB2312" w:cs="宋体"/>
          <w:kern w:val="0"/>
          <w:sz w:val="32"/>
          <w:szCs w:val="32"/>
          <w:highlight w:val="none"/>
        </w:rPr>
        <w:t xml:space="preserve">万元 </w:t>
      </w:r>
    </w:p>
    <w:p>
      <w:pPr>
        <w:numPr>
          <w:ilvl w:val="0"/>
          <w:numId w:val="0"/>
        </w:numPr>
        <w:spacing w:line="560" w:lineRule="exact"/>
        <w:ind w:firstLine="640" w:firstLineChars="200"/>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项目承担单位：</w:t>
      </w:r>
      <w:r>
        <w:rPr>
          <w:rFonts w:hint="eastAsia" w:ascii="仿宋_GB2312" w:hAnsi="宋体" w:eastAsia="仿宋_GB2312" w:cs="宋体"/>
          <w:kern w:val="0"/>
          <w:sz w:val="32"/>
          <w:szCs w:val="32"/>
          <w:highlight w:val="none"/>
          <w:lang w:eastAsia="zh-CN"/>
        </w:rPr>
        <w:t>招标中标单位</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资金分配情况：2022 年按工程进度 </w:t>
      </w:r>
    </w:p>
    <w:p>
      <w:pPr>
        <w:numPr>
          <w:ilvl w:val="0"/>
          <w:numId w:val="0"/>
        </w:num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资金执行时间：2022 年全年</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宋体" w:eastAsia="仿宋_GB2312" w:cs="宋体"/>
          <w:kern w:val="0"/>
          <w:sz w:val="32"/>
          <w:szCs w:val="32"/>
          <w:highlight w:val="none"/>
        </w:rPr>
        <w:t>2022年一般公共预算“三公”经费数为</w:t>
      </w:r>
      <w:r>
        <w:rPr>
          <w:rFonts w:hint="eastAsia" w:ascii="仿宋_GB2312" w:hAnsi="宋体" w:eastAsia="仿宋_GB2312" w:cs="宋体"/>
          <w:kern w:val="0"/>
          <w:sz w:val="32"/>
          <w:szCs w:val="32"/>
          <w:highlight w:val="none"/>
          <w:lang w:val="en-US" w:eastAsia="zh-CN"/>
        </w:rPr>
        <w:t>7.45</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0.45</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 年一般公共预算“三公”经费预算比上年</w:t>
      </w:r>
      <w:r>
        <w:rPr>
          <w:rFonts w:hint="eastAsia" w:ascii="仿宋_GB2312" w:hAnsi="宋体" w:eastAsia="仿宋_GB2312" w:cs="宋体"/>
          <w:kern w:val="0"/>
          <w:sz w:val="32"/>
          <w:szCs w:val="32"/>
          <w:highlight w:val="none"/>
          <w:lang w:val="en-US" w:eastAsia="zh-CN"/>
        </w:rPr>
        <w:t>增加2.64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增长54.88</w:t>
      </w:r>
      <w:r>
        <w:rPr>
          <w:rFonts w:hint="eastAsia" w:ascii="仿宋_GB2312" w:hAnsi="宋体" w:eastAsia="仿宋_GB2312" w:cs="宋体"/>
          <w:kern w:val="0"/>
          <w:sz w:val="32"/>
          <w:szCs w:val="32"/>
          <w:highlight w:val="none"/>
        </w:rPr>
        <w:t>%，其中：因公出国（境）费增加 0 万元，增长 0%，主要原因是本年未安 排因公出国（境）费预算；公务用车购置费增加 0 万元，增长 0%，主要原因是本年未安排公务用车购置预算；公务用车运行费</w:t>
      </w:r>
      <w:r>
        <w:rPr>
          <w:rFonts w:hint="eastAsia" w:ascii="仿宋_GB2312" w:hAnsi="宋体" w:eastAsia="仿宋_GB2312" w:cs="宋体"/>
          <w:kern w:val="0"/>
          <w:sz w:val="32"/>
          <w:szCs w:val="32"/>
          <w:highlight w:val="none"/>
          <w:lang w:val="en-US" w:eastAsia="zh-CN"/>
        </w:rPr>
        <w:t>增加2.64</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增长60.55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本年度核定车辆数增加</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val="en-US" w:eastAsia="zh-CN"/>
        </w:rPr>
        <w:t>增加0</w:t>
      </w:r>
      <w:r>
        <w:rPr>
          <w:rFonts w:hint="eastAsia" w:ascii="仿宋_GB2312" w:hAnsi="宋体" w:eastAsia="仿宋_GB2312" w:cs="宋体"/>
          <w:kern w:val="0"/>
          <w:sz w:val="32"/>
          <w:szCs w:val="32"/>
          <w:highlight w:val="none"/>
        </w:rPr>
        <w:t>万 元,</w:t>
      </w:r>
      <w:r>
        <w:rPr>
          <w:rFonts w:hint="eastAsia" w:ascii="仿宋_GB2312" w:hAnsi="宋体" w:eastAsia="仿宋_GB2312" w:cs="宋体"/>
          <w:kern w:val="0"/>
          <w:sz w:val="32"/>
          <w:szCs w:val="32"/>
          <w:highlight w:val="none"/>
          <w:lang w:val="en-US" w:eastAsia="zh-CN"/>
        </w:rPr>
        <w:t>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本着</w:t>
      </w:r>
      <w:r>
        <w:rPr>
          <w:rFonts w:hint="eastAsia" w:ascii="仿宋_GB2312" w:hAnsi="宋体" w:eastAsia="仿宋_GB2312" w:cs="宋体"/>
          <w:kern w:val="0"/>
          <w:sz w:val="32"/>
          <w:szCs w:val="32"/>
          <w:highlight w:val="none"/>
        </w:rPr>
        <w:t>厉行节约</w:t>
      </w:r>
      <w:r>
        <w:rPr>
          <w:rFonts w:hint="eastAsia" w:ascii="仿宋_GB2312" w:hAnsi="宋体" w:eastAsia="仿宋_GB2312" w:cs="宋体"/>
          <w:kern w:val="0"/>
          <w:sz w:val="32"/>
          <w:szCs w:val="32"/>
          <w:highlight w:val="none"/>
          <w:lang w:val="en-US" w:eastAsia="zh-CN"/>
        </w:rPr>
        <w:t>的原则</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接待费保持不变</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kern w:val="0"/>
          <w:sz w:val="32"/>
          <w:szCs w:val="32"/>
          <w:highlight w:val="none"/>
          <w:lang w:eastAsia="zh-CN"/>
        </w:rPr>
        <w:t>昌吉回族自治州交通运输局</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62.44</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9.56</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19.08</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人员变动，对应的人头经费也随之变动</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186.2</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65.3</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120.9</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宋体" w:eastAsia="仿宋_GB2312" w:cs="宋体"/>
          <w:kern w:val="0"/>
          <w:sz w:val="32"/>
          <w:szCs w:val="32"/>
          <w:highlight w:val="none"/>
          <w:lang w:eastAsia="zh-CN"/>
        </w:rPr>
        <w:t>昌吉回族自治州在交通运输局</w:t>
      </w:r>
      <w:r>
        <w:rPr>
          <w:rFonts w:hint="eastAsia" w:ascii="仿宋_GB2312" w:hAnsi="仿宋_GB2312" w:eastAsia="仿宋_GB2312" w:cs="仿宋_GB2312"/>
          <w:kern w:val="0"/>
          <w:sz w:val="32"/>
          <w:szCs w:val="32"/>
          <w:highlight w:val="none"/>
        </w:rPr>
        <w:t>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2271.69</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281.62</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223.06</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223.06</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万元；其他车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34.13</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351.01</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114</w:t>
      </w:r>
      <w:r>
        <w:rPr>
          <w:rFonts w:hint="eastAsia" w:ascii="仿宋_GB2312" w:hAnsi="仿宋_GB2312" w:eastAsia="仿宋_GB2312" w:cs="仿宋_GB2312"/>
          <w:kern w:val="0"/>
          <w:sz w:val="32"/>
          <w:szCs w:val="32"/>
          <w:highlight w:val="none"/>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highlight w:val="none"/>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442"/>
        <w:gridCol w:w="752"/>
        <w:gridCol w:w="1506"/>
        <w:gridCol w:w="1039"/>
        <w:gridCol w:w="1332"/>
        <w:gridCol w:w="1332"/>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昌吉回族自治州交通运输局本级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highlight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道路运输管理费用</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50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目标1：为了维护道路运输市场秩序，保障道路运输安全，促进道路运输业可持续发展，配合地方政府开展各项工作。目标2：保障从事道路运输经营以及道路运输相关业务的，依法经营、诚实守信、公平竞争。:目标3：切实解决基层道路运输管理局职工工作生活工作困难，保障基层认真履行工作职责</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在公共场所道路运输条例等相关法律义务宣传次数（次）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&gt;=2次</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公共场所道路运输条例等相关法律义务宣传完成率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完成当年危货及出租车从业考试任务J及时率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按时开展各类工作时间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12月31日</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补充道路运输管理人员各项经费成本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&lt;=5万元</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车辆燃油费及过路费用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&lt;=5万元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维护道路运输行业平等、公正、信用、有序的竞争秩序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提升</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交通运输事业稳定向好，交通保障能力大幅提升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长期</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昌吉回族自治州交通运输局本级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highlight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交通战备经费</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50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本单位主要负责贯彻执行国家和自治区有关公路交通运输行业的方针、政策、法规，负责自治州交通战备工作和出入境运输管理工作。目标1：提升全州国防交通战备保障能力。目标2：加强民用运力信息管理水平，实现军地国防交通工作无缝衔接。</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开展应急演练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&gt;=1次</w:t>
            </w:r>
          </w:p>
        </w:tc>
      </w:tr>
      <w:tr>
        <w:tblPrEx>
          <w:tblCellMar>
            <w:top w:w="0" w:type="dxa"/>
            <w:left w:w="0" w:type="dxa"/>
            <w:bottom w:w="0" w:type="dxa"/>
            <w:right w:w="0" w:type="dxa"/>
          </w:tblCellMar>
        </w:tblPrEx>
        <w:trPr>
          <w:trHeight w:val="3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应急演练达标率</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&gt;=100%</w:t>
            </w:r>
          </w:p>
        </w:tc>
      </w:tr>
      <w:tr>
        <w:tblPrEx>
          <w:tblCellMar>
            <w:top w:w="0" w:type="dxa"/>
            <w:left w:w="0" w:type="dxa"/>
            <w:bottom w:w="0" w:type="dxa"/>
            <w:right w:w="0" w:type="dxa"/>
          </w:tblCellMar>
        </w:tblPrEx>
        <w:trPr>
          <w:trHeight w:val="3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highlight w:val="none"/>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应急演练完成率</w:t>
            </w:r>
          </w:p>
        </w:tc>
        <w:tc>
          <w:tcPr>
            <w:tcW w:w="2664" w:type="dxa"/>
            <w:gridSpan w:val="2"/>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本年度完成应急演练时限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10月前</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应急演练及时率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应急演练支出费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&lt;=5万元</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其他交通战备保障经费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&lt;=1万元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交通运输系统处理突发应急事件的能力有所加强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加强</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加强民用运力信息管理水平，实现军地国防交通工作无缝衔接。</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长期</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昌吉回族自治州交通运输局本级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highlight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七个县市数据专线租用费用</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50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3.00</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州交通运行监测调度中心承担着对昌吉州交通运行状态进行监测、预警，业务咨询的责任，并对交通运输信息系统进行管理和维护。目标1:所申请财政资金全部用于七个县市客运场站数据专线网络链畅通；目标2:确保交通运行监测信息平台能够随时调阅各县（市）客运场站视频数据，使安全生产检查更加快捷有效。</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实现昌吉州县（市）客运场站数据专线网络链路联通数量（条）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=7条</w:t>
            </w:r>
          </w:p>
        </w:tc>
      </w:tr>
      <w:tr>
        <w:tblPrEx>
          <w:tblCellMar>
            <w:top w:w="0" w:type="dxa"/>
            <w:left w:w="0" w:type="dxa"/>
            <w:bottom w:w="0" w:type="dxa"/>
            <w:right w:w="0" w:type="dxa"/>
          </w:tblCellMar>
        </w:tblPrEx>
        <w:trPr>
          <w:trHeight w:val="3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系统故障率</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&lt;=95%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系统运行维护响应时间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&lt;=24小时</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系统故障修复处理及时率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年维护成本增长率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线路租用经费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&lt;=3万元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客运场站群众出行体验感受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充分提升</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系统正常使用年限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&gt;=1年</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highlight w:val="none"/>
                <w:lang w:bidi="ar"/>
              </w:rPr>
            </w:pPr>
          </w:p>
          <w:p>
            <w:pPr>
              <w:widowControl/>
              <w:spacing w:line="480" w:lineRule="exact"/>
              <w:jc w:val="center"/>
              <w:textAlignment w:val="bottom"/>
              <w:rPr>
                <w:rFonts w:ascii="仿宋_GB2312" w:hAnsi="宋体" w:eastAsia="仿宋_GB2312" w:cs="仿宋_GB2312"/>
                <w:b/>
                <w:color w:val="000000"/>
                <w:sz w:val="32"/>
                <w:szCs w:val="32"/>
                <w:highlight w:val="none"/>
              </w:rPr>
            </w:pPr>
            <w:r>
              <w:rPr>
                <w:rFonts w:hint="eastAsia" w:ascii="仿宋_GB2312" w:hAnsi="宋体" w:eastAsia="仿宋_GB2312" w:cs="仿宋_GB2312"/>
                <w:b/>
                <w:color w:val="000000"/>
                <w:kern w:val="0"/>
                <w:sz w:val="32"/>
                <w:szCs w:val="32"/>
                <w:highlight w:val="none"/>
                <w:lang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highlight w:val="none"/>
              </w:rPr>
            </w:pPr>
            <w:r>
              <w:rPr>
                <w:rFonts w:hint="eastAsia" w:ascii="宋体" w:hAnsi="宋体" w:cs="宋体"/>
                <w:color w:val="000000"/>
                <w:kern w:val="0"/>
                <w:sz w:val="22"/>
                <w:szCs w:val="22"/>
                <w:highlight w:val="none"/>
                <w:lang w:bidi="ar"/>
              </w:rPr>
              <w:t>（202</w:t>
            </w:r>
            <w:r>
              <w:rPr>
                <w:rFonts w:ascii="宋体" w:hAnsi="宋体" w:cs="宋体"/>
                <w:color w:val="000000"/>
                <w:kern w:val="0"/>
                <w:sz w:val="22"/>
                <w:szCs w:val="22"/>
                <w:highlight w:val="none"/>
                <w:lang w:bidi="ar"/>
              </w:rPr>
              <w:t>2</w:t>
            </w:r>
            <w:r>
              <w:rPr>
                <w:rFonts w:hint="eastAsia" w:ascii="宋体" w:hAnsi="宋体" w:cs="宋体"/>
                <w:color w:val="000000"/>
                <w:kern w:val="0"/>
                <w:sz w:val="22"/>
                <w:szCs w:val="22"/>
                <w:highlight w:val="none"/>
                <w:lang w:bidi="ar"/>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昌吉回族自治州交通运输局本级</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highlight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西部南山伴行项目前期费用</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项目资金（万元）</w:t>
            </w:r>
          </w:p>
        </w:tc>
        <w:tc>
          <w:tcPr>
            <w:tcW w:w="150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年度资金总额：</w:t>
            </w:r>
          </w:p>
        </w:tc>
        <w:tc>
          <w:tcPr>
            <w:tcW w:w="7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15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95</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3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highlight w:val="none"/>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jc w:val="left"/>
              <w:textAlignment w:val="top"/>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昌吉州交通运输局承担着对昌吉州公路建设项目质量监督检测、交工核验、质量鉴定的责任。目标1:完成对昌吉州公路建设项目质量监督检测、交工核验、质量鉴定；目标2:对重点原材料和关键工序施工质量实行100%全覆盖检测，加强主动控制，使质量控制关口前移。</w:t>
            </w: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highlight w:val="none"/>
              </w:rPr>
            </w:pPr>
            <w:r>
              <w:rPr>
                <w:rFonts w:hint="eastAsia" w:ascii="宋体" w:hAnsi="宋体" w:cs="宋体"/>
                <w:b/>
                <w:color w:val="000000"/>
                <w:kern w:val="0"/>
                <w:sz w:val="18"/>
                <w:szCs w:val="18"/>
                <w:highlight w:val="none"/>
                <w:lang w:bidi="ar"/>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完成质量监督检测、交工核验、质量鉴定项目数量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=2个</w:t>
            </w:r>
          </w:p>
        </w:tc>
      </w:tr>
      <w:tr>
        <w:tblPrEx>
          <w:tblCellMar>
            <w:top w:w="0" w:type="dxa"/>
            <w:left w:w="0" w:type="dxa"/>
            <w:bottom w:w="0" w:type="dxa"/>
            <w:right w:w="0" w:type="dxa"/>
          </w:tblCellMar>
        </w:tblPrEx>
        <w:trPr>
          <w:trHeight w:val="323"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工程交竣工验收合格率</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&gt;=95%</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质量检测、核验鉴定及时率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&gt;=98%</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按时开展各类工作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12月31日</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项目预算控制率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&lt;=95%</w:t>
            </w:r>
          </w:p>
        </w:tc>
      </w:tr>
      <w:tr>
        <w:tblPrEx>
          <w:tblCellMar>
            <w:top w:w="0" w:type="dxa"/>
            <w:left w:w="0" w:type="dxa"/>
            <w:bottom w:w="0" w:type="dxa"/>
            <w:right w:w="0" w:type="dxa"/>
          </w:tblCellMar>
        </w:tblPrEx>
        <w:trPr>
          <w:trHeight w:val="226"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需要交工核验和质量鉴定费用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&lt;=75万元</w:t>
            </w:r>
          </w:p>
        </w:tc>
      </w:tr>
      <w:tr>
        <w:tblPrEx>
          <w:tblCellMar>
            <w:top w:w="0" w:type="dxa"/>
            <w:left w:w="0" w:type="dxa"/>
            <w:bottom w:w="0" w:type="dxa"/>
            <w:right w:w="0" w:type="dxa"/>
          </w:tblCellMar>
        </w:tblPrEx>
        <w:trPr>
          <w:trHeight w:val="226"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highlight w:val="none"/>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highlight w:val="none"/>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一期质量检测费用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&lt;=20万元</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highlight w:val="none"/>
                <w:lang w:eastAsia="zh-CN"/>
              </w:rPr>
            </w:pPr>
            <w:r>
              <w:rPr>
                <w:rFonts w:hint="eastAsia" w:ascii="宋体" w:hAnsi="宋体" w:cs="宋体"/>
                <w:color w:val="000000"/>
                <w:sz w:val="18"/>
                <w:szCs w:val="18"/>
                <w:highlight w:val="none"/>
                <w:lang w:eastAsia="zh-CN"/>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改善交通道路环境，提升人民生活质量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充分提升</w:t>
            </w:r>
          </w:p>
        </w:tc>
      </w:tr>
      <w:tr>
        <w:tblPrEx>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highlight w:val="none"/>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持续保障昌吉州农村公路建设项目质量管理水平。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持续保障</w:t>
            </w:r>
          </w:p>
        </w:tc>
      </w:tr>
      <w:tr>
        <w:tblPrEx>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&gt;=95%</w:t>
            </w:r>
          </w:p>
        </w:tc>
      </w:tr>
    </w:tbl>
    <w:p>
      <w:pPr>
        <w:spacing w:line="600" w:lineRule="exact"/>
        <w:ind w:firstLine="643" w:firstLineChars="200"/>
        <w:rPr>
          <w:rFonts w:hint="eastAsia" w:ascii="楷体_GB2312" w:hAnsi="宋体" w:eastAsia="楷体_GB2312" w:cs="宋体"/>
          <w:b/>
          <w:kern w:val="0"/>
          <w:sz w:val="32"/>
          <w:szCs w:val="32"/>
          <w:highlight w:val="none"/>
        </w:rPr>
      </w:pPr>
    </w:p>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指自</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w:t>
      </w:r>
      <w:bookmarkStart w:id="0" w:name="_GoBack"/>
      <w:bookmarkEnd w:id="0"/>
      <w:r>
        <w:rPr>
          <w:rFonts w:hint="eastAsia" w:ascii="仿宋_GB2312" w:eastAsia="仿宋_GB2312"/>
          <w:sz w:val="32"/>
          <w:szCs w:val="32"/>
          <w:highlight w:val="none"/>
        </w:rPr>
        <w:t>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left="5118" w:leftChars="304" w:hanging="4480" w:hangingChars="14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eastAsia="zh-CN"/>
        </w:rPr>
        <w:t>昌吉回族自治州交通运输局</w:t>
      </w: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B854D"/>
    <w:multiLevelType w:val="singleLevel"/>
    <w:tmpl w:val="7BFB854D"/>
    <w:lvl w:ilvl="0" w:tentative="0">
      <w:start w:val="2"/>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07C8"/>
    <w:rsid w:val="00F91EEB"/>
    <w:rsid w:val="014856A4"/>
    <w:rsid w:val="06DF6ACE"/>
    <w:rsid w:val="0BD1459C"/>
    <w:rsid w:val="0CA3116B"/>
    <w:rsid w:val="0D1D5F20"/>
    <w:rsid w:val="0E1E1918"/>
    <w:rsid w:val="0FDD12BC"/>
    <w:rsid w:val="10663D30"/>
    <w:rsid w:val="11D041D0"/>
    <w:rsid w:val="161C116C"/>
    <w:rsid w:val="19C209FE"/>
    <w:rsid w:val="1A480655"/>
    <w:rsid w:val="1B65432C"/>
    <w:rsid w:val="1CE119EA"/>
    <w:rsid w:val="1E2F53D8"/>
    <w:rsid w:val="251B0699"/>
    <w:rsid w:val="253D05BB"/>
    <w:rsid w:val="27137DC8"/>
    <w:rsid w:val="2733469E"/>
    <w:rsid w:val="291512F1"/>
    <w:rsid w:val="2E7D5A3D"/>
    <w:rsid w:val="3B0C0401"/>
    <w:rsid w:val="3E27134C"/>
    <w:rsid w:val="409022BB"/>
    <w:rsid w:val="415C1173"/>
    <w:rsid w:val="445C578B"/>
    <w:rsid w:val="45077D2C"/>
    <w:rsid w:val="48EC7E6A"/>
    <w:rsid w:val="4C9C12DE"/>
    <w:rsid w:val="4F7216D7"/>
    <w:rsid w:val="5FE06BA3"/>
    <w:rsid w:val="5FFD3D15"/>
    <w:rsid w:val="60EA3FA7"/>
    <w:rsid w:val="61D02712"/>
    <w:rsid w:val="637C1157"/>
    <w:rsid w:val="63C87D8C"/>
    <w:rsid w:val="6627654E"/>
    <w:rsid w:val="66DB503E"/>
    <w:rsid w:val="67B744BE"/>
    <w:rsid w:val="67C63594"/>
    <w:rsid w:val="694B3A04"/>
    <w:rsid w:val="6AFD7AE6"/>
    <w:rsid w:val="6CE23CF0"/>
    <w:rsid w:val="6D3824F4"/>
    <w:rsid w:val="722344B4"/>
    <w:rsid w:val="7BB42B35"/>
    <w:rsid w:val="7C0474EC"/>
    <w:rsid w:val="7CB16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27</Pages>
  <Words>10097</Words>
  <Characters>11887</Characters>
  <Lines>69</Lines>
  <Paragraphs>19</Paragraphs>
  <TotalTime>7</TotalTime>
  <ScaleCrop>false</ScaleCrop>
  <LinksUpToDate>false</LinksUpToDate>
  <CharactersWithSpaces>12770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2022-04-21T12:32:09Z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6CF6107C51D842BAB3720A035DB6308F</vt:lpwstr>
  </property>
</Properties>
</file>