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highlight w:val="yellow"/>
        </w:rPr>
      </w:pPr>
      <w:r>
        <w:rPr>
          <w:rFonts w:hint="eastAsia" w:ascii="方正小标宋_GBK" w:hAnsi="宋体" w:eastAsia="方正小标宋_GBK"/>
          <w:kern w:val="0"/>
          <w:sz w:val="44"/>
          <w:szCs w:val="44"/>
        </w:rPr>
        <w:t>昌吉州应急管理局2022年部门预算公开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昌吉州应急管理局概况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w:t>
      </w:r>
      <w:r>
        <w:rPr>
          <w:rFonts w:hint="eastAsia" w:ascii="仿宋_GB2312" w:hAnsi="宋体" w:eastAsia="仿宋_GB2312"/>
          <w:kern w:val="0"/>
          <w:sz w:val="32"/>
          <w:szCs w:val="32"/>
        </w:rPr>
        <w:t>昌吉州应急管理局</w:t>
      </w:r>
      <w:r>
        <w:rPr>
          <w:rFonts w:hint="eastAsia" w:ascii="仿宋_GB2312" w:hAnsi="仿宋_GB2312" w:eastAsia="仿宋_GB2312" w:cs="仿宋_GB2312"/>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昌吉州应急管理局概况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（一）负责应急管理工作，指导各级、各部门应对安全生产类、自然灾害类突发事件和综合防灾减灾救灾工作。负责自治州安全生产综合监督管理和工矿商贸行业安全生产监督管理工作。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（二）组织编制应急体系建设、安全生产和综合防灾减灾规划，起草应急管理、安全生产等地方规范性文件和相关规程、地方标准并监督实施。</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三）负责安全生产类、自然灾害类应急预案体系建设，建立完善事故灾难和自然灾害分级应对制度，组织编制总体应急预案和安全生产类、自然灾害类专项预案，综合协调应急预案衔接工作，组织开展预案演练，推动应急避难设施建设。</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（四）牵头建立统一的应急管理信息系统，负责信息传输和共享，建立监测预警和灾情报告制度，健全自然灾害信息资源获取和共享机制，依法统一发布灾情。</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五）组织、指导和协调安全生产类、自然灾害类突发事件应急救援，承担自治州应对较大灾害指挥工作，综合研判突发事件发展态势并提出应对建议，协助自治州党委、自治州人民政府指定的负责同志组织较大灾害应急处置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（六）协调指挥各类应急专业队伍，建立应急协调联动机制，推进应急指挥平台对接，提请衔接驻昌吉州部队参与应急救援工作。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七）统筹应急救援力量建设，负责消防、森林和草原火灾扑救、抗洪抢险、地震和地质灾害救援、生产安全事故救援专业应急救援力量建设，建设和管理指挥自治州综合性应急救援队伍，指导各级及社会应急救援力量建设。</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（八）负责消防管理工作，指导消防监督、火灾预防、火灾扑救等工作。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九）建立自然灾害和较大安全生产风险监测预警、会商研判和评估论证机制，指导和协调森林和草原火灾、水旱灾害、地震和地质灾害防治工作，负责自然灾害综合监测预警工作，指导开展自然灾害综合风险评估和减灾能力调查评估。</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（十）组织协调灾害救助工作，组织和指导灾情核查、损失评估、救灾捐赠工作，管理、分配中央、自治区和自治州救灾款物并监督使用。</w:t>
      </w:r>
    </w:p>
    <w:p>
      <w:pPr>
        <w:tabs>
          <w:tab w:val="left" w:pos="6300"/>
        </w:tabs>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（十一）依法行使自治州安全生产综合监督管理职权，指导、协调和监督自治州负有安全生产监督管理职责的部门及下级政府的安全生产工作，组织开展安全生产巡查、考核工作。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二）按照分级、属地原则，依法监督检查工矿商贸（煤矿除外）生产经营单位贯彻执行安全生产法律法规情况及其安全生产条件和有关设备（特种设备除外）、材料、劳动防护用品的安全生产管理工作。负责监督管理工矿商贸行业安全生产工作，依法组织、指导和监督实施安全生产准入制度。负责危险化学品安全监督管理综合工作和烟花爆竹安全生产监督管理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（十三）依法组织指导生产安全事故调查处理，监督和评估事故查处和责任追究落实情况。组织开展自然灾害类突发事件的调查评估工作。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（十四）制定应急物资储备和应急救援装备规划并组织实施，会同粮食物资储备等部门建立健全应急物资信息平台和调拨制度，在救灾时统一调度。</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（十五）负责应急管理、安全生产宣传教育和培训工作，组织和指导自治州应急管理、安全生产的科学技术研究、推广应用和信息化建设工作，开展应急管理方面的合作与交流。</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（十六）完成自治州党委、自治州人民政府交办的其他任务。</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七）职能转变。自治州应急管理局应加强、优化、统筹自治州应急能力建设，构建统一领导、权责一致、权威高效的应急能力体系，推动形成统一指挥、专常兼备、反应灵敏、上下联动、平战结合的应急管理体制。一是坚持以防为主、防抗救结合，坚持常态减灾和非常态救灾相统一，努力实现从注重灾后救助向注重灾前预防转变，从应对单一灾种向综合减灾转变，从减少灾害损失向减轻灾害风险转变，提高全州应急管理水平和防灾减灾救灾能力，防范化解重大安全风险；二是坚持以人为本，把确保人民群众生命安全放在首位，确保受灾群众基本生活，加强应急预案演练，增强全州公民防灾减灾意识，提升公众知识普及和自救互救技能，切实减少人员伤亡和财产损失；三是树立安全发展理念，坚持生命至上、安全第一，完善安全生产责任，坚决遏制重特大安全事故。</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（十八）有关职责分工</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1.与自治州自然资源局、水利局、林业和草原局等部门在自然灾害防救方面的职责分工。</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自治州应急管理局负责统一组织、统一指挥、统一协调自然灾害类突发事件应急救援，统筹综合防灾减灾救灾工作。各行业领域主管部门依法承担相关行业领域的灾害监测、预警、防治及保障工作。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自治州应急管理局负责组织拟订自治州总体应急预案和安全生产类、自然灾害类专项预案，综合协调应急预案衔接工作，组织开展预案演练；按照分级负责的原则，指导自然灾害类应急救援；组织协调较大灾害应急救援工作，并按权限作出决定；承担自治州应对较大灾害指挥工作，协助自治州党委、自治州人民政府指定的负责同志组织较大灾害应急处置工作；组织编制综合防灾减灾规划，指导协调相关部门森林和草原火灾、水旱灾害、地震和地质灾害等防治工作；会同自治州自然资源局、水利局、气象局、林业和草原局等有关部门建立统一的应急管理信息平台，建立监测预警和灾情报告制度，健全自然灾害信息资源获取和共享机制，依法统一发布灾情；开展多灾种和灾害综合监测预警，指导开展自然灾害综合风险评估；负责森林和草原火情监测预警工作，发布森林和草原火险、火灾信息；落实自治区应急指挥机构以及自治区水利厅防汛抗旱的有关要求，执行自治区应急指挥机构指令。</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自治州自然资源局负责落实综合防灾减灾规划相关要求，组织编制地质灾害防治规划和防护标准并指导实施；组织指导协调和监督地质灾害调查评价及隐患的普查、详查、排查；指导开展群测群防、专业监测和预报预警等工作，指导开展地质灾害工程治理工作；承担地质灾害应急救援的技术支撑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自治州水利局负责落实综合防灾减灾规划相关要求，组织编制自治州洪水干旱灾害防治规划和防护标准并指导实施；承担水情旱情监测预警工作；组织编制重要河流湖泊和重要水工程的防御洪水抗御旱灾调度和应急水量调度方案，按程序报批并组织实施；承担防御洪水应急抢险的技术支撑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4）自治州林业和草原局负责落实综合防灾减灾规划相关要求，组织编制森林和草原火灾防治规划和防护标准并指导实施；指导开展防火巡护、火源管理、防火设施建设等工作；组织指导国有林场林区和草原开展防火宣传教育、监测预警、督促检查等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（5）必要时，自治州自然资源局、水利局、林业和草原局等部门可以提请自治州应急管理局，以自治州应急指挥机构名义部署相关防治工作。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2.与自治州发展和改革委员会（粮食和物资储备局）在救灾物资储备方面的职责分工。</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自治州应急管理局负责提出救灾物资的储备需求和动用决策，组织编制救灾物资储备规划、品种目录和标准，会同自治州发展和改革委员会（粮食和物资储备局）等部门确定年度购置计划，根据需要下达动用指令。</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（2）自治州发展和改革委员会（粮食和物资储备局）负责救灾物资的收储、轮换和日常管理，根据自治州应急管理局的动用指令按程序组织调出、运送等工作。</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3.与相关部门在安全生产监督管理方面的职责分工。</w:t>
      </w:r>
    </w:p>
    <w:p>
      <w:pPr>
        <w:spacing w:line="52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（1）自治州应急管理局负责综合监督管理全州安全生产工作，指导、协调和监督检查自治州负有安全生产监督管理职责的部门及下级政府的安全生产工作。</w:t>
      </w:r>
    </w:p>
    <w:p>
      <w:pPr>
        <w:widowControl/>
        <w:spacing w:line="540" w:lineRule="exact"/>
        <w:jc w:val="left"/>
        <w:rPr>
          <w:rFonts w:ascii="仿宋_GB2312" w:hAnsi="宋体" w:eastAsia="仿宋_GB2312" w:cs="宋体"/>
          <w:bCs/>
          <w:kern w:val="0"/>
          <w:sz w:val="32"/>
          <w:szCs w:val="32"/>
        </w:rPr>
      </w:pPr>
      <w:r>
        <w:rPr>
          <w:rFonts w:hint="eastAsia" w:ascii="仿宋_GB2312" w:eastAsia="仿宋_GB2312"/>
          <w:color w:val="000000"/>
          <w:sz w:val="32"/>
          <w:szCs w:val="32"/>
        </w:rPr>
        <w:t>（2）各负有安全生产监督管理职责的部门按照“管行业必须管安全、管业务必须管安全、管生产必须管安全”的责任体系要求，依法具体负责本行业领域内的安全生产监督管理工作并承担相应的行政监督管理责任。</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昌吉州应急管理局</w:t>
      </w:r>
      <w:r>
        <w:rPr>
          <w:rFonts w:hint="eastAsia" w:ascii="仿宋_GB2312" w:hAnsi="黑体" w:eastAsia="仿宋_GB2312" w:cs="宋体"/>
          <w:bCs/>
          <w:kern w:val="0"/>
          <w:sz w:val="32"/>
          <w:szCs w:val="32"/>
        </w:rPr>
        <w:t>下设七个科室，分别是：</w:t>
      </w:r>
      <w:r>
        <w:rPr>
          <w:rFonts w:hint="eastAsia" w:ascii="仿宋_GB2312" w:eastAsia="仿宋_GB2312"/>
          <w:color w:val="000000"/>
          <w:sz w:val="32"/>
          <w:szCs w:val="32"/>
        </w:rPr>
        <w:t>办公室、综合减灾和风险监测科、火灾管理科、危险化学品安全监督管理科、安全生产基础科、安全生产综合协调科、法规科（组织人事科）</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rPr>
        <w:t>昌吉州应急管理局编制数2</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名，实有在编23人，其中：在职23人，增加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人；退休7人，增加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人；离休0人，增加0人。援疆1人。</w:t>
      </w:r>
    </w:p>
    <w:p>
      <w:pPr>
        <w:widowControl/>
        <w:spacing w:line="560" w:lineRule="exact"/>
        <w:ind w:firstLine="640"/>
        <w:jc w:val="left"/>
        <w:rPr>
          <w:rFonts w:hint="eastAsia" w:ascii="仿宋_GB2312" w:eastAsia="仿宋_GB2312"/>
          <w:color w:val="000000"/>
          <w:sz w:val="32"/>
          <w:szCs w:val="32"/>
        </w:rPr>
      </w:pPr>
      <w:r>
        <w:rPr>
          <w:rFonts w:hint="eastAsia" w:ascii="仿宋_GB2312" w:eastAsia="仿宋_GB2312"/>
          <w:color w:val="000000"/>
          <w:sz w:val="32"/>
          <w:szCs w:val="32"/>
        </w:rPr>
        <w:t>昌吉州应急管理局预算包含一个下属事业单位，昌吉州自然灾害综合监测预警中心编制数13名，实有人数1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人，其中：在职1</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人，增加</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人，增加</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人；退休0人，增加0人；离休0人，增加0人。</w:t>
      </w:r>
    </w:p>
    <w:p>
      <w:pPr>
        <w:widowControl/>
        <w:spacing w:line="540" w:lineRule="exact"/>
        <w:ind w:firstLine="640"/>
        <w:jc w:val="left"/>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pStyle w:val="2"/>
        <w:rPr>
          <w:rFonts w:ascii="仿宋_GB2312" w:hAnsi="宋体" w:eastAsia="仿宋_GB2312" w:cs="宋体"/>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both"/>
        <w:outlineLvl w:val="1"/>
        <w:rPr>
          <w:rFonts w:hint="default" w:ascii="仿宋_GB2312" w:hAnsi="宋体" w:eastAsia="仿宋_GB2312" w:cs="宋体"/>
          <w:b/>
          <w:kern w:val="0"/>
          <w:sz w:val="32"/>
          <w:szCs w:val="32"/>
          <w:lang w:val="en-US"/>
        </w:rPr>
      </w:pPr>
      <w:r>
        <w:rPr>
          <w:rFonts w:hint="default" w:ascii="仿宋_GB2312" w:hAnsi="宋体" w:eastAsia="仿宋_GB2312" w:cs="宋体"/>
          <w:b/>
          <w:kern w:val="0"/>
          <w:sz w:val="32"/>
          <w:szCs w:val="32"/>
          <w:lang w:val="en-US"/>
        </w:rPr>
        <w:t xml:space="preserve"> </w:t>
      </w: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w:t>
      </w:r>
      <w:r>
        <w:rPr>
          <w:rFonts w:hint="eastAsia" w:ascii="仿宋_GB2312" w:hAnsi="宋体" w:eastAsia="仿宋_GB2312"/>
          <w:kern w:val="0"/>
          <w:sz w:val="24"/>
        </w:rPr>
        <w:t>昌吉州应急管理局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1087.03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1087.03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54.67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42.41</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48.04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971.91</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1117.03</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1117.03</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编制部门（单位）：昌吉州应急管理局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6"/>
        <w:tblW w:w="9741" w:type="dxa"/>
        <w:tblInd w:w="-450" w:type="dxa"/>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CellMar>
            <w:top w:w="0" w:type="dxa"/>
            <w:left w:w="108" w:type="dxa"/>
            <w:bottom w:w="0" w:type="dxa"/>
            <w:right w:w="108" w:type="dxa"/>
          </w:tblCellMar>
        </w:tblPrEx>
        <w:trPr>
          <w:trHeight w:val="98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cs="宋体"/>
                <w:b w:val="0"/>
                <w:bCs w:val="0"/>
                <w:color w:val="000000"/>
                <w:kern w:val="0"/>
                <w:sz w:val="16"/>
                <w:szCs w:val="16"/>
                <w:lang w:val="en-US" w:eastAsia="zh-CN"/>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hint="default"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社会保障和就业支出</w:t>
            </w:r>
          </w:p>
        </w:tc>
        <w:tc>
          <w:tcPr>
            <w:tcW w:w="1018"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54.67</w:t>
            </w:r>
          </w:p>
        </w:tc>
        <w:tc>
          <w:tcPr>
            <w:tcW w:w="850" w:type="dxa"/>
            <w:tcBorders>
              <w:top w:val="nil"/>
              <w:left w:val="nil"/>
              <w:bottom w:val="single" w:color="auto" w:sz="4" w:space="0"/>
              <w:right w:val="single" w:color="auto" w:sz="4" w:space="0"/>
            </w:tcBorders>
            <w:shd w:val="clear" w:color="000000" w:fill="FFFFFF"/>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54.67</w:t>
            </w:r>
          </w:p>
        </w:tc>
        <w:tc>
          <w:tcPr>
            <w:tcW w:w="709"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行政事业单位养老支出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54.67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54.67</w:t>
            </w:r>
          </w:p>
        </w:tc>
        <w:tc>
          <w:tcPr>
            <w:tcW w:w="709"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22"/>
                <w:szCs w:val="22"/>
                <w:lang w:val="en-US" w:eastAsia="zh-CN"/>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行政单位离退休</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0.7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0.7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机关事业单位基本养老保险缴费支出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53.97</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53.97</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卫生健康支出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i w:val="0"/>
                <w:color w:val="000000"/>
                <w:kern w:val="0"/>
                <w:sz w:val="21"/>
                <w:szCs w:val="21"/>
                <w:u w:val="none"/>
                <w:lang w:val="en-US" w:eastAsia="zh-CN" w:bidi="ar"/>
              </w:rPr>
              <w:t>42.41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42.41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42.41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42.41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758"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lang w:eastAsia="zh-CN"/>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lang w:eastAsia="zh-CN"/>
              </w:rPr>
            </w:pPr>
            <w:r>
              <w:rPr>
                <w:rFonts w:hint="eastAsia" w:asciiTheme="minorEastAsia" w:hAnsiTheme="minorEastAsia" w:eastAsiaTheme="minorEastAsia" w:cstheme="minorEastAsia"/>
                <w:i w:val="0"/>
                <w:color w:val="000000"/>
                <w:kern w:val="0"/>
                <w:sz w:val="21"/>
                <w:szCs w:val="21"/>
                <w:u w:val="none"/>
                <w:lang w:val="en-US" w:eastAsia="zh-CN" w:bidi="ar"/>
              </w:rPr>
              <w:t>23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事业单位医疗</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9.05</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9.05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03</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公务员医疗补助</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10.12</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10.12</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99</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其他行政事业单位医疗支出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0.25</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0.25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住房保障支出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住房改革支出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住房公积金</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48.04</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灾害防治及应急管理支出</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971.91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w:t>
            </w:r>
            <w:r>
              <w:rPr>
                <w:rFonts w:hint="default" w:asciiTheme="minorEastAsia" w:hAnsiTheme="minorEastAsia" w:eastAsiaTheme="minorEastAsia" w:cstheme="minorEastAsia"/>
                <w:i w:val="0"/>
                <w:color w:val="000000"/>
                <w:kern w:val="0"/>
                <w:sz w:val="21"/>
                <w:szCs w:val="21"/>
                <w:u w:val="none"/>
                <w:lang w:val="en-US" w:eastAsia="zh-CN" w:bidi="ar"/>
              </w:rPr>
              <w:t>4</w:t>
            </w:r>
            <w:r>
              <w:rPr>
                <w:rFonts w:hint="eastAsia" w:asciiTheme="minorEastAsia" w:hAnsiTheme="minorEastAsia" w:eastAsiaTheme="minorEastAsia" w:cstheme="minorEastAsia"/>
                <w:i w:val="0"/>
                <w:color w:val="000000"/>
                <w:kern w:val="0"/>
                <w:sz w:val="21"/>
                <w:szCs w:val="21"/>
                <w:u w:val="none"/>
                <w:lang w:val="en-US" w:eastAsia="zh-CN" w:bidi="ar"/>
              </w:rPr>
              <w:t>1.91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top"/>
              <w:rPr>
                <w:rFonts w:hint="default" w:asciiTheme="minorEastAsia" w:hAnsiTheme="minorEastAsia" w:eastAsiaTheme="minorEastAsia" w:cstheme="minorEastAsia"/>
                <w:i w:val="0"/>
                <w:color w:val="000000"/>
                <w:kern w:val="0"/>
                <w:sz w:val="21"/>
                <w:szCs w:val="21"/>
                <w:u w:val="none"/>
                <w:lang w:val="en-US" w:eastAsia="zh-CN" w:bidi="ar"/>
              </w:rPr>
            </w:pPr>
            <w:r>
              <w:rPr>
                <w:rFonts w:hint="default" w:asciiTheme="minorEastAsia" w:hAnsiTheme="minorEastAsia" w:eastAsiaTheme="minorEastAsia" w:cstheme="minorEastAsia"/>
                <w:i w:val="0"/>
                <w:color w:val="000000"/>
                <w:kern w:val="0"/>
                <w:sz w:val="21"/>
                <w:szCs w:val="21"/>
                <w:u w:val="none"/>
                <w:lang w:val="en-US" w:eastAsia="zh-CN" w:bidi="ar"/>
              </w:rPr>
              <w:t>30</w:t>
            </w:r>
          </w:p>
        </w:tc>
      </w:tr>
      <w:tr>
        <w:tblPrEx>
          <w:tblCellMar>
            <w:top w:w="0" w:type="dxa"/>
            <w:left w:w="108" w:type="dxa"/>
            <w:bottom w:w="0" w:type="dxa"/>
            <w:right w:w="108" w:type="dxa"/>
          </w:tblCellMar>
        </w:tblPrEx>
        <w:trPr>
          <w:trHeight w:val="417"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应急管理事务</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971.91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9</w:t>
            </w:r>
            <w:r>
              <w:rPr>
                <w:rFonts w:hint="default" w:asciiTheme="minorEastAsia" w:hAnsiTheme="minorEastAsia" w:eastAsiaTheme="minorEastAsia" w:cstheme="minorEastAsia"/>
                <w:i w:val="0"/>
                <w:color w:val="000000"/>
                <w:kern w:val="0"/>
                <w:sz w:val="21"/>
                <w:szCs w:val="21"/>
                <w:u w:val="none"/>
                <w:lang w:val="en-US" w:eastAsia="zh-CN" w:bidi="ar"/>
              </w:rPr>
              <w:t>4</w:t>
            </w:r>
            <w:r>
              <w:rPr>
                <w:rFonts w:hint="eastAsia" w:asciiTheme="minorEastAsia" w:hAnsiTheme="minorEastAsia" w:eastAsiaTheme="minorEastAsia" w:cstheme="minorEastAsia"/>
                <w:i w:val="0"/>
                <w:color w:val="000000"/>
                <w:kern w:val="0"/>
                <w:sz w:val="21"/>
                <w:szCs w:val="21"/>
                <w:u w:val="none"/>
                <w:lang w:val="en-US" w:eastAsia="zh-CN" w:bidi="ar"/>
              </w:rPr>
              <w:t>1.91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top"/>
              <w:rPr>
                <w:rFonts w:hint="default" w:asciiTheme="minorEastAsia" w:hAnsiTheme="minorEastAsia" w:eastAsiaTheme="minorEastAsia" w:cstheme="minorEastAsia"/>
                <w:i w:val="0"/>
                <w:color w:val="000000"/>
                <w:kern w:val="0"/>
                <w:sz w:val="21"/>
                <w:szCs w:val="21"/>
                <w:u w:val="none"/>
                <w:lang w:val="en-US" w:eastAsia="zh-CN" w:bidi="ar"/>
              </w:rPr>
            </w:pPr>
            <w:r>
              <w:rPr>
                <w:rFonts w:hint="default" w:asciiTheme="minorEastAsia" w:hAnsiTheme="minorEastAsia" w:eastAsiaTheme="minorEastAsia" w:cstheme="minorEastAsia"/>
                <w:i w:val="0"/>
                <w:color w:val="000000"/>
                <w:kern w:val="0"/>
                <w:sz w:val="21"/>
                <w:szCs w:val="21"/>
                <w:u w:val="none"/>
                <w:lang w:val="en-US" w:eastAsia="zh-CN" w:bidi="ar"/>
              </w:rPr>
              <w:t>30</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行政运行</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476.91</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w:t>
            </w:r>
            <w:r>
              <w:rPr>
                <w:rFonts w:hint="default" w:asciiTheme="minorEastAsia" w:hAnsiTheme="minorEastAsia" w:eastAsiaTheme="minorEastAsia" w:cstheme="minorEastAsia"/>
                <w:i w:val="0"/>
                <w:color w:val="000000"/>
                <w:kern w:val="0"/>
                <w:sz w:val="21"/>
                <w:szCs w:val="21"/>
                <w:u w:val="none"/>
                <w:lang w:val="en-US" w:eastAsia="zh-CN" w:bidi="ar"/>
              </w:rPr>
              <w:t>4</w:t>
            </w:r>
            <w:r>
              <w:rPr>
                <w:rFonts w:hint="eastAsia" w:asciiTheme="minorEastAsia" w:hAnsiTheme="minorEastAsia" w:eastAsiaTheme="minorEastAsia" w:cstheme="minorEastAsia"/>
                <w:i w:val="0"/>
                <w:color w:val="000000"/>
                <w:kern w:val="0"/>
                <w:sz w:val="21"/>
                <w:szCs w:val="21"/>
                <w:u w:val="none"/>
                <w:lang w:val="en-US" w:eastAsia="zh-CN" w:bidi="ar"/>
              </w:rPr>
              <w:t>6.91</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top"/>
              <w:rPr>
                <w:rFonts w:hint="default" w:asciiTheme="minorEastAsia" w:hAnsiTheme="minorEastAsia" w:eastAsiaTheme="minorEastAsia" w:cstheme="minorEastAsia"/>
                <w:i w:val="0"/>
                <w:color w:val="000000"/>
                <w:kern w:val="0"/>
                <w:sz w:val="21"/>
                <w:szCs w:val="21"/>
                <w:u w:val="none"/>
                <w:lang w:val="en-US" w:eastAsia="zh-CN" w:bidi="ar"/>
              </w:rPr>
            </w:pPr>
            <w:r>
              <w:rPr>
                <w:rFonts w:hint="default" w:asciiTheme="minorEastAsia" w:hAnsiTheme="minorEastAsia" w:eastAsiaTheme="minorEastAsia" w:cstheme="minorEastAsia"/>
                <w:i w:val="0"/>
                <w:color w:val="000000"/>
                <w:kern w:val="0"/>
                <w:sz w:val="21"/>
                <w:szCs w:val="21"/>
                <w:u w:val="none"/>
                <w:lang w:val="en-US" w:eastAsia="zh-CN" w:bidi="ar"/>
              </w:rPr>
              <w:t>30</w:t>
            </w: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hint="default"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2145"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一般行政管理事务</w:t>
            </w:r>
          </w:p>
        </w:tc>
        <w:tc>
          <w:tcPr>
            <w:tcW w:w="101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i w:val="0"/>
                <w:color w:val="000000"/>
                <w:kern w:val="0"/>
                <w:sz w:val="21"/>
                <w:szCs w:val="21"/>
                <w:u w:val="none"/>
                <w:lang w:val="en-US" w:eastAsia="zh-CN" w:bidi="ar"/>
              </w:rPr>
              <w:t>495</w:t>
            </w:r>
          </w:p>
        </w:tc>
        <w:tc>
          <w:tcPr>
            <w:tcW w:w="850"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Theme="minorEastAsia" w:hAnsiTheme="minorEastAsia" w:eastAsiaTheme="minorEastAsia" w:cstheme="minorEastAsia"/>
                <w:b/>
                <w:bCs/>
                <w:color w:val="000000"/>
                <w:kern w:val="0"/>
                <w:sz w:val="21"/>
                <w:szCs w:val="21"/>
                <w:lang w:val="en-US" w:eastAsia="zh-CN"/>
              </w:rPr>
            </w:pPr>
            <w:r>
              <w:rPr>
                <w:rFonts w:hint="eastAsia" w:asciiTheme="minorEastAsia" w:hAnsiTheme="minorEastAsia" w:eastAsiaTheme="minorEastAsia" w:cstheme="minorEastAsia"/>
                <w:b w:val="0"/>
                <w:bCs w:val="0"/>
                <w:color w:val="000000"/>
                <w:kern w:val="0"/>
                <w:sz w:val="21"/>
                <w:szCs w:val="21"/>
                <w:lang w:val="en-US" w:eastAsia="zh-CN"/>
              </w:rPr>
              <w:t>495</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default" w:ascii="宋体" w:hAnsi="宋体" w:cs="宋体"/>
                <w:b/>
                <w:bCs/>
                <w:color w:val="000000"/>
                <w:kern w:val="0"/>
                <w:sz w:val="16"/>
                <w:szCs w:val="16"/>
                <w:lang w:val="en-US" w:eastAsia="zh-CN"/>
              </w:rPr>
              <w:t>1117</w:t>
            </w:r>
            <w:r>
              <w:rPr>
                <w:rFonts w:hint="eastAsia" w:ascii="宋体" w:hAnsi="宋体" w:cs="宋体"/>
                <w:b/>
                <w:bCs/>
                <w:color w:val="000000"/>
                <w:kern w:val="0"/>
                <w:sz w:val="16"/>
                <w:szCs w:val="16"/>
                <w:lang w:val="en-US" w:eastAsia="zh-CN"/>
              </w:rPr>
              <w:t>.03</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16"/>
                <w:szCs w:val="16"/>
                <w:lang w:val="en-US" w:eastAsia="zh-CN"/>
              </w:rPr>
              <w:t>1117</w:t>
            </w:r>
            <w:r>
              <w:rPr>
                <w:rFonts w:hint="eastAsia" w:ascii="宋体" w:hAnsi="宋体" w:cs="宋体"/>
                <w:b/>
                <w:bCs/>
                <w:color w:val="000000"/>
                <w:kern w:val="0"/>
                <w:sz w:val="16"/>
                <w:szCs w:val="16"/>
                <w:lang w:val="en-US" w:eastAsia="zh-CN"/>
              </w:rPr>
              <w:t>.03</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编制部门（单位）：昌吉州应急管理局                      单位：万元</w:t>
      </w:r>
    </w:p>
    <w:tbl>
      <w:tblPr>
        <w:tblStyle w:val="6"/>
        <w:tblW w:w="9420" w:type="dxa"/>
        <w:tblInd w:w="-240" w:type="dxa"/>
        <w:tblLayout w:type="fixed"/>
        <w:tblCellMar>
          <w:top w:w="0" w:type="dxa"/>
          <w:left w:w="108" w:type="dxa"/>
          <w:bottom w:w="0" w:type="dxa"/>
          <w:right w:w="108" w:type="dxa"/>
        </w:tblCellMar>
      </w:tblPr>
      <w:tblGrid>
        <w:gridCol w:w="401"/>
        <w:gridCol w:w="400"/>
        <w:gridCol w:w="400"/>
        <w:gridCol w:w="2604"/>
        <w:gridCol w:w="1855"/>
        <w:gridCol w:w="1856"/>
        <w:gridCol w:w="1904"/>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ascii="宋体" w:hAnsi="宋体" w:cs="宋体"/>
                <w:b/>
                <w:bCs/>
                <w:color w:val="000000"/>
                <w:kern w:val="0"/>
                <w:sz w:val="16"/>
                <w:szCs w:val="16"/>
              </w:rPr>
            </w:pPr>
            <w:r>
              <w:rPr>
                <w:rFonts w:hint="eastAsia" w:ascii="宋体" w:hAnsi="宋体" w:cs="宋体"/>
                <w:b w:val="0"/>
                <w:bCs w:val="0"/>
                <w:color w:val="000000"/>
                <w:kern w:val="0"/>
                <w:sz w:val="16"/>
                <w:szCs w:val="16"/>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eastAsia" w:ascii="宋体" w:hAnsi="宋体" w:cs="宋体"/>
                <w:b w:val="0"/>
                <w:bCs w:val="0"/>
                <w:color w:val="000000"/>
                <w:kern w:val="0"/>
                <w:sz w:val="22"/>
                <w:szCs w:val="22"/>
                <w:lang w:eastAsia="zh-CN"/>
              </w:rPr>
            </w:pPr>
            <w:r>
              <w:rPr>
                <w:rFonts w:hint="default" w:ascii="宋体" w:hAnsi="宋体" w:cs="宋体"/>
                <w:b w:val="0"/>
                <w:bCs w:val="0"/>
                <w:color w:val="000000"/>
                <w:kern w:val="0"/>
                <w:sz w:val="22"/>
                <w:szCs w:val="22"/>
                <w:lang w:val="en-US" w:eastAsia="zh-CN"/>
              </w:rPr>
              <w:t>社会保障和就业支出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54.67</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54.67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行政事业单位养老支出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54.67</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54.67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行政单位离退休</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0.7</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208</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05</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机关事业单位基本养老保险缴费支出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53.97</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53.97</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卫生健康支出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42.41</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42.41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行政事业单位医疗</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42.41</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42.41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行政单位医疗</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23</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23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事业单位医疗</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9.05</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9.05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03</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公务员医疗补助</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10.12</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10.12</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210</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11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99</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其他行政事业单位医疗支出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0.25</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0.25</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住房保障支出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住房改革支出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住房公积金</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48.04</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val="0"/>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灾害防治及应急管理支出</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971.91</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default"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476.91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rPr>
              <w:t>495</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应急管理事务</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971.91</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default"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476.91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val="0"/>
                <w:bCs w:val="0"/>
                <w:color w:val="000000"/>
                <w:kern w:val="0"/>
                <w:sz w:val="22"/>
                <w:szCs w:val="22"/>
                <w:lang w:val="en-US"/>
              </w:rPr>
            </w:pPr>
            <w:r>
              <w:rPr>
                <w:rFonts w:hint="default" w:ascii="宋体" w:hAnsi="宋体" w:cs="宋体"/>
                <w:b w:val="0"/>
                <w:bCs w:val="0"/>
                <w:color w:val="000000"/>
                <w:kern w:val="0"/>
                <w:sz w:val="22"/>
                <w:szCs w:val="22"/>
                <w:lang w:val="en-US"/>
              </w:rPr>
              <w:t>495</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行政运行</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476.91</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476.91</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top"/>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224</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01</w:t>
            </w:r>
          </w:p>
        </w:tc>
        <w:tc>
          <w:tcPr>
            <w:tcW w:w="400" w:type="dxa"/>
            <w:tcBorders>
              <w:top w:val="nil"/>
              <w:left w:val="nil"/>
              <w:bottom w:val="single" w:color="auto" w:sz="4" w:space="0"/>
              <w:right w:val="single" w:color="auto" w:sz="4" w:space="0"/>
            </w:tcBorders>
            <w:vAlign w:val="center"/>
          </w:tcPr>
          <w:p>
            <w:pPr>
              <w:jc w:val="center"/>
              <w:rPr>
                <w:rFonts w:hint="eastAsia" w:ascii="宋体" w:hAnsi="宋体" w:cs="宋体"/>
                <w:b w:val="0"/>
                <w:bCs w:val="0"/>
                <w:color w:val="000000"/>
                <w:kern w:val="0"/>
                <w:sz w:val="16"/>
                <w:szCs w:val="16"/>
                <w:lang w:val="en-US" w:eastAsia="zh-CN"/>
              </w:rPr>
            </w:pPr>
            <w:r>
              <w:rPr>
                <w:rFonts w:hint="eastAsia" w:ascii="宋体" w:hAnsi="宋体" w:cs="宋体"/>
                <w:b w:val="0"/>
                <w:bCs w:val="0"/>
                <w:color w:val="000000"/>
                <w:kern w:val="0"/>
                <w:sz w:val="16"/>
                <w:szCs w:val="16"/>
                <w:lang w:val="en-US" w:eastAsia="zh-CN"/>
              </w:rPr>
              <w:t>02</w:t>
            </w:r>
          </w:p>
        </w:tc>
        <w:tc>
          <w:tcPr>
            <w:tcW w:w="2604" w:type="dxa"/>
            <w:tcBorders>
              <w:top w:val="nil"/>
              <w:left w:val="nil"/>
              <w:bottom w:val="single" w:color="auto" w:sz="4" w:space="0"/>
              <w:right w:val="single" w:color="auto" w:sz="4" w:space="0"/>
            </w:tcBorders>
            <w:vAlign w:val="top"/>
          </w:tcPr>
          <w:p>
            <w:pPr>
              <w:widowControl/>
              <w:spacing w:line="280" w:lineRule="exact"/>
              <w:jc w:val="center"/>
              <w:rPr>
                <w:rFonts w:hint="default" w:ascii="宋体" w:hAnsi="宋体" w:cs="宋体"/>
                <w:b w:val="0"/>
                <w:bCs w:val="0"/>
                <w:color w:val="000000"/>
                <w:kern w:val="0"/>
                <w:sz w:val="22"/>
                <w:szCs w:val="22"/>
                <w:lang w:val="en-US" w:eastAsia="zh-CN"/>
              </w:rPr>
            </w:pPr>
            <w:r>
              <w:rPr>
                <w:rFonts w:hint="default" w:ascii="宋体" w:hAnsi="宋体" w:cs="宋体"/>
                <w:b w:val="0"/>
                <w:bCs w:val="0"/>
                <w:color w:val="000000"/>
                <w:kern w:val="0"/>
                <w:sz w:val="22"/>
                <w:szCs w:val="22"/>
                <w:lang w:val="en-US" w:eastAsia="zh-CN"/>
              </w:rPr>
              <w:t>一般行政管理事务</w:t>
            </w:r>
          </w:p>
        </w:tc>
        <w:tc>
          <w:tcPr>
            <w:tcW w:w="1855"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495</w:t>
            </w:r>
          </w:p>
        </w:tc>
        <w:tc>
          <w:tcPr>
            <w:tcW w:w="1856" w:type="dxa"/>
            <w:tcBorders>
              <w:top w:val="nil"/>
              <w:left w:val="nil"/>
              <w:bottom w:val="single" w:color="auto" w:sz="4" w:space="0"/>
              <w:right w:val="single" w:color="auto" w:sz="4" w:space="0"/>
            </w:tcBorders>
            <w:vAlign w:val="top"/>
          </w:tcPr>
          <w:p>
            <w:pPr>
              <w:widowControl/>
              <w:spacing w:line="280" w:lineRule="exact"/>
              <w:jc w:val="right"/>
              <w:rPr>
                <w:rFonts w:hint="eastAsia" w:ascii="宋体" w:hAnsi="宋体" w:cs="宋体"/>
                <w:b w:val="0"/>
                <w:bCs w:val="0"/>
                <w:color w:val="000000"/>
                <w:kern w:val="0"/>
                <w:sz w:val="22"/>
                <w:szCs w:val="22"/>
                <w:lang w:val="en-US" w:eastAsia="zh-CN"/>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val="0"/>
                <w:bCs w:val="0"/>
                <w:color w:val="000000"/>
                <w:kern w:val="0"/>
                <w:sz w:val="22"/>
                <w:szCs w:val="22"/>
                <w:lang w:val="en-US" w:eastAsia="zh-CN"/>
              </w:rPr>
            </w:pPr>
            <w:r>
              <w:rPr>
                <w:rFonts w:hint="eastAsia" w:ascii="宋体" w:hAnsi="宋体" w:cs="宋体"/>
                <w:b w:val="0"/>
                <w:bCs w:val="0"/>
                <w:color w:val="000000"/>
                <w:kern w:val="0"/>
                <w:sz w:val="22"/>
                <w:szCs w:val="22"/>
                <w:lang w:val="en-US" w:eastAsia="zh-CN"/>
              </w:rPr>
              <w:t>495</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宋体" w:hAnsi="宋体" w:eastAsia="宋体" w:cs="宋体"/>
                <w:b/>
                <w:bCs/>
                <w:color w:val="000000"/>
                <w:kern w:val="0"/>
                <w:sz w:val="16"/>
                <w:szCs w:val="16"/>
                <w:lang w:val="en-US" w:eastAsia="zh-CN"/>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hint="eastAsia" w:ascii="宋体" w:hAnsi="宋体" w:eastAsia="宋体" w:cs="宋体"/>
                <w:b/>
                <w:bCs/>
                <w:color w:val="000000"/>
                <w:kern w:val="0"/>
                <w:sz w:val="22"/>
                <w:szCs w:val="22"/>
                <w:lang w:eastAsia="zh-CN"/>
              </w:rP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400" w:type="dxa"/>
            <w:tcBorders>
              <w:top w:val="nil"/>
              <w:left w:val="nil"/>
              <w:bottom w:val="single" w:color="auto" w:sz="4" w:space="0"/>
              <w:right w:val="single" w:color="auto" w:sz="4" w:space="0"/>
            </w:tcBorders>
            <w:vAlign w:val="center"/>
          </w:tcPr>
          <w:p>
            <w:pPr>
              <w:jc w:val="center"/>
            </w:pPr>
          </w:p>
        </w:tc>
        <w:tc>
          <w:tcPr>
            <w:tcW w:w="2604" w:type="dxa"/>
            <w:tcBorders>
              <w:top w:val="nil"/>
              <w:left w:val="nil"/>
              <w:bottom w:val="single" w:color="auto" w:sz="4" w:space="0"/>
              <w:right w:val="single" w:color="auto" w:sz="4" w:space="0"/>
            </w:tcBorders>
            <w:vAlign w:val="center"/>
          </w:tcPr>
          <w:p>
            <w:pPr>
              <w:jc w:val="center"/>
            </w:pP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rPr>
              <w:t>1</w:t>
            </w:r>
            <w:r>
              <w:rPr>
                <w:rFonts w:hint="default" w:ascii="宋体" w:hAnsi="宋体" w:cs="宋体"/>
                <w:b/>
                <w:bCs/>
                <w:color w:val="000000"/>
                <w:kern w:val="0"/>
                <w:sz w:val="22"/>
                <w:szCs w:val="22"/>
                <w:lang w:val="en-US"/>
              </w:rPr>
              <w:t>11</w:t>
            </w:r>
            <w:r>
              <w:rPr>
                <w:rFonts w:hint="eastAsia" w:ascii="宋体" w:hAnsi="宋体" w:cs="宋体"/>
                <w:b/>
                <w:bCs/>
                <w:color w:val="000000"/>
                <w:kern w:val="0"/>
                <w:sz w:val="22"/>
                <w:szCs w:val="22"/>
              </w:rPr>
              <w:t>7.03</w:t>
            </w:r>
          </w:p>
        </w:tc>
        <w:tc>
          <w:tcPr>
            <w:tcW w:w="1856"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b/>
                <w:bCs/>
                <w:color w:val="000000"/>
                <w:kern w:val="0"/>
                <w:sz w:val="22"/>
                <w:szCs w:val="22"/>
                <w:lang w:val="en-US" w:eastAsia="zh-CN"/>
              </w:rPr>
            </w:pPr>
            <w:r>
              <w:rPr>
                <w:rFonts w:hint="default" w:ascii="宋体" w:hAnsi="宋体" w:cs="宋体"/>
                <w:b/>
                <w:bCs/>
                <w:color w:val="000000"/>
                <w:kern w:val="0"/>
                <w:sz w:val="22"/>
                <w:szCs w:val="22"/>
                <w:lang w:val="en-US" w:eastAsia="zh-CN"/>
              </w:rPr>
              <w:t>622</w:t>
            </w:r>
            <w:r>
              <w:rPr>
                <w:rFonts w:hint="eastAsia" w:ascii="宋体" w:hAnsi="宋体" w:cs="宋体"/>
                <w:b/>
                <w:bCs/>
                <w:color w:val="000000"/>
                <w:kern w:val="0"/>
                <w:sz w:val="22"/>
                <w:szCs w:val="22"/>
                <w:lang w:val="en-US" w:eastAsia="zh-CN"/>
              </w:rPr>
              <w:t>.03</w:t>
            </w:r>
          </w:p>
        </w:tc>
        <w:tc>
          <w:tcPr>
            <w:tcW w:w="190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宋体" w:hAnsi="宋体" w:cs="宋体"/>
                <w:b/>
                <w:bCs/>
                <w:color w:val="000000"/>
                <w:kern w:val="0"/>
                <w:sz w:val="22"/>
                <w:szCs w:val="22"/>
                <w:lang w:val="en-US" w:eastAsia="zh-CN"/>
              </w:rPr>
              <w:t>495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昌吉州应急管理局</w:t>
      </w:r>
      <w:r>
        <w:rPr>
          <w:rFonts w:hint="eastAsia" w:ascii="仿宋_GB2312" w:hAnsi="宋体" w:eastAsia="仿宋_GB2312"/>
          <w:kern w:val="0"/>
          <w:sz w:val="24"/>
          <w:lang w:val="en-US" w:eastAsia="zh-CN"/>
        </w:rPr>
        <w:t xml:space="preserve">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r>
              <w:rPr>
                <w:rFonts w:hint="eastAsia" w:ascii="宋体" w:hAnsi="宋体" w:cs="宋体"/>
                <w:kern w:val="0"/>
                <w:sz w:val="18"/>
                <w:szCs w:val="18"/>
              </w:rPr>
              <w:t>1087.03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18"/>
                <w:szCs w:val="18"/>
              </w:rPr>
            </w:pPr>
            <w:r>
              <w:rPr>
                <w:rFonts w:hint="eastAsia" w:ascii="宋体" w:hAnsi="宋体" w:cs="宋体"/>
                <w:kern w:val="0"/>
                <w:sz w:val="18"/>
                <w:szCs w:val="18"/>
              </w:rPr>
              <w:t>1087.03</w:t>
            </w:r>
            <w:r>
              <w:rPr>
                <w:rFonts w:hint="eastAsia" w:ascii="宋体" w:hAnsi="宋体" w:cs="宋体"/>
                <w:b/>
                <w:bCs/>
                <w:color w:val="000000"/>
                <w:kern w:val="0"/>
                <w:sz w:val="18"/>
                <w:szCs w:val="18"/>
              </w:rPr>
              <w:t>3</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54.67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54.67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42.41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42.41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48.04</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48.04</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default" w:ascii="宋体" w:hAnsi="宋体" w:eastAsia="宋体" w:cs="宋体"/>
                <w:kern w:val="0"/>
                <w:sz w:val="18"/>
                <w:szCs w:val="18"/>
                <w:lang w:val="en-US" w:eastAsia="zh-CN"/>
              </w:rPr>
              <w:t>941.91</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941.91</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宋体" w:hAnsi="宋体" w:cs="宋体"/>
                <w:kern w:val="0"/>
                <w:sz w:val="18"/>
                <w:szCs w:val="18"/>
              </w:rPr>
              <w:t>1087.03</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1087.03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1087.03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spacing w:line="32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r>
        <w:rPr>
          <w:rFonts w:ascii="仿宋_GB2312" w:hAnsi="宋体" w:eastAsia="仿宋_GB2312"/>
          <w:b/>
          <w:kern w:val="0"/>
          <w:sz w:val="28"/>
          <w:szCs w:val="32"/>
        </w:rPr>
        <w:t xml:space="preserve"> </w:t>
      </w: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表5</w:t>
      </w:r>
    </w:p>
    <w:tbl>
      <w:tblPr>
        <w:tblStyle w:val="6"/>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昌吉州应急管理局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color w:val="000000"/>
                <w:kern w:val="0"/>
                <w:sz w:val="20"/>
                <w:szCs w:val="20"/>
              </w:rPr>
            </w:pPr>
            <w:r>
              <w:rPr>
                <w:rFonts w:hint="default" w:ascii="宋体" w:hAnsi="宋体" w:cs="宋体"/>
                <w:b w:val="0"/>
                <w:bCs w:val="0"/>
                <w:color w:val="000000"/>
                <w:kern w:val="0"/>
                <w:sz w:val="22"/>
                <w:szCs w:val="22"/>
                <w:lang w:val="en-US" w:eastAsia="zh-CN"/>
              </w:rPr>
              <w:t>社会保障和就业支出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54.67</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54.67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行政事业单位养老支出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54.67</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54.67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eastAsia" w:ascii="宋体" w:hAnsi="宋体" w:cs="宋体"/>
                <w:b w:val="0"/>
                <w:bCs w:val="0"/>
                <w:color w:val="000000"/>
                <w:kern w:val="0"/>
                <w:sz w:val="22"/>
                <w:szCs w:val="22"/>
                <w:lang w:val="en-US" w:eastAsia="zh-CN"/>
              </w:rPr>
              <w:t>行政单位离退休</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05</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53.97</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53.97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卫生健康支出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42.41</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42.41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行政事业单位医疗</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42.41</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42.41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行政单位医疗</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23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02</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事业单位医疗</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9.05</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03</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公务员医疗补助</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10.12</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10.12</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99</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其他行政事业单位医疗支出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0.25</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0.25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住房保障支出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住房改革支出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02</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住房公积金</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48.04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灾害防治及应急管理支出</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1.91</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6.91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应急管理事务</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9</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1.91</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6.91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行政运行</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6.91</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w:t>
            </w:r>
            <w:r>
              <w:rPr>
                <w:rFonts w:hint="default" w:ascii="宋体" w:hAnsi="宋体" w:cs="宋体"/>
                <w:color w:val="000000"/>
                <w:kern w:val="0"/>
                <w:sz w:val="20"/>
                <w:szCs w:val="20"/>
                <w:lang w:val="en-US" w:eastAsia="zh-CN"/>
              </w:rPr>
              <w:t>4</w:t>
            </w:r>
            <w:r>
              <w:rPr>
                <w:rFonts w:hint="eastAsia" w:ascii="宋体" w:hAnsi="宋体" w:cs="宋体"/>
                <w:color w:val="000000"/>
                <w:kern w:val="0"/>
                <w:sz w:val="20"/>
                <w:szCs w:val="20"/>
                <w:lang w:val="en-US" w:eastAsia="zh-CN"/>
              </w:rPr>
              <w:t>6.91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224</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hint="eastAsia" w:ascii="宋体" w:hAnsi="宋体" w:cs="宋体"/>
                <w:b w:val="0"/>
                <w:bCs w:val="0"/>
                <w:color w:val="000000"/>
                <w:kern w:val="0"/>
                <w:sz w:val="16"/>
                <w:szCs w:val="16"/>
                <w:lang w:val="en-US" w:eastAsia="zh-CN"/>
              </w:rPr>
              <w:t>02</w:t>
            </w:r>
          </w:p>
        </w:tc>
        <w:tc>
          <w:tcPr>
            <w:tcW w:w="2510" w:type="dxa"/>
            <w:tcBorders>
              <w:top w:val="nil"/>
              <w:left w:val="nil"/>
              <w:bottom w:val="single" w:color="auto" w:sz="4" w:space="0"/>
              <w:right w:val="single" w:color="auto" w:sz="4" w:space="0"/>
            </w:tcBorders>
            <w:vAlign w:val="top"/>
          </w:tcPr>
          <w:p>
            <w:pPr>
              <w:widowControl/>
              <w:spacing w:line="280" w:lineRule="exact"/>
              <w:jc w:val="center"/>
              <w:rPr>
                <w:rFonts w:ascii="宋体" w:hAnsi="宋体" w:cs="宋体"/>
                <w:color w:val="000000"/>
                <w:kern w:val="0"/>
                <w:sz w:val="20"/>
                <w:szCs w:val="20"/>
              </w:rPr>
            </w:pPr>
            <w:r>
              <w:rPr>
                <w:rFonts w:hint="default" w:ascii="宋体" w:hAnsi="宋体" w:cs="宋体"/>
                <w:b w:val="0"/>
                <w:bCs w:val="0"/>
                <w:color w:val="000000"/>
                <w:kern w:val="0"/>
                <w:sz w:val="22"/>
                <w:szCs w:val="22"/>
                <w:lang w:val="en-US" w:eastAsia="zh-CN"/>
              </w:rPr>
              <w:t>一般行政管理事务</w:t>
            </w:r>
          </w:p>
        </w:tc>
        <w:tc>
          <w:tcPr>
            <w:tcW w:w="1684"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495</w:t>
            </w:r>
          </w:p>
        </w:tc>
        <w:tc>
          <w:tcPr>
            <w:tcW w:w="1842"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495</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1087.03</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592.03</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rPr>
            </w:pPr>
            <w:r>
              <w:rPr>
                <w:rFonts w:hint="default" w:ascii="宋体" w:hAnsi="宋体" w:cs="宋体"/>
                <w:color w:val="000000"/>
                <w:kern w:val="0"/>
                <w:sz w:val="20"/>
                <w:szCs w:val="20"/>
                <w:lang w:val="en-US"/>
              </w:rPr>
              <w:t>495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昌吉州应急管理局</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color w:val="000000"/>
                <w:kern w:val="0"/>
                <w:sz w:val="22"/>
                <w:szCs w:val="22"/>
                <w:u w:val="none"/>
                <w:lang w:val="en-US" w:eastAsia="zh-CN" w:bidi="ar"/>
              </w:rPr>
              <w:t>工资福利支出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516.32</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516.32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仿宋_GB2312" w:hAnsi="宋体" w:eastAsia="仿宋_GB2312" w:cs="宋体"/>
                <w:color w:val="000000"/>
                <w:kern w:val="0"/>
                <w:sz w:val="20"/>
                <w:szCs w:val="20"/>
              </w:rPr>
            </w:pPr>
            <w:r>
              <w:rPr>
                <w:rFonts w:hint="default" w:ascii="Calibri" w:hAnsi="Calibri" w:eastAsia="宋体" w:cs="Calibri"/>
                <w:i w:val="0"/>
                <w:color w:val="000000"/>
                <w:kern w:val="0"/>
                <w:sz w:val="22"/>
                <w:szCs w:val="22"/>
                <w:u w:val="none"/>
                <w:lang w:val="en-US" w:eastAsia="zh-CN" w:bidi="ar"/>
              </w:rPr>
              <w:t>基本工资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159.71</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159.71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津贴补贴</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129.45</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129.45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奖金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13.05</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13.05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绩效工资</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38.59</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38.59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机关事业单位基本养老保险缴费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53.97</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53.97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10</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城镇职工基本医疗保险缴费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32.04</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32.04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公务员医疗补助缴费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10.12</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10.12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12</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其他社会保障缴费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0.64</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0.64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住房公积金</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48.04</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48.04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其他工资福利支出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30.72</w:t>
            </w:r>
          </w:p>
        </w:tc>
        <w:tc>
          <w:tcPr>
            <w:tcW w:w="1701" w:type="dxa"/>
            <w:gridSpan w:val="2"/>
            <w:tcBorders>
              <w:top w:val="nil"/>
              <w:left w:val="nil"/>
              <w:bottom w:val="single" w:color="auto" w:sz="4" w:space="0"/>
              <w:right w:val="single" w:color="auto" w:sz="4" w:space="0"/>
            </w:tcBorders>
            <w:vAlign w:val="top"/>
          </w:tcPr>
          <w:p>
            <w:pPr>
              <w:widowControl/>
              <w:jc w:val="right"/>
              <w:rPr>
                <w:rFonts w:hint="default" w:ascii="宋体" w:hAnsi="宋体" w:eastAsia="宋体" w:cs="宋体"/>
                <w:color w:val="000000"/>
                <w:kern w:val="0"/>
                <w:sz w:val="20"/>
                <w:szCs w:val="20"/>
                <w:lang w:val="en-US" w:eastAsia="zh-CN" w:bidi="ar-SA"/>
              </w:rPr>
            </w:pPr>
            <w:r>
              <w:rPr>
                <w:rFonts w:hint="default" w:ascii="宋体" w:hAnsi="宋体" w:eastAsia="宋体" w:cs="宋体"/>
                <w:color w:val="000000"/>
                <w:kern w:val="0"/>
                <w:sz w:val="20"/>
                <w:szCs w:val="20"/>
                <w:lang w:val="en-US" w:eastAsia="zh-CN" w:bidi="ar-SA"/>
              </w:rPr>
              <w:t>30.72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商品和服务支出</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66.69</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66.69</w:t>
            </w:r>
          </w:p>
        </w:tc>
      </w:tr>
      <w:tr>
        <w:tblPrEx>
          <w:tblCellMar>
            <w:top w:w="0" w:type="dxa"/>
            <w:left w:w="108" w:type="dxa"/>
            <w:bottom w:w="0" w:type="dxa"/>
            <w:right w:w="108" w:type="dxa"/>
          </w:tblCellMar>
        </w:tblPrEx>
        <w:trPr>
          <w:trHeight w:val="366"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办公费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17.44</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17.44</w:t>
            </w:r>
          </w:p>
        </w:tc>
      </w:tr>
      <w:tr>
        <w:tblPrEx>
          <w:tblCellMar>
            <w:top w:w="0" w:type="dxa"/>
            <w:left w:w="108" w:type="dxa"/>
            <w:bottom w:w="0" w:type="dxa"/>
            <w:right w:w="108" w:type="dxa"/>
          </w:tblCellMar>
        </w:tblPrEx>
        <w:trPr>
          <w:trHeight w:val="294"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05</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水费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0.70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0.70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电费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邮电费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取暖费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12.45</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12.45</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物业管理费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4.40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4.40</w:t>
            </w:r>
          </w:p>
        </w:tc>
      </w:tr>
      <w:tr>
        <w:tblPrEx>
          <w:tblCellMar>
            <w:top w:w="0" w:type="dxa"/>
            <w:left w:w="108" w:type="dxa"/>
            <w:bottom w:w="0" w:type="dxa"/>
            <w:right w:w="108" w:type="dxa"/>
          </w:tblCellMar>
        </w:tblPrEx>
        <w:trPr>
          <w:trHeight w:val="294"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维修(护)费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2.00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2.00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公务接待费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0.98</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0.98</w:t>
            </w:r>
          </w:p>
        </w:tc>
      </w:tr>
      <w:tr>
        <w:tblPrEx>
          <w:tblCellMar>
            <w:top w:w="0" w:type="dxa"/>
            <w:left w:w="108" w:type="dxa"/>
            <w:bottom w:w="0" w:type="dxa"/>
            <w:right w:w="108" w:type="dxa"/>
          </w:tblCellMar>
        </w:tblPrEx>
        <w:trPr>
          <w:trHeight w:val="34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工会经费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6.36</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6.36</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29</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福利费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5.72</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5.72</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c>
          <w:tcPr>
            <w:tcW w:w="2891" w:type="dxa"/>
            <w:tcBorders>
              <w:top w:val="nil"/>
              <w:left w:val="nil"/>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公务用车运行维护费</w:t>
            </w:r>
          </w:p>
        </w:tc>
        <w:tc>
          <w:tcPr>
            <w:tcW w:w="1701" w:type="dxa"/>
            <w:gridSpan w:val="2"/>
            <w:tcBorders>
              <w:top w:val="nil"/>
              <w:left w:val="nil"/>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10.30</w:t>
            </w:r>
          </w:p>
        </w:tc>
        <w:tc>
          <w:tcPr>
            <w:tcW w:w="1701" w:type="dxa"/>
            <w:gridSpan w:val="2"/>
            <w:tcBorders>
              <w:top w:val="nil"/>
              <w:left w:val="nil"/>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nil"/>
              <w:left w:val="nil"/>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10.30</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302</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99</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其他商品和服务支出</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4.35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jc w:val="right"/>
              <w:rPr>
                <w:rFonts w:hint="default" w:ascii="宋体" w:hAnsi="宋体" w:eastAsia="宋体" w:cs="宋体"/>
                <w:color w:val="000000"/>
                <w:kern w:val="0"/>
                <w:sz w:val="20"/>
                <w:szCs w:val="20"/>
                <w:lang w:val="en-US" w:eastAsia="zh-CN" w:bidi="ar-SA"/>
              </w:rPr>
            </w:pPr>
          </w:p>
        </w:tc>
        <w:tc>
          <w:tcPr>
            <w:tcW w:w="1701" w:type="dxa"/>
            <w:tcBorders>
              <w:top w:val="single" w:color="auto" w:sz="4" w:space="0"/>
              <w:left w:val="single" w:color="auto" w:sz="4" w:space="0"/>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4.35</w:t>
            </w: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color w:val="000000"/>
                <w:kern w:val="0"/>
                <w:sz w:val="20"/>
                <w:szCs w:val="20"/>
              </w:rPr>
            </w:pPr>
            <w:r>
              <w:rPr>
                <w:rFonts w:hint="default" w:ascii="Calibri" w:hAnsi="Calibri" w:eastAsia="宋体" w:cs="Calibri"/>
                <w:i w:val="0"/>
                <w:color w:val="000000"/>
                <w:kern w:val="0"/>
                <w:sz w:val="22"/>
                <w:szCs w:val="22"/>
                <w:u w:val="none"/>
                <w:lang w:val="en-US" w:eastAsia="zh-CN" w:bidi="ar"/>
              </w:rPr>
              <w:t>对个人和家庭的补助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9.02</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9.02</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01</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b/>
                <w:bCs/>
                <w:color w:val="000000"/>
                <w:kern w:val="0"/>
                <w:sz w:val="20"/>
                <w:szCs w:val="20"/>
              </w:rPr>
            </w:pPr>
            <w:r>
              <w:rPr>
                <w:rFonts w:hint="default" w:ascii="Calibri" w:hAnsi="Calibri" w:eastAsia="宋体" w:cs="Calibri"/>
                <w:i w:val="0"/>
                <w:color w:val="000000"/>
                <w:kern w:val="0"/>
                <w:sz w:val="22"/>
                <w:szCs w:val="22"/>
                <w:u w:val="none"/>
                <w:lang w:val="en-US" w:eastAsia="zh-CN" w:bidi="ar"/>
              </w:rPr>
              <w:t>离休费</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0.70</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default"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0.70</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07</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b/>
                <w:bCs/>
                <w:color w:val="000000"/>
                <w:kern w:val="0"/>
                <w:sz w:val="20"/>
                <w:szCs w:val="20"/>
              </w:rPr>
            </w:pPr>
            <w:r>
              <w:rPr>
                <w:rFonts w:hint="default" w:ascii="Calibri" w:hAnsi="Calibri" w:eastAsia="宋体" w:cs="Calibri"/>
                <w:i w:val="0"/>
                <w:color w:val="000000"/>
                <w:kern w:val="0"/>
                <w:sz w:val="22"/>
                <w:szCs w:val="22"/>
                <w:u w:val="none"/>
                <w:lang w:val="en-US" w:eastAsia="zh-CN" w:bidi="ar"/>
              </w:rPr>
              <w:t>医疗费补助</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7.27</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7.27</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top"/>
          </w:tcPr>
          <w:p>
            <w:pPr>
              <w:widowControl/>
              <w:jc w:val="center"/>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303</w:t>
            </w: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w:t>
            </w:r>
          </w:p>
        </w:tc>
        <w:tc>
          <w:tcPr>
            <w:tcW w:w="2891" w:type="dxa"/>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left"/>
              <w:textAlignment w:val="top"/>
              <w:rPr>
                <w:rFonts w:hint="eastAsia" w:ascii="宋体" w:hAnsi="宋体" w:cs="宋体"/>
                <w:b/>
                <w:bCs/>
                <w:color w:val="000000"/>
                <w:kern w:val="0"/>
                <w:sz w:val="20"/>
                <w:szCs w:val="20"/>
              </w:rPr>
            </w:pPr>
            <w:r>
              <w:rPr>
                <w:rFonts w:hint="default" w:ascii="Calibri" w:hAnsi="Calibri" w:eastAsia="宋体" w:cs="Calibri"/>
                <w:i w:val="0"/>
                <w:color w:val="000000"/>
                <w:kern w:val="0"/>
                <w:sz w:val="22"/>
                <w:szCs w:val="22"/>
                <w:u w:val="none"/>
                <w:lang w:val="en-US" w:eastAsia="zh-CN" w:bidi="ar"/>
              </w:rPr>
              <w:t>奖励金</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1.05</w:t>
            </w:r>
          </w:p>
        </w:tc>
        <w:tc>
          <w:tcPr>
            <w:tcW w:w="1701" w:type="dxa"/>
            <w:gridSpan w:val="2"/>
            <w:tcBorders>
              <w:top w:val="single" w:color="auto" w:sz="4" w:space="0"/>
              <w:left w:val="single" w:color="auto" w:sz="4" w:space="0"/>
              <w:bottom w:val="single" w:color="auto" w:sz="4" w:space="0"/>
              <w:right w:val="single" w:color="auto" w:sz="4" w:space="0"/>
            </w:tcBorders>
            <w:vAlign w:val="top"/>
          </w:tcPr>
          <w:p>
            <w:pPr>
              <w:widowControl/>
              <w:jc w:val="right"/>
              <w:rPr>
                <w:rFonts w:hint="eastAsia" w:ascii="宋体" w:hAnsi="宋体" w:cs="宋体"/>
                <w:color w:val="000000"/>
                <w:kern w:val="0"/>
                <w:sz w:val="20"/>
                <w:szCs w:val="20"/>
                <w:lang w:val="en-US" w:eastAsia="zh-CN"/>
              </w:rPr>
            </w:pPr>
            <w:r>
              <w:rPr>
                <w:rFonts w:hint="default" w:ascii="宋体" w:hAnsi="宋体" w:cs="宋体"/>
                <w:color w:val="000000"/>
                <w:kern w:val="0"/>
                <w:sz w:val="20"/>
                <w:szCs w:val="20"/>
                <w:lang w:val="en-US" w:eastAsia="zh-CN"/>
              </w:rPr>
              <w:t>1.05</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592.03</w:t>
            </w:r>
          </w:p>
        </w:tc>
        <w:tc>
          <w:tcPr>
            <w:tcW w:w="1701" w:type="dxa"/>
            <w:gridSpan w:val="2"/>
            <w:tcBorders>
              <w:top w:val="single" w:color="auto" w:sz="4" w:space="0"/>
              <w:left w:val="single" w:color="auto" w:sz="4" w:space="0"/>
              <w:bottom w:val="single" w:color="auto" w:sz="4" w:space="0"/>
              <w:right w:val="single" w:color="auto" w:sz="4" w:space="0"/>
            </w:tcBorders>
            <w:vAlign w:val="center"/>
          </w:tcPr>
          <w:p>
            <w:pPr>
              <w:widowControl/>
              <w:jc w:val="right"/>
              <w:rPr>
                <w:rFonts w:hint="eastAsia" w:ascii="宋体" w:hAnsi="宋体" w:cs="宋体"/>
                <w:color w:val="000000"/>
                <w:kern w:val="0"/>
                <w:sz w:val="20"/>
                <w:szCs w:val="20"/>
              </w:rPr>
            </w:pPr>
            <w:r>
              <w:rPr>
                <w:rFonts w:hint="eastAsia" w:ascii="宋体" w:hAnsi="宋体" w:cs="宋体"/>
                <w:color w:val="000000"/>
                <w:kern w:val="0"/>
                <w:sz w:val="20"/>
                <w:szCs w:val="20"/>
              </w:rPr>
              <w:t>525.34</w:t>
            </w:r>
          </w:p>
        </w:tc>
        <w:tc>
          <w:tcPr>
            <w:tcW w:w="1701" w:type="dxa"/>
            <w:tcBorders>
              <w:top w:val="single" w:color="auto" w:sz="4" w:space="0"/>
              <w:left w:val="single" w:color="auto" w:sz="4" w:space="0"/>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66.69</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表7</w:t>
      </w:r>
    </w:p>
    <w:tbl>
      <w:tblPr>
        <w:tblStyle w:val="6"/>
        <w:tblW w:w="9540" w:type="dxa"/>
        <w:tblInd w:w="-360"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昌吉州应急管理局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224</w:t>
            </w:r>
          </w:p>
        </w:tc>
        <w:tc>
          <w:tcPr>
            <w:tcW w:w="397" w:type="dxa"/>
            <w:vAlign w:val="center"/>
          </w:tcPr>
          <w:p>
            <w:pPr>
              <w:rPr>
                <w:rFonts w:ascii="仿宋_GB2312" w:hAnsi="宋体" w:eastAsia="仿宋_GB2312"/>
                <w:kern w:val="0"/>
                <w:sz w:val="32"/>
                <w:szCs w:val="32"/>
              </w:rPr>
            </w:pPr>
          </w:p>
        </w:tc>
        <w:tc>
          <w:tcPr>
            <w:tcW w:w="397" w:type="dxa"/>
            <w:vAlign w:val="center"/>
          </w:tcPr>
          <w:p>
            <w:pPr>
              <w:rPr>
                <w:rFonts w:ascii="仿宋_GB2312" w:hAnsi="宋体" w:eastAsia="仿宋_GB2312"/>
                <w:kern w:val="0"/>
                <w:sz w:val="32"/>
                <w:szCs w:val="32"/>
              </w:rPr>
            </w:pPr>
          </w:p>
        </w:tc>
        <w:tc>
          <w:tcPr>
            <w:tcW w:w="851"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灾害防治及应急管理支出</w:t>
            </w:r>
          </w:p>
        </w:tc>
        <w:tc>
          <w:tcPr>
            <w:tcW w:w="145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750" w:type="dxa"/>
            <w:vAlign w:val="center"/>
          </w:tcPr>
          <w:p>
            <w:pPr>
              <w:jc w:val="right"/>
              <w:rPr>
                <w:rFonts w:hint="default" w:ascii="仿宋_GB2312" w:hAnsi="Dialog" w:eastAsia="仿宋_GB2312"/>
                <w:color w:val="000000"/>
                <w:sz w:val="24"/>
                <w:szCs w:val="24"/>
                <w:lang w:val="en-US"/>
              </w:rPr>
            </w:pPr>
            <w:r>
              <w:rPr>
                <w:rFonts w:hint="default" w:ascii="仿宋_GB2312" w:hAnsi="Dialog" w:eastAsia="仿宋_GB2312"/>
                <w:color w:val="000000"/>
                <w:sz w:val="24"/>
                <w:szCs w:val="24"/>
                <w:lang w:val="en-US"/>
              </w:rPr>
              <w:t>495</w:t>
            </w:r>
          </w:p>
        </w:tc>
        <w:tc>
          <w:tcPr>
            <w:tcW w:w="569" w:type="dxa"/>
            <w:gridSpan w:val="2"/>
            <w:vAlign w:val="top"/>
          </w:tcPr>
          <w:p>
            <w:pPr>
              <w:jc w:val="right"/>
              <w:rPr>
                <w:rFonts w:hint="eastAsia" w:ascii="仿宋_GB2312" w:hAnsi="Dialog" w:eastAsia="仿宋_GB2312"/>
                <w:color w:val="000000"/>
                <w:sz w:val="24"/>
                <w:szCs w:val="24"/>
              </w:rPr>
            </w:pPr>
          </w:p>
        </w:tc>
        <w:tc>
          <w:tcPr>
            <w:tcW w:w="536" w:type="dxa"/>
            <w:vAlign w:val="center"/>
          </w:tcPr>
          <w:p>
            <w:pPr>
              <w:jc w:val="right"/>
              <w:rPr>
                <w:rFonts w:hint="default" w:ascii="仿宋_GB2312" w:hAnsi="Dialog" w:eastAsia="仿宋_GB2312"/>
                <w:color w:val="000000"/>
                <w:sz w:val="24"/>
                <w:szCs w:val="24"/>
                <w:lang w:val="en-US"/>
              </w:rPr>
            </w:pPr>
            <w:r>
              <w:rPr>
                <w:rFonts w:hint="default" w:ascii="仿宋_GB2312" w:hAnsi="Dialog" w:eastAsia="仿宋_GB2312"/>
                <w:color w:val="000000"/>
                <w:sz w:val="24"/>
                <w:szCs w:val="24"/>
                <w:lang w:val="en-US"/>
              </w:rPr>
              <w:t>495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224</w:t>
            </w:r>
          </w:p>
        </w:tc>
        <w:tc>
          <w:tcPr>
            <w:tcW w:w="397" w:type="dxa"/>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01</w:t>
            </w:r>
          </w:p>
        </w:tc>
        <w:tc>
          <w:tcPr>
            <w:tcW w:w="397" w:type="dxa"/>
            <w:vAlign w:val="center"/>
          </w:tcPr>
          <w:p>
            <w:pPr>
              <w:rPr>
                <w:rFonts w:ascii="仿宋_GB2312" w:hAnsi="宋体" w:eastAsia="仿宋_GB2312"/>
                <w:kern w:val="0"/>
                <w:sz w:val="32"/>
                <w:szCs w:val="32"/>
              </w:rPr>
            </w:pPr>
          </w:p>
        </w:tc>
        <w:tc>
          <w:tcPr>
            <w:tcW w:w="851"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应急管理事务</w:t>
            </w:r>
          </w:p>
        </w:tc>
        <w:tc>
          <w:tcPr>
            <w:tcW w:w="145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p>
        </w:tc>
        <w:tc>
          <w:tcPr>
            <w:tcW w:w="750" w:type="dxa"/>
            <w:vAlign w:val="center"/>
          </w:tcPr>
          <w:p>
            <w:pPr>
              <w:jc w:val="right"/>
              <w:rPr>
                <w:rFonts w:hint="default" w:ascii="仿宋_GB2312" w:hAnsi="Dialog" w:eastAsia="仿宋_GB2312"/>
                <w:color w:val="000000"/>
                <w:sz w:val="24"/>
                <w:szCs w:val="24"/>
                <w:lang w:val="en-US"/>
              </w:rPr>
            </w:pPr>
            <w:r>
              <w:rPr>
                <w:rFonts w:hint="default" w:ascii="仿宋_GB2312" w:hAnsi="Dialog" w:eastAsia="仿宋_GB2312"/>
                <w:color w:val="000000"/>
                <w:sz w:val="24"/>
                <w:szCs w:val="24"/>
                <w:lang w:val="en-US"/>
              </w:rPr>
              <w:t>495</w:t>
            </w:r>
          </w:p>
        </w:tc>
        <w:tc>
          <w:tcPr>
            <w:tcW w:w="569" w:type="dxa"/>
            <w:gridSpan w:val="2"/>
            <w:vAlign w:val="top"/>
          </w:tcPr>
          <w:p>
            <w:pPr>
              <w:jc w:val="right"/>
              <w:rPr>
                <w:rFonts w:hint="default" w:ascii="仿宋_GB2312" w:hAnsi="Dialog" w:eastAsia="仿宋_GB2312"/>
                <w:color w:val="000000"/>
                <w:sz w:val="24"/>
                <w:szCs w:val="24"/>
                <w:lang w:val="en-US"/>
              </w:rPr>
            </w:pPr>
          </w:p>
        </w:tc>
        <w:tc>
          <w:tcPr>
            <w:tcW w:w="536" w:type="dxa"/>
            <w:vAlign w:val="center"/>
          </w:tcPr>
          <w:p>
            <w:pPr>
              <w:jc w:val="right"/>
              <w:rPr>
                <w:rFonts w:hint="default" w:ascii="仿宋_GB2312" w:hAnsi="Dialog" w:eastAsia="仿宋_GB2312"/>
                <w:color w:val="000000"/>
                <w:sz w:val="24"/>
                <w:szCs w:val="24"/>
                <w:lang w:val="en-US" w:eastAsia="zh-CN"/>
              </w:rPr>
            </w:pPr>
            <w:r>
              <w:rPr>
                <w:rFonts w:hint="default" w:ascii="仿宋_GB2312" w:hAnsi="Dialog" w:eastAsia="仿宋_GB2312"/>
                <w:color w:val="000000"/>
                <w:sz w:val="24"/>
                <w:szCs w:val="24"/>
                <w:lang w:val="en-US" w:eastAsia="zh-CN"/>
              </w:rPr>
              <w:t>495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224</w:t>
            </w:r>
          </w:p>
        </w:tc>
        <w:tc>
          <w:tcPr>
            <w:tcW w:w="397" w:type="dxa"/>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01</w:t>
            </w:r>
          </w:p>
        </w:tc>
        <w:tc>
          <w:tcPr>
            <w:tcW w:w="397" w:type="dxa"/>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02</w:t>
            </w:r>
          </w:p>
        </w:tc>
        <w:tc>
          <w:tcPr>
            <w:tcW w:w="85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森林草原防灭火保障项目</w:t>
            </w:r>
          </w:p>
        </w:tc>
        <w:tc>
          <w:tcPr>
            <w:tcW w:w="750"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rPr>
              <w:t>10</w:t>
            </w:r>
          </w:p>
        </w:tc>
        <w:tc>
          <w:tcPr>
            <w:tcW w:w="569" w:type="dxa"/>
            <w:gridSpan w:val="2"/>
            <w:vAlign w:val="top"/>
          </w:tcPr>
          <w:p>
            <w:pPr>
              <w:widowControl/>
              <w:jc w:val="center"/>
              <w:outlineLvl w:val="1"/>
              <w:rPr>
                <w:rFonts w:ascii="仿宋_GB2312" w:hAnsi="宋体" w:eastAsia="仿宋_GB2312"/>
                <w:kern w:val="0"/>
                <w:sz w:val="24"/>
                <w:szCs w:val="24"/>
              </w:rPr>
            </w:pPr>
          </w:p>
        </w:tc>
        <w:tc>
          <w:tcPr>
            <w:tcW w:w="536"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rPr>
              <w:t>10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224</w:t>
            </w:r>
          </w:p>
        </w:tc>
        <w:tc>
          <w:tcPr>
            <w:tcW w:w="397" w:type="dxa"/>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01</w:t>
            </w:r>
          </w:p>
        </w:tc>
        <w:tc>
          <w:tcPr>
            <w:tcW w:w="397" w:type="dxa"/>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02</w:t>
            </w:r>
          </w:p>
        </w:tc>
        <w:tc>
          <w:tcPr>
            <w:tcW w:w="85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安全生产检查经费</w:t>
            </w:r>
          </w:p>
        </w:tc>
        <w:tc>
          <w:tcPr>
            <w:tcW w:w="750"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rPr>
              <w:t>30</w:t>
            </w:r>
          </w:p>
        </w:tc>
        <w:tc>
          <w:tcPr>
            <w:tcW w:w="569" w:type="dxa"/>
            <w:gridSpan w:val="2"/>
            <w:vAlign w:val="top"/>
          </w:tcPr>
          <w:p>
            <w:pPr>
              <w:widowControl/>
              <w:jc w:val="center"/>
              <w:outlineLvl w:val="1"/>
              <w:rPr>
                <w:rFonts w:ascii="仿宋_GB2312" w:hAnsi="宋体" w:eastAsia="仿宋_GB2312"/>
                <w:kern w:val="0"/>
                <w:sz w:val="24"/>
                <w:szCs w:val="24"/>
              </w:rPr>
            </w:pPr>
          </w:p>
        </w:tc>
        <w:tc>
          <w:tcPr>
            <w:tcW w:w="536"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rPr>
              <w:t>30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224</w:t>
            </w:r>
          </w:p>
        </w:tc>
        <w:tc>
          <w:tcPr>
            <w:tcW w:w="397" w:type="dxa"/>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01</w:t>
            </w:r>
          </w:p>
        </w:tc>
        <w:tc>
          <w:tcPr>
            <w:tcW w:w="397" w:type="dxa"/>
            <w:vAlign w:val="center"/>
          </w:tcPr>
          <w:p>
            <w:pPr>
              <w:rPr>
                <w:rFonts w:hint="eastAsia" w:ascii="仿宋_GB2312" w:hAnsi="Dialog" w:eastAsia="仿宋_GB2312"/>
                <w:color w:val="000000"/>
                <w:sz w:val="18"/>
                <w:szCs w:val="18"/>
              </w:rPr>
            </w:pPr>
            <w:r>
              <w:rPr>
                <w:rFonts w:hint="eastAsia" w:ascii="仿宋_GB2312" w:hAnsi="Dialog" w:eastAsia="仿宋_GB2312"/>
                <w:color w:val="000000"/>
                <w:sz w:val="18"/>
                <w:szCs w:val="18"/>
              </w:rPr>
              <w:t>02</w:t>
            </w:r>
          </w:p>
        </w:tc>
        <w:tc>
          <w:tcPr>
            <w:tcW w:w="85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防灾减灾及应急管理</w:t>
            </w:r>
          </w:p>
        </w:tc>
        <w:tc>
          <w:tcPr>
            <w:tcW w:w="750"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lang w:val="en-US" w:eastAsia="zh-CN"/>
              </w:rPr>
              <w:t>3</w:t>
            </w:r>
            <w:r>
              <w:rPr>
                <w:rFonts w:hint="eastAsia" w:ascii="仿宋_GB2312" w:hAnsi="Dialog" w:eastAsia="仿宋_GB2312"/>
                <w:color w:val="000000"/>
                <w:sz w:val="24"/>
                <w:szCs w:val="24"/>
              </w:rPr>
              <w:t>0</w:t>
            </w:r>
          </w:p>
        </w:tc>
        <w:tc>
          <w:tcPr>
            <w:tcW w:w="569" w:type="dxa"/>
            <w:gridSpan w:val="2"/>
            <w:vAlign w:val="top"/>
          </w:tcPr>
          <w:p>
            <w:pPr>
              <w:widowControl/>
              <w:jc w:val="center"/>
              <w:outlineLvl w:val="1"/>
              <w:rPr>
                <w:rFonts w:ascii="仿宋_GB2312" w:hAnsi="宋体" w:eastAsia="仿宋_GB2312"/>
                <w:kern w:val="0"/>
                <w:sz w:val="24"/>
                <w:szCs w:val="24"/>
              </w:rPr>
            </w:pPr>
          </w:p>
        </w:tc>
        <w:tc>
          <w:tcPr>
            <w:tcW w:w="536" w:type="dxa"/>
            <w:vAlign w:val="center"/>
          </w:tcPr>
          <w:p>
            <w:pPr>
              <w:jc w:val="right"/>
              <w:rPr>
                <w:rFonts w:ascii="仿宋_GB2312" w:hAnsi="宋体" w:eastAsia="仿宋_GB2312"/>
                <w:kern w:val="0"/>
                <w:sz w:val="24"/>
                <w:szCs w:val="24"/>
              </w:rPr>
            </w:pPr>
            <w:r>
              <w:rPr>
                <w:rFonts w:hint="eastAsia" w:ascii="仿宋_GB2312" w:hAnsi="Dialog" w:eastAsia="仿宋_GB2312"/>
                <w:color w:val="000000"/>
                <w:sz w:val="24"/>
                <w:szCs w:val="24"/>
                <w:lang w:val="en-US" w:eastAsia="zh-CN"/>
              </w:rPr>
              <w:t>30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224</w:t>
            </w:r>
          </w:p>
        </w:tc>
        <w:tc>
          <w:tcPr>
            <w:tcW w:w="397" w:type="dxa"/>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01</w:t>
            </w:r>
          </w:p>
        </w:tc>
        <w:tc>
          <w:tcPr>
            <w:tcW w:w="397" w:type="dxa"/>
            <w:vAlign w:val="center"/>
          </w:tcPr>
          <w:p>
            <w:pPr>
              <w:rPr>
                <w:rFonts w:ascii="仿宋_GB2312" w:hAnsi="宋体" w:eastAsia="仿宋_GB2312"/>
                <w:kern w:val="0"/>
                <w:sz w:val="32"/>
                <w:szCs w:val="32"/>
              </w:rPr>
            </w:pPr>
            <w:r>
              <w:rPr>
                <w:rFonts w:hint="eastAsia" w:ascii="仿宋_GB2312" w:hAnsi="Dialog" w:eastAsia="仿宋_GB2312"/>
                <w:color w:val="000000"/>
                <w:sz w:val="18"/>
                <w:szCs w:val="18"/>
              </w:rPr>
              <w:t>02</w:t>
            </w:r>
          </w:p>
        </w:tc>
        <w:tc>
          <w:tcPr>
            <w:tcW w:w="851" w:type="dxa"/>
            <w:vAlign w:val="center"/>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应急指挥专网建设</w:t>
            </w:r>
          </w:p>
        </w:tc>
        <w:tc>
          <w:tcPr>
            <w:tcW w:w="750" w:type="dxa"/>
            <w:vAlign w:val="center"/>
          </w:tcPr>
          <w:p>
            <w:pPr>
              <w:jc w:val="right"/>
              <w:rPr>
                <w:rFonts w:hint="eastAsia" w:ascii="仿宋_GB2312" w:hAnsi="宋体" w:eastAsia="仿宋_GB2312"/>
                <w:kern w:val="0"/>
                <w:sz w:val="24"/>
                <w:szCs w:val="24"/>
                <w:lang w:val="en-US" w:eastAsia="zh-CN"/>
              </w:rPr>
            </w:pPr>
            <w:r>
              <w:rPr>
                <w:rFonts w:hint="eastAsia" w:ascii="仿宋_GB2312" w:hAnsi="Dialog" w:eastAsia="仿宋_GB2312"/>
                <w:color w:val="000000"/>
                <w:sz w:val="24"/>
                <w:szCs w:val="24"/>
              </w:rPr>
              <w:t>5</w:t>
            </w:r>
          </w:p>
        </w:tc>
        <w:tc>
          <w:tcPr>
            <w:tcW w:w="569" w:type="dxa"/>
            <w:gridSpan w:val="2"/>
            <w:vAlign w:val="top"/>
          </w:tcPr>
          <w:p>
            <w:pPr>
              <w:widowControl/>
              <w:jc w:val="center"/>
              <w:outlineLvl w:val="1"/>
              <w:rPr>
                <w:rFonts w:ascii="仿宋_GB2312" w:hAnsi="宋体" w:eastAsia="仿宋_GB2312"/>
                <w:kern w:val="0"/>
                <w:sz w:val="24"/>
                <w:szCs w:val="24"/>
              </w:rPr>
            </w:pPr>
          </w:p>
        </w:tc>
        <w:tc>
          <w:tcPr>
            <w:tcW w:w="536" w:type="dxa"/>
            <w:vAlign w:val="center"/>
          </w:tcPr>
          <w:p>
            <w:pPr>
              <w:jc w:val="right"/>
              <w:rPr>
                <w:rFonts w:hint="eastAsia" w:ascii="仿宋_GB2312" w:hAnsi="Dialog" w:eastAsia="仿宋_GB2312"/>
                <w:color w:val="000000"/>
                <w:sz w:val="24"/>
                <w:szCs w:val="24"/>
                <w:lang w:val="en-US" w:eastAsia="zh-CN"/>
              </w:rPr>
            </w:pPr>
            <w:r>
              <w:rPr>
                <w:rFonts w:hint="eastAsia" w:ascii="仿宋_GB2312" w:hAnsi="Dialog" w:eastAsia="仿宋_GB2312"/>
                <w:color w:val="000000"/>
                <w:sz w:val="24"/>
                <w:szCs w:val="24"/>
              </w:rPr>
              <w:t>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224</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01</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02</w:t>
            </w:r>
          </w:p>
        </w:tc>
        <w:tc>
          <w:tcPr>
            <w:tcW w:w="85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指挥中心运维保障项目</w:t>
            </w:r>
          </w:p>
        </w:tc>
        <w:tc>
          <w:tcPr>
            <w:tcW w:w="750" w:type="dxa"/>
            <w:vAlign w:val="top"/>
          </w:tcPr>
          <w:p>
            <w:pPr>
              <w:jc w:val="right"/>
              <w:rPr>
                <w:rFonts w:hint="eastAsia" w:ascii="仿宋_GB2312" w:hAnsi="宋体" w:eastAsia="仿宋_GB2312"/>
                <w:kern w:val="0"/>
                <w:sz w:val="24"/>
                <w:szCs w:val="24"/>
                <w:lang w:val="en-US" w:eastAsia="zh-CN"/>
              </w:rPr>
            </w:pPr>
            <w:r>
              <w:rPr>
                <w:rFonts w:hint="eastAsia" w:ascii="仿宋_GB2312" w:hAnsi="Dialog" w:eastAsia="仿宋_GB2312"/>
                <w:color w:val="000000"/>
                <w:sz w:val="24"/>
                <w:szCs w:val="24"/>
                <w:lang w:val="en-US" w:eastAsia="zh-CN"/>
              </w:rPr>
              <w:t>70</w:t>
            </w:r>
          </w:p>
        </w:tc>
        <w:tc>
          <w:tcPr>
            <w:tcW w:w="569" w:type="dxa"/>
            <w:gridSpan w:val="2"/>
            <w:vAlign w:val="top"/>
          </w:tcPr>
          <w:p>
            <w:pPr>
              <w:jc w:val="right"/>
              <w:rPr>
                <w:rFonts w:ascii="仿宋_GB2312" w:hAnsi="宋体" w:eastAsia="仿宋_GB2312"/>
                <w:kern w:val="0"/>
                <w:sz w:val="24"/>
                <w:szCs w:val="24"/>
              </w:rPr>
            </w:pPr>
          </w:p>
        </w:tc>
        <w:tc>
          <w:tcPr>
            <w:tcW w:w="536" w:type="dxa"/>
            <w:vAlign w:val="top"/>
          </w:tcPr>
          <w:p>
            <w:pPr>
              <w:jc w:val="right"/>
              <w:rPr>
                <w:rFonts w:hint="eastAsia"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70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224</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01</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02</w:t>
            </w:r>
          </w:p>
        </w:tc>
        <w:tc>
          <w:tcPr>
            <w:tcW w:w="85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机关运行补助经费</w:t>
            </w:r>
          </w:p>
        </w:tc>
        <w:tc>
          <w:tcPr>
            <w:tcW w:w="750" w:type="dxa"/>
            <w:vAlign w:val="top"/>
          </w:tcPr>
          <w:p>
            <w:pPr>
              <w:jc w:val="right"/>
              <w:rPr>
                <w:rFonts w:hint="eastAsia" w:ascii="仿宋_GB2312" w:hAnsi="宋体" w:eastAsia="仿宋_GB2312"/>
                <w:kern w:val="0"/>
                <w:sz w:val="24"/>
                <w:szCs w:val="24"/>
                <w:lang w:val="en-US" w:eastAsia="zh-CN"/>
              </w:rPr>
            </w:pPr>
            <w:r>
              <w:rPr>
                <w:rFonts w:hint="eastAsia" w:ascii="仿宋_GB2312" w:hAnsi="Dialog" w:eastAsia="仿宋_GB2312"/>
                <w:color w:val="000000"/>
                <w:sz w:val="24"/>
                <w:szCs w:val="24"/>
                <w:lang w:val="en-US" w:eastAsia="zh-CN"/>
              </w:rPr>
              <w:t>30</w:t>
            </w:r>
          </w:p>
        </w:tc>
        <w:tc>
          <w:tcPr>
            <w:tcW w:w="569" w:type="dxa"/>
            <w:gridSpan w:val="2"/>
            <w:vAlign w:val="top"/>
          </w:tcPr>
          <w:p>
            <w:pPr>
              <w:jc w:val="right"/>
              <w:rPr>
                <w:rFonts w:ascii="仿宋_GB2312" w:hAnsi="宋体" w:eastAsia="仿宋_GB2312"/>
                <w:kern w:val="0"/>
                <w:sz w:val="24"/>
                <w:szCs w:val="24"/>
              </w:rPr>
            </w:pPr>
          </w:p>
        </w:tc>
        <w:tc>
          <w:tcPr>
            <w:tcW w:w="536" w:type="dxa"/>
            <w:vAlign w:val="top"/>
          </w:tcPr>
          <w:p>
            <w:pPr>
              <w:jc w:val="right"/>
              <w:rPr>
                <w:rFonts w:hint="eastAsia"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30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224</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01</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02</w:t>
            </w:r>
          </w:p>
        </w:tc>
        <w:tc>
          <w:tcPr>
            <w:tcW w:w="85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昌吉州煤管办办公运行经费</w:t>
            </w:r>
          </w:p>
        </w:tc>
        <w:tc>
          <w:tcPr>
            <w:tcW w:w="750" w:type="dxa"/>
            <w:vAlign w:val="top"/>
          </w:tcPr>
          <w:p>
            <w:pPr>
              <w:jc w:val="right"/>
              <w:rPr>
                <w:rFonts w:hint="eastAsia" w:ascii="仿宋_GB2312" w:hAnsi="宋体" w:eastAsia="仿宋_GB2312"/>
                <w:kern w:val="0"/>
                <w:sz w:val="24"/>
                <w:szCs w:val="24"/>
                <w:lang w:val="en-US" w:eastAsia="zh-CN"/>
              </w:rPr>
            </w:pPr>
            <w:r>
              <w:rPr>
                <w:rFonts w:hint="eastAsia" w:ascii="仿宋_GB2312" w:hAnsi="Dialog" w:eastAsia="仿宋_GB2312"/>
                <w:color w:val="000000"/>
                <w:sz w:val="24"/>
                <w:szCs w:val="24"/>
                <w:lang w:val="en-US" w:eastAsia="zh-CN"/>
              </w:rPr>
              <w:t>120</w:t>
            </w:r>
          </w:p>
        </w:tc>
        <w:tc>
          <w:tcPr>
            <w:tcW w:w="569" w:type="dxa"/>
            <w:gridSpan w:val="2"/>
            <w:vAlign w:val="top"/>
          </w:tcPr>
          <w:p>
            <w:pPr>
              <w:jc w:val="right"/>
              <w:rPr>
                <w:rFonts w:ascii="仿宋_GB2312" w:hAnsi="宋体" w:eastAsia="仿宋_GB2312"/>
                <w:kern w:val="0"/>
                <w:sz w:val="24"/>
                <w:szCs w:val="24"/>
              </w:rPr>
            </w:pPr>
          </w:p>
        </w:tc>
        <w:tc>
          <w:tcPr>
            <w:tcW w:w="536" w:type="dxa"/>
            <w:vAlign w:val="top"/>
          </w:tcPr>
          <w:p>
            <w:pPr>
              <w:jc w:val="right"/>
              <w:rPr>
                <w:rFonts w:hint="eastAsia"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120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224</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01</w:t>
            </w:r>
          </w:p>
        </w:tc>
        <w:tc>
          <w:tcPr>
            <w:tcW w:w="397" w:type="dxa"/>
            <w:vAlign w:val="top"/>
          </w:tcPr>
          <w:p>
            <w:pPr>
              <w:rPr>
                <w:rFonts w:ascii="仿宋_GB2312" w:hAnsi="宋体" w:eastAsia="仿宋_GB2312"/>
                <w:kern w:val="0"/>
                <w:sz w:val="32"/>
                <w:szCs w:val="32"/>
              </w:rPr>
            </w:pPr>
            <w:r>
              <w:rPr>
                <w:rFonts w:hint="eastAsia" w:ascii="仿宋_GB2312" w:hAnsi="Dialog" w:eastAsia="仿宋_GB2312"/>
                <w:color w:val="000000"/>
                <w:sz w:val="18"/>
                <w:szCs w:val="18"/>
                <w:lang w:val="en-US" w:eastAsia="zh-CN"/>
              </w:rPr>
              <w:t>02</w:t>
            </w:r>
          </w:p>
        </w:tc>
        <w:tc>
          <w:tcPr>
            <w:tcW w:w="851" w:type="dxa"/>
            <w:vAlign w:val="top"/>
          </w:tcPr>
          <w:p>
            <w:pPr>
              <w:keepNext w:val="0"/>
              <w:keepLines w:val="0"/>
              <w:widowControl/>
              <w:suppressLineNumbers w:val="0"/>
              <w:jc w:val="lef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一般行政管理事务</w:t>
            </w:r>
          </w:p>
        </w:tc>
        <w:tc>
          <w:tcPr>
            <w:tcW w:w="145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煤矿隐患排查购买社会化服务项目及安全监管经费</w:t>
            </w:r>
          </w:p>
        </w:tc>
        <w:tc>
          <w:tcPr>
            <w:tcW w:w="750" w:type="dxa"/>
            <w:vAlign w:val="top"/>
          </w:tcPr>
          <w:p>
            <w:pPr>
              <w:jc w:val="right"/>
              <w:rPr>
                <w:rFonts w:hint="eastAsia" w:ascii="仿宋_GB2312" w:hAnsi="宋体" w:eastAsia="仿宋_GB2312"/>
                <w:kern w:val="0"/>
                <w:sz w:val="24"/>
                <w:szCs w:val="24"/>
                <w:lang w:val="en-US" w:eastAsia="zh-CN"/>
              </w:rPr>
            </w:pPr>
            <w:r>
              <w:rPr>
                <w:rFonts w:hint="eastAsia" w:ascii="仿宋_GB2312" w:hAnsi="Dialog" w:eastAsia="仿宋_GB2312"/>
                <w:color w:val="000000"/>
                <w:sz w:val="24"/>
                <w:szCs w:val="24"/>
                <w:lang w:val="en-US" w:eastAsia="zh-CN"/>
              </w:rPr>
              <w:t>200</w:t>
            </w:r>
          </w:p>
        </w:tc>
        <w:tc>
          <w:tcPr>
            <w:tcW w:w="569" w:type="dxa"/>
            <w:gridSpan w:val="2"/>
            <w:vAlign w:val="top"/>
          </w:tcPr>
          <w:p>
            <w:pPr>
              <w:jc w:val="right"/>
              <w:rPr>
                <w:rFonts w:ascii="仿宋_GB2312" w:hAnsi="宋体" w:eastAsia="仿宋_GB2312"/>
                <w:kern w:val="0"/>
                <w:sz w:val="24"/>
                <w:szCs w:val="24"/>
              </w:rPr>
            </w:pPr>
          </w:p>
        </w:tc>
        <w:tc>
          <w:tcPr>
            <w:tcW w:w="536" w:type="dxa"/>
            <w:vAlign w:val="top"/>
          </w:tcPr>
          <w:p>
            <w:pPr>
              <w:jc w:val="right"/>
              <w:rPr>
                <w:rFonts w:hint="eastAsia"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200</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hint="default" w:ascii="仿宋_GB2312" w:hAnsi="宋体" w:eastAsia="仿宋_GB2312"/>
                <w:kern w:val="0"/>
                <w:sz w:val="32"/>
                <w:szCs w:val="32"/>
                <w:lang w:val="en-US" w:eastAsia="zh-CN"/>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7" w:type="dxa"/>
            <w:gridSpan w:val="2"/>
            <w:vAlign w:val="top"/>
          </w:tcPr>
          <w:p>
            <w:pPr>
              <w:rPr>
                <w:rFonts w:hint="eastAsia" w:ascii="仿宋_GB2312" w:hAnsi="Dialog" w:eastAsia="仿宋_GB2312"/>
                <w:color w:val="000000"/>
                <w:sz w:val="18"/>
                <w:szCs w:val="18"/>
                <w:lang w:val="en-US" w:eastAsia="zh-CN"/>
              </w:rPr>
            </w:pPr>
          </w:p>
        </w:tc>
        <w:tc>
          <w:tcPr>
            <w:tcW w:w="397" w:type="dxa"/>
            <w:vAlign w:val="top"/>
          </w:tcPr>
          <w:p>
            <w:pPr>
              <w:rPr>
                <w:rFonts w:hint="eastAsia" w:ascii="仿宋_GB2312" w:hAnsi="Dialog" w:eastAsia="仿宋_GB2312"/>
                <w:color w:val="000000"/>
                <w:sz w:val="18"/>
                <w:szCs w:val="18"/>
                <w:lang w:val="en-US" w:eastAsia="zh-CN"/>
              </w:rPr>
            </w:pPr>
          </w:p>
        </w:tc>
        <w:tc>
          <w:tcPr>
            <w:tcW w:w="397" w:type="dxa"/>
            <w:vAlign w:val="top"/>
          </w:tcPr>
          <w:p>
            <w:pPr>
              <w:rPr>
                <w:rFonts w:hint="eastAsia" w:ascii="仿宋_GB2312" w:hAnsi="Dialog" w:eastAsia="仿宋_GB2312"/>
                <w:color w:val="000000"/>
                <w:sz w:val="18"/>
                <w:szCs w:val="18"/>
                <w:lang w:val="en-US" w:eastAsia="zh-CN"/>
              </w:rPr>
            </w:pPr>
          </w:p>
        </w:tc>
        <w:tc>
          <w:tcPr>
            <w:tcW w:w="851" w:type="dxa"/>
            <w:vAlign w:val="top"/>
          </w:tcPr>
          <w:p>
            <w:pPr>
              <w:widowControl/>
              <w:jc w:val="center"/>
              <w:rPr>
                <w:rFonts w:hint="eastAsia" w:ascii="宋体" w:hAnsi="宋体" w:cs="宋体"/>
                <w:color w:val="000000"/>
                <w:kern w:val="0"/>
                <w:sz w:val="20"/>
                <w:szCs w:val="20"/>
              </w:rPr>
            </w:pPr>
          </w:p>
        </w:tc>
        <w:tc>
          <w:tcPr>
            <w:tcW w:w="1456" w:type="dxa"/>
            <w:vAlign w:val="top"/>
          </w:tcPr>
          <w:p>
            <w:pPr>
              <w:widowControl/>
              <w:jc w:val="center"/>
              <w:rPr>
                <w:rFonts w:hint="eastAsia" w:ascii="宋体" w:hAnsi="宋体" w:cs="宋体"/>
                <w:b/>
                <w:bCs/>
                <w:color w:val="000000"/>
                <w:kern w:val="0"/>
                <w:sz w:val="20"/>
                <w:szCs w:val="20"/>
              </w:rPr>
            </w:pPr>
          </w:p>
          <w:p>
            <w:pPr>
              <w:widowControl/>
              <w:jc w:val="center"/>
              <w:rPr>
                <w:rFonts w:hint="eastAsia" w:ascii="宋体" w:hAnsi="宋体" w:cs="宋体"/>
                <w:color w:val="000000"/>
                <w:kern w:val="0"/>
                <w:sz w:val="20"/>
                <w:szCs w:val="20"/>
                <w:lang w:eastAsia="zh-CN"/>
              </w:rPr>
            </w:pPr>
            <w:r>
              <w:rPr>
                <w:rFonts w:hint="eastAsia" w:ascii="宋体" w:hAnsi="宋体" w:cs="宋体"/>
                <w:b/>
                <w:bCs/>
                <w:color w:val="000000"/>
                <w:kern w:val="0"/>
                <w:sz w:val="20"/>
                <w:szCs w:val="20"/>
              </w:rPr>
              <w:t>合  计</w:t>
            </w:r>
          </w:p>
        </w:tc>
        <w:tc>
          <w:tcPr>
            <w:tcW w:w="750" w:type="dxa"/>
            <w:vAlign w:val="top"/>
          </w:tcPr>
          <w:p>
            <w:pPr>
              <w:jc w:val="center"/>
              <w:rPr>
                <w:rFonts w:hint="eastAsia" w:ascii="仿宋_GB2312" w:hAnsi="Dialog" w:eastAsia="仿宋_GB2312"/>
                <w:color w:val="000000"/>
                <w:sz w:val="24"/>
                <w:szCs w:val="24"/>
                <w:lang w:val="en-US" w:eastAsia="zh-CN"/>
              </w:rPr>
            </w:pPr>
          </w:p>
          <w:p>
            <w:pPr>
              <w:jc w:val="center"/>
              <w:rPr>
                <w:rFonts w:hint="default"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495</w:t>
            </w:r>
          </w:p>
        </w:tc>
        <w:tc>
          <w:tcPr>
            <w:tcW w:w="569" w:type="dxa"/>
            <w:gridSpan w:val="2"/>
            <w:vAlign w:val="top"/>
          </w:tcPr>
          <w:p>
            <w:pPr>
              <w:jc w:val="center"/>
              <w:rPr>
                <w:rFonts w:ascii="仿宋_GB2312" w:hAnsi="宋体" w:eastAsia="仿宋_GB2312"/>
                <w:kern w:val="0"/>
                <w:sz w:val="24"/>
                <w:szCs w:val="24"/>
              </w:rPr>
            </w:pPr>
          </w:p>
        </w:tc>
        <w:tc>
          <w:tcPr>
            <w:tcW w:w="536" w:type="dxa"/>
            <w:vAlign w:val="top"/>
          </w:tcPr>
          <w:p>
            <w:pPr>
              <w:jc w:val="center"/>
              <w:rPr>
                <w:rFonts w:hint="eastAsia" w:ascii="仿宋_GB2312" w:hAnsi="Dialog" w:eastAsia="仿宋_GB2312"/>
                <w:color w:val="000000"/>
                <w:sz w:val="24"/>
                <w:szCs w:val="24"/>
                <w:lang w:val="en-US" w:eastAsia="zh-CN"/>
              </w:rPr>
            </w:pPr>
          </w:p>
          <w:p>
            <w:pPr>
              <w:jc w:val="center"/>
              <w:rPr>
                <w:rFonts w:hint="default" w:ascii="仿宋_GB2312" w:hAnsi="Dialog" w:eastAsia="仿宋_GB2312"/>
                <w:color w:val="000000"/>
                <w:sz w:val="24"/>
                <w:szCs w:val="24"/>
                <w:lang w:val="en-US" w:eastAsia="zh-CN"/>
              </w:rPr>
            </w:pPr>
            <w:r>
              <w:rPr>
                <w:rFonts w:hint="eastAsia" w:ascii="仿宋_GB2312" w:hAnsi="Dialog" w:eastAsia="仿宋_GB2312"/>
                <w:color w:val="000000"/>
                <w:sz w:val="24"/>
                <w:szCs w:val="24"/>
                <w:lang w:val="en-US" w:eastAsia="zh-CN"/>
              </w:rPr>
              <w:t>495</w:t>
            </w:r>
          </w:p>
        </w:tc>
        <w:tc>
          <w:tcPr>
            <w:tcW w:w="652" w:type="dxa"/>
          </w:tcPr>
          <w:p>
            <w:pPr>
              <w:widowControl/>
              <w:jc w:val="right"/>
              <w:outlineLvl w:val="1"/>
              <w:rPr>
                <w:rFonts w:ascii="仿宋_GB2312" w:hAnsi="宋体" w:eastAsia="仿宋_GB2312"/>
                <w:kern w:val="0"/>
                <w:sz w:val="32"/>
                <w:szCs w:val="32"/>
              </w:rPr>
            </w:pPr>
          </w:p>
        </w:tc>
        <w:tc>
          <w:tcPr>
            <w:tcW w:w="652"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20" w:type="dxa"/>
          </w:tcPr>
          <w:p>
            <w:pPr>
              <w:widowControl/>
              <w:jc w:val="right"/>
              <w:outlineLvl w:val="1"/>
              <w:rPr>
                <w:rFonts w:ascii="仿宋_GB2312" w:hAnsi="宋体" w:eastAsia="仿宋_GB2312"/>
                <w:kern w:val="0"/>
                <w:sz w:val="32"/>
                <w:szCs w:val="32"/>
              </w:rPr>
            </w:pPr>
          </w:p>
        </w:tc>
        <w:tc>
          <w:tcPr>
            <w:tcW w:w="468" w:type="dxa"/>
            <w:gridSpan w:val="2"/>
          </w:tcPr>
          <w:p>
            <w:pPr>
              <w:widowControl/>
              <w:jc w:val="righ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hint="eastAsia"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昌吉州应急管理局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11.28</w:t>
            </w: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lang w:val="en-US" w:eastAsia="zh-CN"/>
              </w:rPr>
              <w:t>10.30</w:t>
            </w: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10.30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0.98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pStyle w:val="2"/>
        <w:rPr>
          <w:rFonts w:ascii="宋体" w:hAnsi="宋体" w:cs="宋体"/>
          <w:color w:val="000000"/>
          <w:kern w:val="0"/>
          <w:sz w:val="20"/>
          <w:szCs w:val="20"/>
          <w:lang w:bidi="ar"/>
        </w:rPr>
      </w:pPr>
    </w:p>
    <w:p>
      <w:pPr>
        <w:widowControl/>
        <w:jc w:val="left"/>
        <w:textAlignment w:val="bottom"/>
        <w:rPr>
          <w:rFonts w:ascii="宋体" w:hAnsi="宋体" w:cs="宋体"/>
          <w:color w:val="000000"/>
          <w:kern w:val="0"/>
          <w:sz w:val="20"/>
          <w:szCs w:val="20"/>
          <w:lang w:bidi="ar"/>
        </w:rPr>
      </w:pPr>
      <w:r>
        <w:rPr>
          <w:rFonts w:hint="eastAsia" w:ascii="宋体" w:hAnsi="宋体" w:cs="宋体"/>
          <w:color w:val="000000"/>
          <w:kern w:val="0"/>
          <w:sz w:val="20"/>
          <w:szCs w:val="20"/>
          <w:lang w:bidi="ar"/>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昌吉州应急管理局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ascii="仿宋_GB2312" w:hAnsi="宋体" w:eastAsia="仿宋_GB2312"/>
          <w:b/>
          <w:kern w:val="0"/>
          <w:sz w:val="28"/>
          <w:szCs w:val="32"/>
        </w:rPr>
        <w:t>我单位无政府性基金预算，此表为空表</w:t>
      </w:r>
      <w:r>
        <w:rPr>
          <w:rFonts w:hint="eastAsia" w:ascii="仿宋_GB2312" w:hAnsi="宋体" w:eastAsia="仿宋_GB2312"/>
          <w:b/>
          <w:kern w:val="0"/>
          <w:sz w:val="28"/>
          <w:szCs w:val="32"/>
        </w:rPr>
        <w:t>。</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2022年昌吉州应急管理局预算情况说明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一、关于昌吉州应急管理局2022年收支预算情况的总体说明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按照全口径预算的原则，昌吉州应急管理局2022年所有收入和支出均纳入部门（单位）预算管理。收支总预算1117.03万元。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收入预算包括：一般公共预算、单位其他资金收入等。</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支出预算包括：社会保障和就业支出、卫生健康支出、住房保障支出、灾害防治及应急管理支出等。</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昌吉州应急管理局收入预算1117.03万元，其中：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一般公共预算1087.03万元，占</w:t>
      </w:r>
      <w:r>
        <w:rPr>
          <w:rFonts w:hint="eastAsia" w:ascii="仿宋_GB2312" w:hAnsi="宋体" w:eastAsia="仿宋_GB2312" w:cs="宋体"/>
          <w:kern w:val="0"/>
          <w:sz w:val="32"/>
          <w:szCs w:val="32"/>
          <w:lang w:val="en-US" w:eastAsia="zh-CN"/>
        </w:rPr>
        <w:t>97.31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365.11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50.57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单位机构改革职能增加，人员、项目均增加</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单位其他资金收入</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2.69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历年结转自治区拨付昌吉州人民政府安全生产奖。</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昌吉州应急管理局2022年支出预算1117.03元，其中：基本支出</w:t>
      </w:r>
      <w:r>
        <w:rPr>
          <w:rFonts w:hint="eastAsia" w:ascii="仿宋_GB2312" w:hAnsi="宋体" w:eastAsia="仿宋_GB2312" w:cs="宋体"/>
          <w:kern w:val="0"/>
          <w:sz w:val="32"/>
          <w:szCs w:val="32"/>
          <w:lang w:val="en-US" w:eastAsia="zh-CN"/>
        </w:rPr>
        <w:t>622.03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55.69</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395.11</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54.73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单位机构改革增加业务，人员。项目均增加</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项目支出495万元，占</w:t>
      </w:r>
      <w:r>
        <w:rPr>
          <w:rFonts w:hint="eastAsia" w:ascii="仿宋_GB2312" w:hAnsi="宋体" w:eastAsia="仿宋_GB2312" w:cs="宋体"/>
          <w:kern w:val="0"/>
          <w:sz w:val="32"/>
          <w:szCs w:val="32"/>
          <w:lang w:val="en-US" w:eastAsia="zh-CN"/>
        </w:rPr>
        <w:t>44.31</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425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85.85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单位机构改革职能增加，项目增加</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w:t>
      </w:r>
      <w:r>
        <w:rPr>
          <w:rFonts w:hint="eastAsia" w:ascii="仿宋_GB2312" w:hAnsi="宋体" w:eastAsia="仿宋_GB2312" w:cs="宋体"/>
          <w:kern w:val="0"/>
          <w:sz w:val="32"/>
          <w:szCs w:val="32"/>
          <w:lang w:val="en-US" w:eastAsia="zh-CN"/>
        </w:rPr>
        <w:t>1087.03</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1087.03</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一般公共预算支出包括：</w:t>
      </w:r>
      <w:r>
        <w:rPr>
          <w:rFonts w:hint="eastAsia" w:ascii="仿宋_GB2312" w:hAnsi="宋体" w:eastAsia="仿宋_GB2312" w:cs="宋体"/>
          <w:spacing w:val="-6"/>
          <w:kern w:val="0"/>
          <w:sz w:val="32"/>
          <w:szCs w:val="32"/>
        </w:rPr>
        <w:t>灾害防治及应急管理支出941.91万元，主要用于应急管理人员经费、公用经费，以及安全生产检查、防灾减灾及应急管理、森林草原防灭火保障、应急救援演练和应急指挥专网建设等；社会保障和就业支出54.67</w:t>
      </w:r>
      <w:r>
        <w:rPr>
          <w:rFonts w:ascii="仿宋_GB2312" w:hAnsi="宋体" w:eastAsia="仿宋_GB2312" w:cs="宋体"/>
          <w:spacing w:val="-6"/>
          <w:kern w:val="0"/>
          <w:sz w:val="32"/>
          <w:szCs w:val="32"/>
        </w:rPr>
        <w:t>万元，主要用于</w:t>
      </w:r>
      <w:r>
        <w:rPr>
          <w:rFonts w:hint="eastAsia" w:ascii="仿宋_GB2312" w:hAnsi="宋体" w:eastAsia="仿宋_GB2312" w:cs="宋体"/>
          <w:spacing w:val="-6"/>
          <w:kern w:val="0"/>
          <w:sz w:val="32"/>
          <w:szCs w:val="32"/>
        </w:rPr>
        <w:t>机关事业单位基本养老保险缴费支出；卫生健康支出42.41万元，主要用于行政事业单位医疗支出</w:t>
      </w:r>
      <w:r>
        <w:rPr>
          <w:rFonts w:hint="eastAsia" w:ascii="仿宋_GB2312" w:hAnsi="宋体" w:eastAsia="仿宋_GB2312" w:cs="宋体"/>
          <w:spacing w:val="-6"/>
          <w:kern w:val="0"/>
          <w:sz w:val="32"/>
          <w:szCs w:val="32"/>
          <w:lang w:val="en-US" w:eastAsia="zh-CN"/>
        </w:rPr>
        <w:t>;住房保障支出48.04万元，</w:t>
      </w:r>
      <w:r>
        <w:rPr>
          <w:rFonts w:hint="eastAsia" w:ascii="仿宋_GB2312" w:hAnsi="宋体" w:eastAsia="仿宋_GB2312" w:cs="宋体"/>
          <w:spacing w:val="-6"/>
          <w:kern w:val="0"/>
          <w:sz w:val="32"/>
          <w:szCs w:val="32"/>
        </w:rPr>
        <w:t>主要用于住房公积金支出</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昌吉州应急管理局2022年一般公共预算拨款合计</w:t>
      </w:r>
      <w:r>
        <w:rPr>
          <w:rFonts w:hint="eastAsia" w:ascii="仿宋_GB2312" w:hAnsi="宋体" w:eastAsia="仿宋_GB2312" w:cs="宋体"/>
          <w:kern w:val="0"/>
          <w:sz w:val="32"/>
          <w:szCs w:val="32"/>
          <w:lang w:val="en-US" w:eastAsia="zh-CN"/>
        </w:rPr>
        <w:t>1087.03</w:t>
      </w:r>
      <w:r>
        <w:rPr>
          <w:rFonts w:hint="eastAsia" w:ascii="仿宋_GB2312" w:hAnsi="仿宋_GB2312" w:eastAsia="仿宋_GB2312" w:cs="仿宋_GB2312"/>
          <w:kern w:val="0"/>
          <w:sz w:val="32"/>
          <w:szCs w:val="32"/>
        </w:rPr>
        <w:t>万元，其中：</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基本支出</w:t>
      </w:r>
      <w:r>
        <w:rPr>
          <w:rFonts w:hint="eastAsia" w:ascii="仿宋_GB2312" w:hAnsi="宋体" w:eastAsia="仿宋_GB2312" w:cs="宋体"/>
          <w:kern w:val="0"/>
          <w:sz w:val="32"/>
          <w:szCs w:val="32"/>
        </w:rPr>
        <w:t>592.03</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59.89</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9.18</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其他工资福利、公用支出减少</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 xml:space="preserve">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项目支出495万元，比上年预算增加</w:t>
      </w:r>
      <w:r>
        <w:rPr>
          <w:rFonts w:hint="eastAsia" w:ascii="仿宋_GB2312" w:hAnsi="仿宋_GB2312" w:eastAsia="仿宋_GB2312" w:cs="仿宋_GB2312"/>
          <w:kern w:val="0"/>
          <w:sz w:val="32"/>
          <w:szCs w:val="32"/>
          <w:lang w:val="en-US" w:eastAsia="zh-CN"/>
        </w:rPr>
        <w:t>425</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607.14</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lang w:eastAsia="zh-CN"/>
        </w:rPr>
        <w:t>单位机构改革职能增加，项目增多</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1.灾害防治及应急管理支出（类）941.91万元，占86.</w:t>
      </w:r>
      <w:r>
        <w:rPr>
          <w:rFonts w:hint="eastAsia" w:ascii="仿宋_GB2312" w:hAnsi="宋体" w:eastAsia="仿宋_GB2312" w:cs="宋体"/>
          <w:kern w:val="0"/>
          <w:sz w:val="32"/>
          <w:szCs w:val="32"/>
          <w:lang w:val="en-US" w:eastAsia="zh-CN"/>
        </w:rPr>
        <w:t>65</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2.社会保障和就业支出（类）54.67</w:t>
      </w:r>
      <w:r>
        <w:rPr>
          <w:rFonts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5.03</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卫生健康支出（类）42.41</w:t>
      </w:r>
      <w:r>
        <w:rPr>
          <w:rFonts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4.住房保障支出</w:t>
      </w:r>
      <w:r>
        <w:rPr>
          <w:rFonts w:hint="eastAsia" w:ascii="仿宋_GB2312" w:hAnsi="宋体" w:eastAsia="仿宋_GB2312" w:cs="宋体"/>
          <w:kern w:val="0"/>
          <w:sz w:val="32"/>
          <w:szCs w:val="32"/>
        </w:rPr>
        <w:t>（类）48.04</w:t>
      </w:r>
      <w:r>
        <w:rPr>
          <w:rFonts w:hint="eastAsia" w:ascii="仿宋_GB2312" w:hAnsi="宋体" w:eastAsia="仿宋_GB2312" w:cs="宋体"/>
          <w:kern w:val="0"/>
          <w:sz w:val="32"/>
          <w:szCs w:val="32"/>
          <w:lang w:eastAsia="zh-CN"/>
        </w:rPr>
        <w:t>万元，占</w:t>
      </w:r>
      <w:r>
        <w:rPr>
          <w:rFonts w:hint="eastAsia" w:ascii="仿宋_GB2312" w:hAnsi="宋体" w:eastAsia="仿宋_GB2312" w:cs="宋体"/>
          <w:kern w:val="0"/>
          <w:sz w:val="32"/>
          <w:szCs w:val="32"/>
          <w:lang w:val="en-US" w:eastAsia="zh-CN"/>
        </w:rPr>
        <w:t>4.42%。</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灾害防治及应急管理支出</w:t>
      </w:r>
      <w:r>
        <w:rPr>
          <w:rFonts w:ascii="仿宋_GB2312" w:hAnsi="宋体" w:eastAsia="仿宋_GB2312" w:cs="宋体"/>
          <w:kern w:val="0"/>
          <w:sz w:val="32"/>
          <w:szCs w:val="32"/>
        </w:rPr>
        <w:t>（类）应急管理事务（款）行政运行（项）: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446.91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107.61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19.4</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其他工资福利、公用支出减少</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仿宋_GB2312" w:eastAsia="仿宋_GB2312" w:cs="仿宋_GB2312"/>
          <w:kern w:val="0"/>
          <w:sz w:val="32"/>
          <w:szCs w:val="32"/>
        </w:rPr>
        <w:t>2.</w:t>
      </w:r>
      <w:r>
        <w:rPr>
          <w:rFonts w:hint="eastAsia" w:ascii="仿宋_GB2312" w:hAnsi="宋体" w:eastAsia="仿宋_GB2312" w:cs="宋体"/>
          <w:kern w:val="0"/>
          <w:sz w:val="32"/>
          <w:szCs w:val="32"/>
        </w:rPr>
        <w:t>灾害防治及应急管理支出</w:t>
      </w:r>
      <w:r>
        <w:rPr>
          <w:rFonts w:ascii="仿宋_GB2312" w:hAnsi="宋体" w:eastAsia="仿宋_GB2312" w:cs="宋体"/>
          <w:kern w:val="0"/>
          <w:sz w:val="32"/>
          <w:szCs w:val="32"/>
        </w:rPr>
        <w:t>（类）应急管理事务（款）一般行政管理事务（项）：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495万元，比上年预算数增加</w:t>
      </w:r>
      <w:r>
        <w:rPr>
          <w:rFonts w:hint="eastAsia" w:ascii="仿宋_GB2312" w:hAnsi="宋体" w:eastAsia="仿宋_GB2312" w:cs="宋体"/>
          <w:kern w:val="0"/>
          <w:sz w:val="32"/>
          <w:szCs w:val="32"/>
          <w:lang w:val="en-US" w:eastAsia="zh-CN"/>
        </w:rPr>
        <w:t>425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607</w:t>
      </w:r>
      <w:r>
        <w:rPr>
          <w:rFonts w:hint="eastAsia" w:ascii="仿宋_GB2312" w:hAnsi="宋体" w:eastAsia="仿宋_GB2312" w:cs="宋体"/>
          <w:kern w:val="0"/>
          <w:sz w:val="32"/>
          <w:szCs w:val="32"/>
        </w:rPr>
        <w:t xml:space="preserve"> %，主要原因是：</w:t>
      </w:r>
      <w:r>
        <w:rPr>
          <w:rFonts w:hint="eastAsia" w:ascii="仿宋_GB2312" w:hAnsi="宋体" w:eastAsia="仿宋_GB2312" w:cs="宋体"/>
          <w:kern w:val="0"/>
          <w:sz w:val="32"/>
          <w:szCs w:val="32"/>
          <w:lang w:eastAsia="zh-CN"/>
        </w:rPr>
        <w:t>单位机构改革职能增加，项目增多</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机关事业单位基本养老保险缴费支出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53.97万元，比上年预算数增加</w:t>
      </w:r>
      <w:r>
        <w:rPr>
          <w:rFonts w:hint="eastAsia" w:ascii="仿宋_GB2312" w:hAnsi="宋体" w:eastAsia="仿宋_GB2312" w:cs="宋体"/>
          <w:kern w:val="0"/>
          <w:sz w:val="32"/>
          <w:szCs w:val="32"/>
          <w:lang w:val="en-US" w:eastAsia="zh-CN"/>
        </w:rPr>
        <w:t>2.74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社保基数调整；</w:t>
      </w:r>
      <w:r>
        <w:rPr>
          <w:rFonts w:hint="eastAsia" w:ascii="仿宋_GB2312" w:hAnsi="宋体" w:eastAsia="仿宋_GB2312" w:cs="宋体"/>
          <w:kern w:val="0"/>
          <w:sz w:val="32"/>
          <w:szCs w:val="32"/>
        </w:rPr>
        <w:t>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行政单位离退休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0.7万元，比上年预算数增加</w:t>
      </w:r>
      <w:r>
        <w:rPr>
          <w:rFonts w:hint="eastAsia" w:ascii="仿宋_GB2312" w:hAnsi="宋体" w:eastAsia="仿宋_GB2312" w:cs="宋体"/>
          <w:kern w:val="0"/>
          <w:sz w:val="32"/>
          <w:szCs w:val="32"/>
          <w:lang w:val="en-US" w:eastAsia="zh-CN"/>
        </w:rPr>
        <w:t>0.7</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5.3</w:t>
      </w:r>
      <w:r>
        <w:rPr>
          <w:rFonts w:hint="eastAsia" w:ascii="仿宋_GB2312" w:hAnsi="宋体" w:eastAsia="仿宋_GB2312" w:cs="宋体"/>
          <w:kern w:val="0"/>
          <w:sz w:val="32"/>
          <w:szCs w:val="32"/>
        </w:rPr>
        <w:t>%，主要原因是：将行政单位离退休支出由上年的社会保障和就业支出（类）行政事业单位养老支出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个人和家庭的补助支出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调整到社会保障和就业支出（类）行政事业单位养老支出</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行政单位离退休</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4.卫生健康支出（类）行政事业单位医疗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23万元，比上年预算数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11.72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50.95</w:t>
      </w:r>
      <w:r>
        <w:rPr>
          <w:rFonts w:hint="eastAsia" w:ascii="仿宋_GB2312" w:hAnsi="宋体" w:eastAsia="仿宋_GB2312" w:cs="宋体"/>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9.05万元，比上年预算数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9.05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10.12万元，比上年预算数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0.92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0.08</w:t>
      </w:r>
      <w:r>
        <w:rPr>
          <w:rFonts w:hint="eastAsia" w:ascii="仿宋_GB2312" w:hAnsi="宋体" w:eastAsia="仿宋_GB2312" w:cs="宋体"/>
          <w:kern w:val="0"/>
          <w:sz w:val="32"/>
          <w:szCs w:val="32"/>
        </w:rPr>
        <w:t>%；卫生健康支出（类）行政事业单位医疗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其他行政事业单位医疗支出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0.25万元，比上年预算数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0.16</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39</w:t>
      </w:r>
      <w:r>
        <w:rPr>
          <w:rFonts w:hint="eastAsia" w:ascii="仿宋_GB2312" w:hAnsi="宋体" w:eastAsia="仿宋_GB2312" w:cs="宋体"/>
          <w:kern w:val="0"/>
          <w:sz w:val="32"/>
          <w:szCs w:val="32"/>
        </w:rPr>
        <w:t>%。主要原因是：将卫生健康支出（类）行政事业单位医疗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调整到卫生健康支出（类）行政事业单位医疗</w:t>
      </w:r>
      <w:r>
        <w:rPr>
          <w:rFonts w:ascii="仿宋_GB2312" w:hAnsi="宋体" w:eastAsia="仿宋_GB2312" w:cs="宋体"/>
          <w:kern w:val="0"/>
          <w:sz w:val="32"/>
          <w:szCs w:val="32"/>
        </w:rPr>
        <w:t>（款）</w:t>
      </w:r>
      <w:r>
        <w:rPr>
          <w:rFonts w:hint="eastAsia" w:ascii="仿宋_GB2312" w:hAnsi="宋体" w:eastAsia="仿宋_GB2312" w:cs="宋体"/>
          <w:kern w:val="0"/>
          <w:sz w:val="32"/>
          <w:szCs w:val="32"/>
        </w:rPr>
        <w:t>事业单位医疗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昌吉州应急管理局2022年一般公共预算基本支出</w:t>
      </w:r>
      <w:r>
        <w:rPr>
          <w:rFonts w:hint="eastAsia" w:ascii="仿宋_GB2312" w:hAnsi="宋体" w:eastAsia="仿宋_GB2312" w:cs="宋体"/>
          <w:kern w:val="0"/>
          <w:sz w:val="32"/>
          <w:szCs w:val="32"/>
        </w:rPr>
        <w:t>592.03</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525.34万元，主要包括：基本工资、津贴补贴、奖金、伙食补助费、绩效工资、机关事业单位基本养老保险缴费、职工基本医疗保险缴费、公务员医疗补助缴费、其他社会保障缴费、住房公积金、其他工资福利支出、离休费、医疗费补助、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公用经费66.69万元，主要包括：办公费、水费、电费、邮电费、取暖费、物业管理费、公务接待费、工会经费、福利费、公务用车运行维护费、其他商品和服务支出等。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rPr>
          <w:rFonts w:ascii="仿宋_GB2312" w:hAnsi="黑体" w:eastAsia="仿宋_GB2312"/>
          <w:b/>
          <w:sz w:val="32"/>
          <w:szCs w:val="32"/>
        </w:rPr>
      </w:pPr>
      <w:r>
        <w:rPr>
          <w:rFonts w:hint="eastAsia" w:ascii="仿宋_GB2312" w:hAnsi="黑体" w:eastAsia="仿宋_GB2312" w:cs="仿宋_GB2312"/>
          <w:sz w:val="32"/>
          <w:szCs w:val="32"/>
        </w:rPr>
        <w:t>1、 项目名称：</w:t>
      </w:r>
      <w:r>
        <w:rPr>
          <w:rFonts w:hint="eastAsia" w:ascii="仿宋_GB2312" w:hAnsi="宋体" w:eastAsia="仿宋_GB2312" w:cs="仿宋_GB2312"/>
          <w:kern w:val="0"/>
          <w:sz w:val="32"/>
          <w:szCs w:val="32"/>
        </w:rPr>
        <w:t>安全生产检查经费</w:t>
      </w:r>
    </w:p>
    <w:p>
      <w:pPr>
        <w:widowControl/>
        <w:spacing w:line="580" w:lineRule="exact"/>
        <w:ind w:left="3198" w:leftChars="304" w:hanging="2560" w:hangingChars="8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rPr>
        <w:t>30万元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ascii="仿宋_GB2312" w:hAnsi="宋体" w:eastAsia="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spacing w:line="560" w:lineRule="exact"/>
        <w:rPr>
          <w:rFonts w:hint="eastAsia" w:ascii="仿宋_GB2312" w:hAnsi="宋体" w:eastAsia="仿宋_GB2312" w:cs="宋体"/>
          <w:kern w:val="0"/>
          <w:sz w:val="32"/>
          <w:szCs w:val="32"/>
        </w:rPr>
      </w:pPr>
      <w:r>
        <w:rPr>
          <w:rFonts w:hint="eastAsia" w:ascii="仿宋_GB2312" w:hAnsi="黑体" w:eastAsia="仿宋_GB2312"/>
          <w:sz w:val="32"/>
          <w:szCs w:val="32"/>
        </w:rPr>
        <w:t>2、 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防灾减灾及应急管理</w:t>
      </w:r>
    </w:p>
    <w:p>
      <w:pPr>
        <w:widowControl/>
        <w:spacing w:line="580" w:lineRule="exact"/>
        <w:ind w:left="3198" w:leftChars="304" w:hanging="2560" w:hangingChars="8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lang w:val="en-US" w:eastAsia="zh-CN"/>
        </w:rPr>
        <w:t>30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spacing w:line="560" w:lineRule="exact"/>
        <w:rPr>
          <w:rFonts w:hint="eastAsia" w:ascii="仿宋_GB2312" w:hAnsi="宋体" w:eastAsia="仿宋_GB2312" w:cs="宋体"/>
          <w:kern w:val="0"/>
          <w:sz w:val="32"/>
          <w:szCs w:val="32"/>
        </w:rPr>
      </w:pPr>
      <w:r>
        <w:rPr>
          <w:rFonts w:hint="eastAsia" w:ascii="仿宋_GB2312" w:hAnsi="黑体" w:eastAsia="仿宋_GB2312"/>
          <w:sz w:val="32"/>
          <w:szCs w:val="32"/>
        </w:rPr>
        <w:t>3、 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森林草原防灭火保障项目</w:t>
      </w:r>
    </w:p>
    <w:p>
      <w:pPr>
        <w:widowControl/>
        <w:spacing w:line="580" w:lineRule="exact"/>
        <w:ind w:left="3198" w:leftChars="304" w:hanging="2560" w:hangingChars="8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spacing w:line="560" w:lineRule="exact"/>
        <w:ind w:firstLine="640" w:firstLineChars="200"/>
        <w:rPr>
          <w:rFonts w:ascii="仿宋_GB2312" w:hAnsi="黑体" w:eastAsia="仿宋_GB2312"/>
          <w:sz w:val="32"/>
          <w:szCs w:val="32"/>
        </w:rPr>
      </w:pPr>
      <w:r>
        <w:rPr>
          <w:rFonts w:hint="eastAsia" w:ascii="仿宋_GB2312" w:hAnsi="黑体" w:eastAsia="仿宋_GB2312" w:cs="仿宋_GB2312"/>
          <w:sz w:val="32"/>
          <w:szCs w:val="32"/>
        </w:rPr>
        <w:t>预算安排规模：</w:t>
      </w: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0万元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widowControl/>
        <w:spacing w:line="580" w:lineRule="exact"/>
        <w:jc w:val="left"/>
        <w:rPr>
          <w:rFonts w:hint="eastAsia" w:ascii="仿宋_GB2312" w:hAnsi="宋体" w:eastAsia="仿宋_GB2312"/>
          <w:kern w:val="0"/>
          <w:sz w:val="32"/>
          <w:szCs w:val="32"/>
        </w:rPr>
      </w:pPr>
      <w:r>
        <w:rPr>
          <w:rFonts w:hint="eastAsia" w:ascii="仿宋_GB2312" w:hAnsi="宋体" w:eastAsia="仿宋_GB2312" w:cs="仿宋_GB2312"/>
          <w:kern w:val="0"/>
          <w:sz w:val="32"/>
          <w:szCs w:val="32"/>
        </w:rPr>
        <w:t xml:space="preserve">4、 </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rPr>
        <w:t>应急指挥专网建设</w:t>
      </w:r>
    </w:p>
    <w:p>
      <w:pPr>
        <w:widowControl/>
        <w:spacing w:line="580"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rPr>
        <w:t>5万元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widowControl/>
        <w:numPr>
          <w:ilvl w:val="0"/>
          <w:numId w:val="1"/>
        </w:numPr>
        <w:spacing w:line="580" w:lineRule="exact"/>
        <w:jc w:val="left"/>
        <w:rPr>
          <w:rFonts w:hint="eastAsia" w:ascii="仿宋_GB2312" w:hAnsi="宋体" w:eastAsia="仿宋_GB2312"/>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lang w:eastAsia="zh-CN"/>
        </w:rPr>
        <w:t>指挥中心运维保障项目</w:t>
      </w:r>
    </w:p>
    <w:p>
      <w:pPr>
        <w:widowControl/>
        <w:spacing w:line="580"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lang w:val="en-US" w:eastAsia="zh-CN"/>
        </w:rPr>
        <w:t>70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widowControl/>
        <w:numPr>
          <w:ilvl w:val="0"/>
          <w:numId w:val="1"/>
        </w:numPr>
        <w:spacing w:line="580" w:lineRule="exact"/>
        <w:jc w:val="left"/>
        <w:rPr>
          <w:rFonts w:hint="eastAsia" w:ascii="仿宋_GB2312" w:hAnsi="宋体" w:eastAsia="仿宋_GB2312"/>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lang w:eastAsia="zh-CN"/>
        </w:rPr>
        <w:t>机关运行补助经费</w:t>
      </w:r>
    </w:p>
    <w:p>
      <w:pPr>
        <w:widowControl/>
        <w:spacing w:line="580"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设立的政策依据：昌州党办字【</w:t>
      </w:r>
      <w:r>
        <w:rPr>
          <w:rFonts w:ascii="仿宋_GB2312" w:hAnsi="黑体" w:eastAsia="仿宋_GB2312" w:cs="仿宋_GB2312"/>
          <w:sz w:val="32"/>
          <w:szCs w:val="32"/>
        </w:rPr>
        <w:t>201</w:t>
      </w:r>
      <w:r>
        <w:rPr>
          <w:rFonts w:hint="eastAsia" w:ascii="仿宋_GB2312" w:hAnsi="黑体" w:eastAsia="仿宋_GB2312" w:cs="仿宋_GB2312"/>
          <w:sz w:val="32"/>
          <w:szCs w:val="32"/>
        </w:rPr>
        <w:t>9</w:t>
      </w:r>
      <w:r>
        <w:rPr>
          <w:rFonts w:ascii="仿宋_GB2312" w:hAnsi="黑体" w:eastAsia="仿宋_GB2312" w:cs="仿宋_GB2312"/>
          <w:sz w:val="32"/>
          <w:szCs w:val="32"/>
        </w:rPr>
        <w:t>】</w:t>
      </w:r>
      <w:r>
        <w:rPr>
          <w:rFonts w:hint="eastAsia" w:ascii="仿宋_GB2312" w:hAnsi="黑体" w:eastAsia="仿宋_GB2312" w:cs="仿宋_GB2312"/>
          <w:sz w:val="32"/>
          <w:szCs w:val="32"/>
        </w:rPr>
        <w:t>52号</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lang w:val="en-US" w:eastAsia="zh-CN"/>
        </w:rPr>
        <w:t>30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widowControl/>
        <w:numPr>
          <w:ilvl w:val="0"/>
          <w:numId w:val="1"/>
        </w:numPr>
        <w:spacing w:line="580" w:lineRule="exact"/>
        <w:jc w:val="left"/>
        <w:rPr>
          <w:rFonts w:hint="eastAsia" w:ascii="仿宋_GB2312" w:hAnsi="宋体" w:eastAsia="仿宋_GB2312"/>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lang w:eastAsia="zh-CN"/>
        </w:rPr>
        <w:t>昌吉州煤管办办公运行经费</w:t>
      </w:r>
    </w:p>
    <w:p>
      <w:pPr>
        <w:widowControl/>
        <w:spacing w:line="580"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w:t>
      </w:r>
      <w:r>
        <w:rPr>
          <w:rFonts w:hint="eastAsia" w:ascii="仿宋_GB2312" w:hAnsi="黑体" w:eastAsia="仿宋_GB2312" w:cs="仿宋_GB2312"/>
          <w:sz w:val="32"/>
          <w:szCs w:val="32"/>
          <w:lang w:eastAsia="zh-CN"/>
        </w:rPr>
        <w:t>编委</w:t>
      </w:r>
      <w:r>
        <w:rPr>
          <w:rFonts w:hint="eastAsia" w:ascii="仿宋_GB2312" w:hAnsi="黑体" w:eastAsia="仿宋_GB2312" w:cs="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22</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41</w:t>
      </w:r>
      <w:r>
        <w:rPr>
          <w:rFonts w:hint="eastAsia" w:ascii="仿宋_GB2312" w:hAnsi="黑体" w:eastAsia="仿宋_GB2312" w:cs="仿宋_GB2312"/>
          <w:sz w:val="32"/>
          <w:szCs w:val="32"/>
        </w:rPr>
        <w:t>号</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lang w:val="en-US" w:eastAsia="zh-CN"/>
        </w:rPr>
        <w:t>120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eastAsia" w:ascii="仿宋_GB2312" w:hAnsi="宋体" w:eastAsia="仿宋_GB2312" w:cs="仿宋_GB2312"/>
          <w:kern w:val="0"/>
          <w:sz w:val="32"/>
          <w:szCs w:val="32"/>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widowControl/>
        <w:numPr>
          <w:ilvl w:val="0"/>
          <w:numId w:val="1"/>
        </w:numPr>
        <w:spacing w:line="580" w:lineRule="exact"/>
        <w:jc w:val="left"/>
        <w:rPr>
          <w:rFonts w:hint="eastAsia" w:ascii="仿宋_GB2312" w:hAnsi="宋体" w:eastAsia="仿宋_GB2312"/>
          <w:kern w:val="0"/>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kern w:val="0"/>
          <w:sz w:val="32"/>
          <w:szCs w:val="32"/>
          <w:lang w:eastAsia="zh-CN"/>
        </w:rPr>
        <w:t>煤矿隐患排查购买社会化服务项目及安全监</w:t>
      </w:r>
      <w:r>
        <w:rPr>
          <w:rFonts w:hint="eastAsia" w:ascii="仿宋_GB2312" w:hAnsi="宋体" w:eastAsia="仿宋_GB2312"/>
          <w:kern w:val="0"/>
          <w:sz w:val="32"/>
          <w:szCs w:val="32"/>
          <w:lang w:val="en-US" w:eastAsia="zh-CN"/>
        </w:rPr>
        <w:t xml:space="preserve"> </w:t>
      </w:r>
    </w:p>
    <w:p>
      <w:pPr>
        <w:widowControl/>
        <w:numPr>
          <w:ilvl w:val="0"/>
          <w:numId w:val="0"/>
        </w:numPr>
        <w:spacing w:line="580" w:lineRule="exact"/>
        <w:ind w:firstLine="640" w:firstLineChars="200"/>
        <w:jc w:val="left"/>
        <w:rPr>
          <w:rFonts w:hint="eastAsia" w:ascii="仿宋_GB2312" w:hAnsi="宋体" w:eastAsia="仿宋_GB2312"/>
          <w:kern w:val="0"/>
          <w:sz w:val="32"/>
          <w:szCs w:val="32"/>
          <w:lang w:eastAsia="zh-CN"/>
        </w:rPr>
      </w:pPr>
      <w:r>
        <w:rPr>
          <w:rFonts w:hint="eastAsia" w:ascii="仿宋_GB2312" w:hAnsi="宋体" w:eastAsia="仿宋_GB2312"/>
          <w:kern w:val="0"/>
          <w:sz w:val="32"/>
          <w:szCs w:val="32"/>
          <w:lang w:val="en-US" w:eastAsia="zh-CN"/>
        </w:rPr>
        <w:t xml:space="preserve">          </w:t>
      </w:r>
      <w:r>
        <w:rPr>
          <w:rFonts w:hint="eastAsia" w:ascii="仿宋_GB2312" w:hAnsi="宋体" w:eastAsia="仿宋_GB2312"/>
          <w:kern w:val="0"/>
          <w:sz w:val="32"/>
          <w:szCs w:val="32"/>
          <w:lang w:eastAsia="zh-CN"/>
        </w:rPr>
        <w:t>管经费</w:t>
      </w:r>
    </w:p>
    <w:p>
      <w:pPr>
        <w:widowControl/>
        <w:spacing w:line="580" w:lineRule="exact"/>
        <w:ind w:firstLine="640" w:firstLineChars="20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设立的政策依据：昌州党</w:t>
      </w:r>
      <w:r>
        <w:rPr>
          <w:rFonts w:hint="eastAsia" w:ascii="仿宋_GB2312" w:hAnsi="黑体" w:eastAsia="仿宋_GB2312" w:cs="仿宋_GB2312"/>
          <w:sz w:val="32"/>
          <w:szCs w:val="32"/>
          <w:lang w:eastAsia="zh-CN"/>
        </w:rPr>
        <w:t>编委</w:t>
      </w:r>
      <w:r>
        <w:rPr>
          <w:rFonts w:hint="eastAsia" w:ascii="仿宋_GB2312" w:hAnsi="黑体" w:eastAsia="仿宋_GB2312" w:cs="仿宋_GB2312"/>
          <w:sz w:val="32"/>
          <w:szCs w:val="32"/>
        </w:rPr>
        <w:t>【</w:t>
      </w:r>
      <w:r>
        <w:rPr>
          <w:rFonts w:ascii="仿宋_GB2312" w:hAnsi="黑体" w:eastAsia="仿宋_GB2312" w:cs="仿宋_GB2312"/>
          <w:sz w:val="32"/>
          <w:szCs w:val="32"/>
        </w:rPr>
        <w:t>20</w:t>
      </w:r>
      <w:r>
        <w:rPr>
          <w:rFonts w:hint="eastAsia" w:ascii="仿宋_GB2312" w:hAnsi="黑体" w:eastAsia="仿宋_GB2312" w:cs="仿宋_GB2312"/>
          <w:sz w:val="32"/>
          <w:szCs w:val="32"/>
          <w:lang w:val="en-US" w:eastAsia="zh-CN"/>
        </w:rPr>
        <w:t>22</w:t>
      </w:r>
      <w:r>
        <w:rPr>
          <w:rFonts w:ascii="仿宋_GB2312" w:hAnsi="黑体" w:eastAsia="仿宋_GB2312" w:cs="仿宋_GB2312"/>
          <w:sz w:val="32"/>
          <w:szCs w:val="32"/>
        </w:rPr>
        <w:t>】</w:t>
      </w:r>
      <w:r>
        <w:rPr>
          <w:rFonts w:hint="eastAsia" w:ascii="仿宋_GB2312" w:hAnsi="黑体" w:eastAsia="仿宋_GB2312" w:cs="仿宋_GB2312"/>
          <w:sz w:val="32"/>
          <w:szCs w:val="32"/>
          <w:lang w:val="en-US" w:eastAsia="zh-CN"/>
        </w:rPr>
        <w:t>41</w:t>
      </w:r>
      <w:r>
        <w:rPr>
          <w:rFonts w:hint="eastAsia" w:ascii="仿宋_GB2312" w:hAnsi="黑体" w:eastAsia="仿宋_GB2312" w:cs="仿宋_GB2312"/>
          <w:sz w:val="32"/>
          <w:szCs w:val="32"/>
        </w:rPr>
        <w:t>号</w:t>
      </w:r>
    </w:p>
    <w:p>
      <w:pPr>
        <w:widowControl/>
        <w:spacing w:line="580" w:lineRule="exact"/>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预算安排规模：</w:t>
      </w:r>
      <w:r>
        <w:rPr>
          <w:rFonts w:hint="eastAsia" w:ascii="仿宋_GB2312" w:hAnsi="宋体" w:eastAsia="仿宋_GB2312" w:cs="仿宋_GB2312"/>
          <w:kern w:val="0"/>
          <w:sz w:val="32"/>
          <w:szCs w:val="32"/>
          <w:lang w:val="en-US" w:eastAsia="zh-CN"/>
        </w:rPr>
        <w:t>200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项目承担单位：</w:t>
      </w:r>
      <w:r>
        <w:rPr>
          <w:rFonts w:hint="eastAsia" w:ascii="仿宋_GB2312" w:hAnsi="宋体" w:eastAsia="仿宋_GB2312" w:cs="仿宋_GB2312"/>
          <w:kern w:val="0"/>
          <w:sz w:val="32"/>
          <w:szCs w:val="32"/>
        </w:rPr>
        <w:t>昌吉州应急管理局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cs="仿宋_GB2312"/>
          <w:sz w:val="32"/>
          <w:szCs w:val="32"/>
        </w:rPr>
        <w:t>资金分配情况：</w:t>
      </w:r>
      <w:r>
        <w:rPr>
          <w:rFonts w:hint="eastAsia" w:ascii="仿宋_GB2312" w:hAnsi="宋体" w:eastAsia="仿宋_GB2312" w:cs="仿宋_GB2312"/>
          <w:kern w:val="0"/>
          <w:sz w:val="32"/>
          <w:szCs w:val="32"/>
        </w:rPr>
        <w:t>商品和服务支出</w:t>
      </w:r>
    </w:p>
    <w:p>
      <w:pPr>
        <w:widowControl/>
        <w:spacing w:line="580" w:lineRule="exact"/>
        <w:ind w:firstLine="640"/>
        <w:jc w:val="left"/>
        <w:rPr>
          <w:rFonts w:hint="default" w:ascii="仿宋_GB2312" w:hAnsi="宋体" w:eastAsia="仿宋_GB2312" w:cs="仿宋_GB2312"/>
          <w:kern w:val="0"/>
          <w:sz w:val="32"/>
          <w:szCs w:val="32"/>
          <w:lang w:val="en-US" w:eastAsia="zh-CN"/>
        </w:rPr>
      </w:pPr>
      <w:r>
        <w:rPr>
          <w:rFonts w:hint="eastAsia" w:ascii="仿宋_GB2312" w:hAnsi="黑体" w:eastAsia="仿宋_GB2312" w:cs="仿宋_GB2312"/>
          <w:sz w:val="32"/>
          <w:szCs w:val="32"/>
        </w:rPr>
        <w:t>资金执行时间：</w:t>
      </w:r>
      <w:r>
        <w:rPr>
          <w:rFonts w:ascii="仿宋_GB2312" w:hAnsi="宋体" w:eastAsia="仿宋_GB2312" w:cs="仿宋_GB2312"/>
          <w:kern w:val="0"/>
          <w:sz w:val="32"/>
          <w:szCs w:val="32"/>
        </w:rPr>
        <w:t>202</w:t>
      </w:r>
      <w:r>
        <w:rPr>
          <w:rFonts w:hint="eastAsia" w:ascii="仿宋_GB2312" w:hAnsi="宋体" w:eastAsia="仿宋_GB2312" w:cs="仿宋_GB2312"/>
          <w:kern w:val="0"/>
          <w:sz w:val="32"/>
          <w:szCs w:val="32"/>
          <w:lang w:val="en-US" w:eastAsia="zh-CN"/>
        </w:rPr>
        <w:t>2</w:t>
      </w:r>
      <w:r>
        <w:rPr>
          <w:rFonts w:hint="eastAsia" w:ascii="仿宋_GB2312" w:hAnsi="宋体" w:eastAsia="仿宋_GB2312" w:cs="仿宋_GB2312"/>
          <w:kern w:val="0"/>
          <w:sz w:val="32"/>
          <w:szCs w:val="32"/>
        </w:rPr>
        <w:t>年全年</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昌吉州应急管理局2022年一般公共预算“三公”经费数为</w:t>
      </w:r>
      <w:r>
        <w:rPr>
          <w:rFonts w:hint="eastAsia" w:ascii="仿宋_GB2312" w:hAnsi="宋体" w:eastAsia="仿宋_GB2312" w:cs="宋体"/>
          <w:kern w:val="0"/>
          <w:sz w:val="32"/>
          <w:szCs w:val="32"/>
          <w:lang w:val="en-US" w:eastAsia="zh-CN"/>
        </w:rPr>
        <w:t>11.28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10.3</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0.98</w:t>
      </w:r>
      <w:r>
        <w:rPr>
          <w:rFonts w:hint="eastAsia" w:ascii="仿宋_GB2312" w:hAnsi="宋体" w:eastAsia="仿宋_GB2312" w:cs="宋体"/>
          <w:kern w:val="0"/>
          <w:sz w:val="32"/>
          <w:szCs w:val="32"/>
        </w:rPr>
        <w:t>万元。</w:t>
      </w:r>
    </w:p>
    <w:p>
      <w:pPr>
        <w:widowControl/>
        <w:spacing w:line="580" w:lineRule="exact"/>
        <w:ind w:firstLine="640"/>
        <w:jc w:val="left"/>
        <w:rPr>
          <w:rFonts w:hint="eastAsia" w:ascii="仿宋_GB2312" w:hAnsi="宋体" w:eastAsia="仿宋_GB2312" w:cs="仿宋_GB2312"/>
          <w:kern w:val="0"/>
          <w:sz w:val="32"/>
          <w:szCs w:val="32"/>
          <w:highlight w:val="yellow"/>
        </w:rPr>
      </w:pPr>
      <w:r>
        <w:rPr>
          <w:rFonts w:hint="eastAsia" w:ascii="仿宋_GB2312" w:hAnsi="宋体" w:eastAsia="仿宋_GB2312" w:cs="宋体"/>
          <w:kern w:val="0"/>
          <w:sz w:val="32"/>
          <w:szCs w:val="32"/>
        </w:rPr>
        <w:t>2022年一般公共预算“三公”经费比上年增加0万元，增长0%</w:t>
      </w:r>
      <w:r>
        <w:rPr>
          <w:rFonts w:ascii="仿宋_GB2312" w:hAnsi="宋体" w:eastAsia="仿宋_GB2312" w:cs="宋体"/>
          <w:kern w:val="0"/>
          <w:sz w:val="32"/>
          <w:szCs w:val="32"/>
        </w:rPr>
        <w:t>，其中：因公出国（境）费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w:t>
      </w:r>
      <w:r>
        <w:rPr>
          <w:rFonts w:hint="eastAsia" w:ascii="仿宋_GB2312" w:hAnsi="宋体" w:eastAsia="仿宋_GB2312" w:cs="宋体"/>
          <w:kern w:val="0"/>
          <w:sz w:val="32"/>
          <w:szCs w:val="32"/>
        </w:rPr>
        <w:t>未安排</w:t>
      </w:r>
      <w:r>
        <w:rPr>
          <w:rFonts w:ascii="仿宋_GB2312" w:hAnsi="宋体" w:eastAsia="仿宋_GB2312" w:cs="宋体"/>
          <w:kern w:val="0"/>
          <w:sz w:val="32"/>
          <w:szCs w:val="32"/>
        </w:rPr>
        <w:t>预算；</w:t>
      </w:r>
      <w:r>
        <w:rPr>
          <w:rFonts w:hint="eastAsia" w:ascii="仿宋_GB2312" w:hAnsi="宋体" w:eastAsia="仿宋_GB2312" w:cs="宋体"/>
          <w:kern w:val="0"/>
          <w:sz w:val="32"/>
          <w:szCs w:val="32"/>
        </w:rPr>
        <w:t>公务用车购置费0万元，比上年增加0万元，增长0%，主要原因是未安排预算；</w:t>
      </w:r>
      <w:r>
        <w:rPr>
          <w:rFonts w:ascii="仿宋_GB2312" w:hAnsi="宋体" w:eastAsia="仿宋_GB2312" w:cs="宋体"/>
          <w:kern w:val="0"/>
          <w:sz w:val="32"/>
          <w:szCs w:val="32"/>
        </w:rPr>
        <w:t>公务用车运行费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lang w:val="en-US" w:eastAsia="zh-CN"/>
        </w:rPr>
        <w:t>,厉行节约</w:t>
      </w:r>
      <w:r>
        <w:rPr>
          <w:rFonts w:ascii="仿宋_GB2312" w:hAnsi="宋体" w:eastAsia="仿宋_GB2312" w:cs="宋体"/>
          <w:kern w:val="0"/>
          <w:sz w:val="32"/>
          <w:szCs w:val="32"/>
        </w:rPr>
        <w:t>；公务接待费</w:t>
      </w:r>
      <w:r>
        <w:rPr>
          <w:rFonts w:hint="eastAsia" w:ascii="仿宋_GB2312" w:hAnsi="宋体" w:eastAsia="仿宋_GB2312" w:cs="宋体"/>
          <w:kern w:val="0"/>
          <w:sz w:val="32"/>
          <w:szCs w:val="32"/>
        </w:rPr>
        <w:t>比上年增加0万元，增长0%</w:t>
      </w:r>
      <w:r>
        <w:rPr>
          <w:rFonts w:ascii="仿宋_GB2312" w:hAnsi="宋体" w:eastAsia="仿宋_GB2312" w:cs="宋体"/>
          <w:kern w:val="0"/>
          <w:sz w:val="32"/>
          <w:szCs w:val="32"/>
        </w:rPr>
        <w:t>，主要原因是我单位严格执行中央八项规定和自治区十条规定</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压减公务接待费。</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kern w:val="0"/>
          <w:sz w:val="32"/>
          <w:szCs w:val="32"/>
        </w:rPr>
        <w:t>昌吉州应急管理局</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昌吉州应急管理局2022年没有使用政府性基金预算拨款安排的支出，政府性基金预算支出情况表为空表。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2022年，昌吉州应急管理局机关运行经费财政拨款预算66.69万元，比上年预算</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4.07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5.75</w:t>
      </w:r>
      <w:r>
        <w:rPr>
          <w:rFonts w:hint="eastAsia" w:ascii="仿宋_GB2312" w:hAnsi="仿宋_GB2312" w:eastAsia="仿宋_GB2312" w:cs="仿宋_GB2312"/>
          <w:kern w:val="0"/>
          <w:sz w:val="32"/>
          <w:szCs w:val="32"/>
        </w:rPr>
        <w:t>%。主要原因是</w:t>
      </w:r>
      <w:r>
        <w:rPr>
          <w:rFonts w:hint="eastAsia" w:ascii="仿宋_GB2312" w:hAnsi="宋体" w:eastAsia="仿宋_GB2312" w:cs="仿宋_GB2312"/>
          <w:kern w:val="0"/>
          <w:sz w:val="32"/>
          <w:szCs w:val="32"/>
        </w:rPr>
        <w:t>严格执行中央八项规定和自治区十条规定</w:t>
      </w:r>
      <w:r>
        <w:rPr>
          <w:rFonts w:hint="eastAsia" w:ascii="仿宋_GB2312" w:hAnsi="宋体" w:eastAsia="仿宋_GB2312" w:cs="仿宋_GB2312"/>
          <w:kern w:val="0"/>
          <w:sz w:val="32"/>
          <w:szCs w:val="32"/>
          <w:lang w:eastAsia="zh-CN"/>
        </w:rPr>
        <w:t>，</w:t>
      </w:r>
      <w:r>
        <w:rPr>
          <w:rFonts w:hint="eastAsia" w:ascii="仿宋_GB2312" w:hAnsi="仿宋_GB2312" w:eastAsia="仿宋_GB2312" w:cs="仿宋_GB2312"/>
          <w:kern w:val="0"/>
          <w:sz w:val="32"/>
          <w:szCs w:val="32"/>
          <w:lang w:eastAsia="zh-CN"/>
        </w:rPr>
        <w:t>压缩办公经费</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 xml:space="preserve"> </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2022年，昌吉州应急管理局政府采购预算</w:t>
      </w:r>
      <w:r>
        <w:rPr>
          <w:rFonts w:hint="eastAsia" w:ascii="仿宋_GB2312" w:hAnsi="仿宋_GB2312" w:eastAsia="仿宋_GB2312" w:cs="仿宋_GB2312"/>
          <w:kern w:val="0"/>
          <w:sz w:val="32"/>
          <w:szCs w:val="32"/>
          <w:lang w:val="en-US" w:eastAsia="zh-CN"/>
        </w:rPr>
        <w:t>377.32</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40.22</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337.1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w:t>
      </w:r>
      <w:r>
        <w:rPr>
          <w:rFonts w:hint="eastAsia" w:ascii="仿宋_GB2312" w:hAnsi="仿宋_GB2312" w:eastAsia="仿宋_GB2312" w:cs="仿宋_GB2312"/>
          <w:sz w:val="32"/>
          <w:lang w:val="en-US" w:eastAsia="zh-CN"/>
        </w:rPr>
        <w:t>152.6</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sz w:val="32"/>
          <w:lang w:val="en-US" w:eastAsia="zh-CN"/>
        </w:rPr>
        <w:t>224.72</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截至2021年底，昌吉州应急管理局及下属各预算单位占用使用国有资产总体情况为</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1.</w:t>
      </w:r>
      <w:r>
        <w:rPr>
          <w:rFonts w:hint="eastAsia" w:ascii="仿宋_GB2312" w:hAnsi="宋体" w:eastAsia="仿宋_GB2312" w:cs="仿宋_GB2312"/>
          <w:kern w:val="0"/>
          <w:sz w:val="32"/>
          <w:szCs w:val="32"/>
        </w:rPr>
        <w:t>房屋</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平方米，价值</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万元。</w:t>
      </w:r>
    </w:p>
    <w:p>
      <w:pPr>
        <w:widowControl/>
        <w:spacing w:line="580" w:lineRule="exact"/>
        <w:ind w:firstLine="640"/>
        <w:jc w:val="left"/>
        <w:rPr>
          <w:rFonts w:ascii="仿宋_GB2312" w:hAnsi="宋体" w:eastAsia="仿宋_GB2312"/>
          <w:kern w:val="0"/>
          <w:sz w:val="32"/>
          <w:szCs w:val="32"/>
        </w:rPr>
      </w:pPr>
      <w:r>
        <w:rPr>
          <w:rFonts w:ascii="仿宋_GB2312" w:hAnsi="宋体" w:eastAsia="仿宋_GB2312" w:cs="仿宋_GB2312"/>
          <w:kern w:val="0"/>
          <w:sz w:val="32"/>
          <w:szCs w:val="32"/>
        </w:rPr>
        <w:t>2.</w:t>
      </w:r>
      <w:r>
        <w:rPr>
          <w:rFonts w:hint="eastAsia" w:ascii="仿宋_GB2312" w:hAnsi="宋体" w:eastAsia="仿宋_GB2312" w:cs="仿宋_GB2312"/>
          <w:kern w:val="0"/>
          <w:sz w:val="32"/>
          <w:szCs w:val="32"/>
        </w:rPr>
        <w:t>车辆5辆，价值160.96万元；其中：一般公务用车1辆，价值20.08万元；执法执勤用车4辆，价值140.88万元；其他车辆</w:t>
      </w:r>
      <w:r>
        <w:rPr>
          <w:rFonts w:ascii="仿宋_GB2312" w:hAnsi="宋体" w:eastAsia="仿宋_GB2312" w:cs="仿宋_GB2312"/>
          <w:kern w:val="0"/>
          <w:sz w:val="32"/>
          <w:szCs w:val="32"/>
        </w:rPr>
        <w:t>0</w:t>
      </w:r>
      <w:r>
        <w:rPr>
          <w:rFonts w:hint="eastAsia" w:ascii="仿宋_GB2312" w:hAnsi="宋体" w:eastAsia="仿宋_GB2312" w:cs="仿宋_GB2312"/>
          <w:kern w:val="0"/>
          <w:sz w:val="32"/>
          <w:szCs w:val="32"/>
        </w:rPr>
        <w:t>辆，价值</w:t>
      </w:r>
      <w:r>
        <w:rPr>
          <w:rFonts w:ascii="仿宋_GB2312" w:hAnsi="宋体" w:eastAsia="仿宋_GB2312" w:cs="仿宋_GB2312"/>
          <w:kern w:val="0"/>
          <w:sz w:val="32"/>
          <w:szCs w:val="32"/>
        </w:rPr>
        <w:t xml:space="preserve"> 0</w:t>
      </w:r>
      <w:r>
        <w:rPr>
          <w:rFonts w:hint="eastAsia" w:ascii="仿宋_GB2312" w:hAnsi="宋体" w:eastAsia="仿宋_GB2312" w:cs="仿宋_GB2312"/>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66.14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240.98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2021年昌吉州应急管理局部门预算未安排购置车辆经费，安排购置50万元以上大型设备0台（套），单位价值100万元以上大型设备0台（套）。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w:t>
      </w:r>
      <w:r>
        <w:rPr>
          <w:rFonts w:hint="eastAsia" w:ascii="仿宋_GB2312" w:hAnsi="仿宋_GB2312" w:eastAsia="仿宋_GB2312" w:cs="仿宋_GB2312"/>
          <w:kern w:val="0"/>
          <w:sz w:val="32"/>
          <w:szCs w:val="32"/>
          <w:lang w:eastAsia="zh-Hans"/>
        </w:rPr>
        <w:t>财政拨款</w:t>
      </w:r>
      <w:r>
        <w:rPr>
          <w:rFonts w:hint="eastAsia" w:ascii="仿宋_GB2312" w:hAnsi="仿宋_GB2312" w:eastAsia="仿宋_GB2312" w:cs="仿宋_GB2312"/>
          <w:kern w:val="0"/>
          <w:sz w:val="32"/>
          <w:szCs w:val="32"/>
        </w:rPr>
        <w:t>项目</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495</w:t>
      </w:r>
      <w:r>
        <w:rPr>
          <w:rFonts w:hint="eastAsia" w:ascii="仿宋_GB2312" w:hAnsi="仿宋_GB2312" w:eastAsia="仿宋_GB2312" w:cs="仿宋_GB2312"/>
          <w:kern w:val="0"/>
          <w:sz w:val="32"/>
          <w:szCs w:val="32"/>
        </w:rPr>
        <w:t>万元。具体情况见下表（按项目分别填报）：</w:t>
      </w:r>
    </w:p>
    <w:tbl>
      <w:tblPr>
        <w:tblStyle w:val="6"/>
        <w:tblW w:w="9085"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432"/>
        <w:gridCol w:w="132"/>
        <w:gridCol w:w="240"/>
        <w:gridCol w:w="72"/>
        <w:gridCol w:w="900"/>
        <w:gridCol w:w="72"/>
        <w:gridCol w:w="1225"/>
        <w:gridCol w:w="180"/>
      </w:tblGrid>
      <w:tr>
        <w:tblPrEx>
          <w:shd w:val="clear" w:color="auto" w:fill="auto"/>
          <w:tblCellMar>
            <w:top w:w="0" w:type="dxa"/>
            <w:left w:w="0" w:type="dxa"/>
            <w:bottom w:w="0" w:type="dxa"/>
            <w:right w:w="0" w:type="dxa"/>
          </w:tblCellMar>
        </w:tblPrEx>
        <w:trPr>
          <w:trHeight w:val="408" w:hRule="atLeast"/>
        </w:trPr>
        <w:tc>
          <w:tcPr>
            <w:tcW w:w="9085" w:type="dxa"/>
            <w:gridSpan w:val="13"/>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50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689"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安全生产检查经费</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56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284"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40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113" w:type="dxa"/>
            <w:gridSpan w:val="1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目标1：依法对重点行业企业履行安全生产情况进行监督管理，按要求开展指导服务和专项检查等工作。目标2：开展主要负责人履职培训及考核200人次。目标3：保障全州安全生产形势持续稳定好转。</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开展危险化学品专项治理</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开展工贸专项治理</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开展主要负责人履职培训及考核</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&gt;=200人次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安全生产检查保障车辆</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=3辆</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安全生产检查保障人员</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=4人</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危险化学品重点企业专项指导服务覆盖率</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钢铁企业专项指导服务覆盖率</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各项工作完成时限</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安全生产检查工作开展及时率</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安全生产检查工作成本</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&lt;=13万元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人员培训成本</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&lt;=3万元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其他办公费用支出</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&lt;=14万元</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企业职工生命财产得到保障</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全州安全生产形势持续稳定好转</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shd w:val="clear" w:color="auto" w:fill="auto"/>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764" w:type="dxa"/>
            <w:gridSpan w:val="7"/>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受指导服务企业满意度</w:t>
            </w:r>
          </w:p>
        </w:tc>
        <w:tc>
          <w:tcPr>
            <w:tcW w:w="2377"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shd w:val="clear" w:color="auto" w:fill="auto"/>
          <w:tblCellMar>
            <w:top w:w="0" w:type="dxa"/>
            <w:left w:w="0" w:type="dxa"/>
            <w:bottom w:w="0" w:type="dxa"/>
            <w:right w:w="0" w:type="dxa"/>
          </w:tblCellMar>
        </w:tblPrEx>
        <w:trPr>
          <w:gridAfter w:val="1"/>
          <w:wAfter w:w="180" w:type="dxa"/>
          <w:trHeight w:val="390" w:hRule="atLeast"/>
        </w:trPr>
        <w:tc>
          <w:tcPr>
            <w:tcW w:w="8905" w:type="dxa"/>
            <w:gridSpan w:val="12"/>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gridAfter w:val="1"/>
          <w:wAfter w:w="180" w:type="dxa"/>
          <w:trHeight w:val="408" w:hRule="atLeast"/>
        </w:trPr>
        <w:tc>
          <w:tcPr>
            <w:tcW w:w="8905" w:type="dxa"/>
            <w:gridSpan w:val="12"/>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gridAfter w:val="1"/>
          <w:wAfter w:w="180" w:type="dxa"/>
          <w:trHeight w:val="9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641"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防灾减灾及应急管理</w:t>
            </w:r>
          </w:p>
        </w:tc>
      </w:tr>
      <w:tr>
        <w:tblPrEx>
          <w:shd w:val="clear" w:color="auto" w:fill="auto"/>
          <w:tblCellMar>
            <w:top w:w="0" w:type="dxa"/>
            <w:left w:w="0" w:type="dxa"/>
            <w:bottom w:w="0" w:type="dxa"/>
            <w:right w:w="0" w:type="dxa"/>
          </w:tblCellMar>
        </w:tblPrEx>
        <w:trPr>
          <w:gridAfter w:val="1"/>
          <w:wAfter w:w="180" w:type="dxa"/>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344"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297"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gridAfter w:val="1"/>
          <w:wAfter w:w="180" w:type="dxa"/>
          <w:trHeight w:val="62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7933" w:type="dxa"/>
            <w:gridSpan w:val="11"/>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目标1：:自然灾害风险普查培训30家。目标2：开展综合减灾示范社区培养30家。目标3：县级自然灾害风险普查人员培训率≥90。目标4：全面提升防范化解重大风险、应对处置各类灾害事故的能力水平。</w:t>
            </w:r>
          </w:p>
        </w:tc>
      </w:tr>
      <w:tr>
        <w:tblPrEx>
          <w:shd w:val="clear" w:color="auto" w:fill="auto"/>
          <w:tblCellMar>
            <w:top w:w="0" w:type="dxa"/>
            <w:left w:w="0" w:type="dxa"/>
            <w:bottom w:w="0" w:type="dxa"/>
            <w:right w:w="0" w:type="dxa"/>
          </w:tblCellMar>
        </w:tblPrEx>
        <w:trPr>
          <w:gridAfter w:val="1"/>
          <w:wAfter w:w="180" w:type="dxa"/>
          <w:trHeight w:val="6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自然灾害风险普查培训</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&gt;=30人</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开展综合减灾示范社区培育</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&gt;=7家</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指导检查保障车辆</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&gt;=3辆</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指导检查保障人员</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&gt;=2人</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县级自然灾害风险普查人员培训率</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开展综合减灾示范社区培育覆盖率</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防灾减灾及应急管理工作完成时限</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shd w:val="clear" w:color="auto" w:fill="auto"/>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开展综合减灾示范社区培育及时率</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保障培训成本</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&lt;=2万元</w:t>
            </w: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保障人员运行成本</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&lt;=9万元</w:t>
            </w: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其他办公费成本</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&lt;=19万元</w:t>
            </w:r>
          </w:p>
        </w:tc>
      </w:tr>
      <w:tr>
        <w:tblPrEx>
          <w:tblCellMar>
            <w:top w:w="0" w:type="dxa"/>
            <w:left w:w="0" w:type="dxa"/>
            <w:bottom w:w="0" w:type="dxa"/>
            <w:right w:w="0" w:type="dxa"/>
          </w:tblCellMar>
        </w:tblPrEx>
        <w:trPr>
          <w:gridAfter w:val="1"/>
          <w:wAfter w:w="180" w:type="dxa"/>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全面提升防范化解重大风险、应对处置各类灾害事故的能力水平</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提升</w:t>
            </w: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gridAfter w:val="1"/>
          <w:wAfter w:w="180" w:type="dxa"/>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梳理全州自然灾害风险点，提高防灾减灾能力</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gridAfter w:val="1"/>
          <w:wAfter w:w="180" w:type="dxa"/>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69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人民群众满意度</w:t>
            </w:r>
          </w:p>
        </w:tc>
        <w:tc>
          <w:tcPr>
            <w:tcW w:w="2269"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tbl>
      <w:tblPr>
        <w:tblStyle w:val="6"/>
        <w:tblW w:w="8976"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576"/>
        <w:gridCol w:w="216"/>
        <w:gridCol w:w="972"/>
        <w:gridCol w:w="1380"/>
      </w:tblGrid>
      <w:tr>
        <w:tblPrEx>
          <w:shd w:val="clear" w:color="auto" w:fill="auto"/>
          <w:tblCellMar>
            <w:top w:w="0" w:type="dxa"/>
            <w:left w:w="0" w:type="dxa"/>
            <w:bottom w:w="0" w:type="dxa"/>
            <w:right w:w="0" w:type="dxa"/>
          </w:tblCellMar>
        </w:tblPrEx>
        <w:trPr>
          <w:trHeight w:val="390" w:hRule="atLeast"/>
        </w:trPr>
        <w:tc>
          <w:tcPr>
            <w:tcW w:w="8976" w:type="dxa"/>
            <w:gridSpan w:val="9"/>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8976" w:type="dxa"/>
            <w:gridSpan w:val="9"/>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62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56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机关运行补助经费</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8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54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004"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目标1：办公耗材购置次6次。目标2：保安保洁员服务次数12次。目标3：办公楼维修次数6次。目标4：水电费购置次数6次。目标5：为干部职工提供良好的办公环境。</w:t>
            </w:r>
          </w:p>
        </w:tc>
      </w:tr>
      <w:tr>
        <w:tblPrEx>
          <w:shd w:val="clear" w:color="auto" w:fill="auto"/>
          <w:tblCellMar>
            <w:top w:w="0" w:type="dxa"/>
            <w:left w:w="0" w:type="dxa"/>
            <w:bottom w:w="0" w:type="dxa"/>
            <w:right w:w="0" w:type="dxa"/>
          </w:tblCellMar>
        </w:tblPrEx>
        <w:trPr>
          <w:trHeight w:val="42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办公耗材购置次数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保安保洁员服务次数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办公楼维修次数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水电费购置次数</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保障机关正常运转率</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办公耗材验收合格率</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各项工作完成时限</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办公耗材采购及时率</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办公耗材采购成本</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&lt;=6万元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办公楼维护成本</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&lt;=6万元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保安保洁员服务成本</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其他办公费用支出</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&lt;=13万元</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保障机关正常运行</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为干部职工提供良好的办公环境</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68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工作人员满意度</w:t>
            </w:r>
          </w:p>
        </w:tc>
        <w:tc>
          <w:tcPr>
            <w:tcW w:w="235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tbl>
      <w:tblPr>
        <w:tblStyle w:val="6"/>
        <w:tblW w:w="9216"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516"/>
        <w:gridCol w:w="444"/>
        <w:gridCol w:w="972"/>
        <w:gridCol w:w="1452"/>
      </w:tblGrid>
      <w:tr>
        <w:tblPrEx>
          <w:shd w:val="clear" w:color="auto" w:fill="auto"/>
          <w:tblCellMar>
            <w:top w:w="0" w:type="dxa"/>
            <w:left w:w="0" w:type="dxa"/>
            <w:bottom w:w="0" w:type="dxa"/>
            <w:right w:w="0" w:type="dxa"/>
          </w:tblCellMar>
        </w:tblPrEx>
        <w:trPr>
          <w:trHeight w:val="390" w:hRule="atLeast"/>
        </w:trPr>
        <w:tc>
          <w:tcPr>
            <w:tcW w:w="9216" w:type="dxa"/>
            <w:gridSpan w:val="9"/>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216" w:type="dxa"/>
            <w:gridSpan w:val="9"/>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50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868"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森林草原防灭火保障项目</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51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45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2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244"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自治州年度重点工作，旨在组织开展森林草原执法检查、业务培训、综合实战演练等，提高应急队伍救援能力，夯实自治州森林草原防灭火能力。目标2：森林草原防灭火检查2次。目标3：森林草原防灭火演练次2次。</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森林草原防灭火检查</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森林草原防灭火演练参加人次</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&gt;=50人次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森林草原防灭火演练次数</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&gt;=2次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森林草原防灭火培训参加人次</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&gt;=60人次</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保障演练出勤率</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保障培训合格率</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森林草原防灭火保障工作完成时限</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森林草原防灭火培训及时率</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森林草原防灭火培训成本</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&lt;=2万元</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其他办公经费支出</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&lt;=8万元</w:t>
            </w:r>
          </w:p>
        </w:tc>
      </w:tr>
      <w:tr>
        <w:tblPrEx>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使全州防火救援得到保障</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全州森林草原、防灾减灾形势好转</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848"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单位满意度</w:t>
            </w:r>
          </w:p>
        </w:tc>
        <w:tc>
          <w:tcPr>
            <w:tcW w:w="242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tbl>
      <w:tblPr>
        <w:tblStyle w:val="6"/>
        <w:tblW w:w="9120"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972"/>
        <w:gridCol w:w="300"/>
        <w:gridCol w:w="972"/>
        <w:gridCol w:w="1044"/>
      </w:tblGrid>
      <w:tr>
        <w:tblPrEx>
          <w:shd w:val="clear" w:color="auto" w:fill="auto"/>
          <w:tblCellMar>
            <w:top w:w="0" w:type="dxa"/>
            <w:left w:w="0" w:type="dxa"/>
            <w:bottom w:w="0" w:type="dxa"/>
            <w:right w:w="0" w:type="dxa"/>
          </w:tblCellMar>
        </w:tblPrEx>
        <w:trPr>
          <w:trHeight w:val="390" w:hRule="atLeast"/>
        </w:trPr>
        <w:tc>
          <w:tcPr>
            <w:tcW w:w="9120" w:type="dxa"/>
            <w:gridSpan w:val="9"/>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120" w:type="dxa"/>
            <w:gridSpan w:val="9"/>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应急指挥专网建设</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27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84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148"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障指挥中心正常运行，提升对县市（园区）应急管理系统以及安全生产重点部门的应急指挥调度能力，实现对企业视频巡监，实现消防救援出警现场的监看，进一步提高应急指挥调度能力。目标2：充分利用现代信息化管理手段，提升行业监管能力和企业安全生产意识，确保企业安全生产。</w:t>
            </w:r>
          </w:p>
        </w:tc>
      </w:tr>
      <w:tr>
        <w:tblPrEx>
          <w:shd w:val="clear" w:color="auto" w:fill="auto"/>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保障应急指挥数据中心个数</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接连县市视频会议系统个数</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接连州直重点单位视频会议系统个数</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视频调度正常使用率</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系统故障率</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应急指挥专网建设工作完成时限</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系统运行维护响应时间</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&lt;=12小时</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保障系统运行网络经费支出</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充分利用现代信息化管理手段，提升行业监管能力和企业安全生产意识，确保企业安全生产。</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提高企业安全意识，降低企业安全生产事故。</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5160"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单位满意度</w:t>
            </w:r>
          </w:p>
        </w:tc>
        <w:tc>
          <w:tcPr>
            <w:tcW w:w="201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p>
      <w:pPr>
        <w:spacing w:line="560" w:lineRule="exact"/>
        <w:rPr>
          <w:rFonts w:hint="eastAsia" w:ascii="仿宋_GB2312" w:hAnsi="仿宋_GB2312" w:eastAsia="仿宋_GB2312" w:cs="仿宋_GB2312"/>
          <w:kern w:val="0"/>
          <w:sz w:val="32"/>
          <w:szCs w:val="32"/>
        </w:rPr>
      </w:pPr>
    </w:p>
    <w:tbl>
      <w:tblPr>
        <w:tblStyle w:val="6"/>
        <w:tblW w:w="9276" w:type="dxa"/>
        <w:tblInd w:w="0" w:type="dxa"/>
        <w:shd w:val="clear" w:color="auto" w:fill="auto"/>
        <w:tblLayout w:type="fixed"/>
        <w:tblCellMar>
          <w:top w:w="0" w:type="dxa"/>
          <w:left w:w="0" w:type="dxa"/>
          <w:bottom w:w="0" w:type="dxa"/>
          <w:right w:w="0" w:type="dxa"/>
        </w:tblCellMar>
      </w:tblPr>
      <w:tblGrid>
        <w:gridCol w:w="972"/>
        <w:gridCol w:w="972"/>
        <w:gridCol w:w="972"/>
        <w:gridCol w:w="972"/>
        <w:gridCol w:w="1944"/>
        <w:gridCol w:w="972"/>
        <w:gridCol w:w="504"/>
        <w:gridCol w:w="972"/>
        <w:gridCol w:w="996"/>
      </w:tblGrid>
      <w:tr>
        <w:tblPrEx>
          <w:shd w:val="clear" w:color="auto" w:fill="auto"/>
          <w:tblCellMar>
            <w:top w:w="0" w:type="dxa"/>
            <w:left w:w="0" w:type="dxa"/>
            <w:bottom w:w="0" w:type="dxa"/>
            <w:right w:w="0" w:type="dxa"/>
          </w:tblCellMar>
        </w:tblPrEx>
        <w:trPr>
          <w:trHeight w:val="390" w:hRule="atLeast"/>
        </w:trPr>
        <w:tc>
          <w:tcPr>
            <w:tcW w:w="9276" w:type="dxa"/>
            <w:gridSpan w:val="9"/>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276" w:type="dxa"/>
            <w:gridSpan w:val="9"/>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28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60"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47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指挥中心运维保障项目</w:t>
            </w:r>
          </w:p>
        </w:tc>
      </w:tr>
      <w:tr>
        <w:tblPrEx>
          <w:shd w:val="clear" w:color="auto" w:fill="auto"/>
          <w:tblCellMar>
            <w:top w:w="0" w:type="dxa"/>
            <w:left w:w="0" w:type="dxa"/>
            <w:bottom w:w="0" w:type="dxa"/>
            <w:right w:w="0" w:type="dxa"/>
          </w:tblCellMar>
        </w:tblPrEx>
        <w:trPr>
          <w:trHeight w:val="43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44"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944"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w:t>
            </w:r>
          </w:p>
        </w:tc>
        <w:tc>
          <w:tcPr>
            <w:tcW w:w="1476"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996"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4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304" w:type="dxa"/>
            <w:gridSpan w:val="8"/>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保障指挥中心正常运行，提升对县市（园区）应急管理系统以及安全生产重点部门的应急指挥调度能力，实现对企业视频巡监，实现消防救援出警现场的监看，进一步提高应急指挥调度能力。目标2：保障视频会议系统15个。目标3：提高企业安全意识，降低企业安全生产事故。</w:t>
            </w:r>
          </w:p>
        </w:tc>
      </w:tr>
      <w:tr>
        <w:tblPrEx>
          <w:shd w:val="clear" w:color="auto" w:fill="auto"/>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保障应急指挥数据中心个数</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接连县市视频会议系统个数</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接连州直重点单位视频会议系统个数</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=15个</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视频会议系统正常使用率</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指挥中心运维保障工作完成时限</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2022年12月31日</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各项工作完成及时率</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其他办公支出</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&lt;=60.67万元</w:t>
            </w:r>
          </w:p>
        </w:tc>
      </w:tr>
      <w:tr>
        <w:tblPrEx>
          <w:shd w:val="clear" w:color="auto" w:fill="auto"/>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系统运维成本</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&lt;=9.33万元</w:t>
            </w:r>
          </w:p>
        </w:tc>
      </w:tr>
      <w:tr>
        <w:tblPrEx>
          <w:shd w:val="clear" w:color="auto" w:fill="auto"/>
          <w:tblCellMar>
            <w:top w:w="0" w:type="dxa"/>
            <w:left w:w="0" w:type="dxa"/>
            <w:bottom w:w="0" w:type="dxa"/>
            <w:right w:w="0" w:type="dxa"/>
          </w:tblCellMar>
        </w:tblPrEx>
        <w:trPr>
          <w:trHeight w:val="480" w:hRule="atLeast"/>
        </w:trPr>
        <w:tc>
          <w:tcPr>
            <w:tcW w:w="972"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充分利用现代信息化管理手段，提升行业监管能力和企业安全生产意识，确保企业安全生产。</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得到保障</w:t>
            </w: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80" w:hRule="atLeast"/>
        </w:trPr>
        <w:tc>
          <w:tcPr>
            <w:tcW w:w="9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提高企业安全意识，降低企业安全生产事故。</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r>
      <w:tr>
        <w:tblPrEx>
          <w:tblCellMar>
            <w:top w:w="0" w:type="dxa"/>
            <w:left w:w="0" w:type="dxa"/>
            <w:bottom w:w="0" w:type="dxa"/>
            <w:right w:w="0" w:type="dxa"/>
          </w:tblCellMar>
        </w:tblPrEx>
        <w:trPr>
          <w:trHeight w:val="480"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72"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5364" w:type="dxa"/>
            <w:gridSpan w:val="5"/>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州县市（园区）应急管理系统人员满意度</w:t>
            </w:r>
          </w:p>
        </w:tc>
        <w:tc>
          <w:tcPr>
            <w:tcW w:w="196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ind w:firstLine="640" w:firstLineChars="200"/>
        <w:rPr>
          <w:rFonts w:hint="eastAsia" w:ascii="仿宋_GB2312" w:hAnsi="仿宋_GB2312" w:eastAsia="仿宋_GB2312" w:cs="仿宋_GB2312"/>
          <w:kern w:val="0"/>
          <w:sz w:val="32"/>
          <w:szCs w:val="32"/>
        </w:rPr>
      </w:pPr>
    </w:p>
    <w:tbl>
      <w:tblPr>
        <w:tblStyle w:val="6"/>
        <w:tblW w:w="9325" w:type="dxa"/>
        <w:tblInd w:w="0" w:type="dxa"/>
        <w:shd w:val="clear" w:color="auto" w:fill="auto"/>
        <w:tblLayout w:type="fixed"/>
        <w:tblCellMar>
          <w:top w:w="0" w:type="dxa"/>
          <w:left w:w="0" w:type="dxa"/>
          <w:bottom w:w="0" w:type="dxa"/>
          <w:right w:w="0" w:type="dxa"/>
        </w:tblCellMar>
      </w:tblPr>
      <w:tblGrid>
        <w:gridCol w:w="960"/>
        <w:gridCol w:w="960"/>
        <w:gridCol w:w="960"/>
        <w:gridCol w:w="960"/>
        <w:gridCol w:w="960"/>
        <w:gridCol w:w="960"/>
        <w:gridCol w:w="960"/>
        <w:gridCol w:w="612"/>
        <w:gridCol w:w="960"/>
        <w:gridCol w:w="960"/>
        <w:gridCol w:w="73"/>
      </w:tblGrid>
      <w:tr>
        <w:tblPrEx>
          <w:shd w:val="clear" w:color="auto" w:fill="auto"/>
          <w:tblCellMar>
            <w:top w:w="0" w:type="dxa"/>
            <w:left w:w="0" w:type="dxa"/>
            <w:bottom w:w="0" w:type="dxa"/>
            <w:right w:w="0" w:type="dxa"/>
          </w:tblCellMar>
        </w:tblPrEx>
        <w:trPr>
          <w:trHeight w:val="408" w:hRule="atLeast"/>
        </w:trPr>
        <w:tc>
          <w:tcPr>
            <w:tcW w:w="9325" w:type="dxa"/>
            <w:gridSpan w:val="11"/>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325" w:type="dxa"/>
            <w:gridSpan w:val="11"/>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64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800"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605"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煤矿隐患排查购买社会化服务项目及安全监管经费</w:t>
            </w:r>
          </w:p>
        </w:tc>
      </w:tr>
      <w:tr>
        <w:tblPrEx>
          <w:shd w:val="clear" w:color="auto" w:fill="auto"/>
          <w:tblCellMar>
            <w:top w:w="0" w:type="dxa"/>
            <w:left w:w="0" w:type="dxa"/>
            <w:bottom w:w="0" w:type="dxa"/>
            <w:right w:w="0" w:type="dxa"/>
          </w:tblCellMar>
        </w:tblPrEx>
        <w:trPr>
          <w:trHeight w:val="43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default" w:ascii="宋体" w:hAnsi="宋体" w:cs="宋体"/>
                <w:i w:val="0"/>
                <w:color w:val="000000"/>
                <w:kern w:val="0"/>
                <w:sz w:val="18"/>
                <w:szCs w:val="18"/>
                <w:u w:val="none"/>
                <w:lang w:val="en-US" w:eastAsia="zh-CN" w:bidi="ar"/>
              </w:rPr>
              <w:t>200</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default" w:ascii="宋体" w:hAnsi="宋体" w:cs="宋体"/>
                <w:i w:val="0"/>
                <w:color w:val="000000"/>
                <w:kern w:val="0"/>
                <w:sz w:val="18"/>
                <w:szCs w:val="18"/>
                <w:u w:val="none"/>
                <w:lang w:val="en-US" w:eastAsia="zh-CN" w:bidi="ar"/>
              </w:rPr>
              <w:t>200</w:t>
            </w:r>
          </w:p>
        </w:tc>
        <w:tc>
          <w:tcPr>
            <w:tcW w:w="1572"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3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88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365" w:type="dxa"/>
            <w:gridSpan w:val="10"/>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关于调整自治州煤矿安全监管职责和机构编制的通知》（昌州党编委[2022]41号），煤矿安全监管职责调整由州应急管理局承担，原班人马工作地点仍在原人社局大楼。昌吉州是自治区主要产煤地区，煤炭资源极为丰富，有各类煤矿60处，每年的产量占到全疆产量的三分之一以上。煤矿企业主要分布于山区、戈壁荒滩，最远煤矿距离昌吉市达500余公里，通往矿区道路多为陡峭山路和简易砂石路面。</w:t>
            </w:r>
          </w:p>
        </w:tc>
      </w:tr>
      <w:tr>
        <w:tblPrEx>
          <w:shd w:val="clear" w:color="auto" w:fill="auto"/>
          <w:tblCellMar>
            <w:top w:w="0" w:type="dxa"/>
            <w:left w:w="0" w:type="dxa"/>
            <w:bottom w:w="0" w:type="dxa"/>
            <w:right w:w="0"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b/>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612"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73"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288"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煤矿安全监督检查</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≥40矿次</w:t>
            </w:r>
          </w:p>
        </w:tc>
      </w:tr>
      <w:tr>
        <w:tblPrEx>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出具检查笔录、巡查记录</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≥40份</w:t>
            </w:r>
          </w:p>
        </w:tc>
      </w:tr>
      <w:tr>
        <w:tblPrEx>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隐患整改率和安全生产标准化达标率</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≥90%</w:t>
            </w:r>
          </w:p>
        </w:tc>
      </w:tr>
      <w:tr>
        <w:tblPrEx>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按照煤矿安全监管计划，及时完成任务。</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≥90%</w:t>
            </w:r>
          </w:p>
        </w:tc>
      </w:tr>
      <w:tr>
        <w:tblPrEx>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煤矿隐患排查购买社会化服务项目</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≤150万元</w:t>
            </w:r>
          </w:p>
        </w:tc>
      </w:tr>
      <w:tr>
        <w:tblPrEx>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煤矿安全监管经费</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≤50万元</w:t>
            </w:r>
          </w:p>
        </w:tc>
      </w:tr>
      <w:tr>
        <w:tblPrEx>
          <w:tblCellMar>
            <w:top w:w="0" w:type="dxa"/>
            <w:left w:w="0" w:type="dxa"/>
            <w:bottom w:w="0" w:type="dxa"/>
            <w:right w:w="0" w:type="dxa"/>
          </w:tblCellMar>
        </w:tblPrEx>
        <w:trPr>
          <w:trHeight w:val="580"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遏制煤矿较大生产安全事故发生，预防和减少煤矿一般事故的发生，确保社会稳定和长治久安。</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w:t>
            </w:r>
          </w:p>
        </w:tc>
      </w:tr>
      <w:tr>
        <w:tblPrEx>
          <w:tblCellMar>
            <w:top w:w="0" w:type="dxa"/>
            <w:left w:w="0" w:type="dxa"/>
            <w:bottom w:w="0" w:type="dxa"/>
            <w:right w:w="0" w:type="dxa"/>
          </w:tblCellMar>
        </w:tblPrEx>
        <w:trPr>
          <w:trHeight w:val="43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全年煤矿安全生产形势保持平稳</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持续平稳</w:t>
            </w:r>
          </w:p>
        </w:tc>
      </w:tr>
      <w:tr>
        <w:tblPrEx>
          <w:tblCellMar>
            <w:top w:w="0" w:type="dxa"/>
            <w:left w:w="0" w:type="dxa"/>
            <w:bottom w:w="0" w:type="dxa"/>
            <w:right w:w="0" w:type="dxa"/>
          </w:tblCellMar>
        </w:tblPrEx>
        <w:trPr>
          <w:trHeight w:val="43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5412"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监管煤矿企业满意率</w:t>
            </w:r>
          </w:p>
        </w:tc>
        <w:tc>
          <w:tcPr>
            <w:tcW w:w="1993"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tbl>
      <w:tblPr>
        <w:tblStyle w:val="6"/>
        <w:tblW w:w="9315" w:type="dxa"/>
        <w:tblInd w:w="0" w:type="dxa"/>
        <w:shd w:val="clear" w:color="auto" w:fill="auto"/>
        <w:tblLayout w:type="fixed"/>
        <w:tblCellMar>
          <w:top w:w="0" w:type="dxa"/>
          <w:left w:w="0" w:type="dxa"/>
          <w:bottom w:w="0" w:type="dxa"/>
          <w:right w:w="0" w:type="dxa"/>
        </w:tblCellMar>
      </w:tblPr>
      <w:tblGrid>
        <w:gridCol w:w="960"/>
        <w:gridCol w:w="960"/>
        <w:gridCol w:w="959"/>
        <w:gridCol w:w="960"/>
        <w:gridCol w:w="959"/>
        <w:gridCol w:w="959"/>
        <w:gridCol w:w="960"/>
        <w:gridCol w:w="636"/>
        <w:gridCol w:w="959"/>
        <w:gridCol w:w="959"/>
        <w:gridCol w:w="44"/>
      </w:tblGrid>
      <w:tr>
        <w:tblPrEx>
          <w:shd w:val="clear" w:color="auto" w:fill="auto"/>
          <w:tblCellMar>
            <w:top w:w="0" w:type="dxa"/>
            <w:left w:w="0" w:type="dxa"/>
            <w:bottom w:w="0" w:type="dxa"/>
            <w:right w:w="0" w:type="dxa"/>
          </w:tblCellMar>
        </w:tblPrEx>
        <w:trPr>
          <w:trHeight w:val="408" w:hRule="atLeast"/>
        </w:trPr>
        <w:tc>
          <w:tcPr>
            <w:tcW w:w="9315" w:type="dxa"/>
            <w:gridSpan w:val="11"/>
            <w:tcBorders>
              <w:top w:val="nil"/>
              <w:left w:val="nil"/>
              <w:bottom w:val="nil"/>
              <w:right w:val="nil"/>
            </w:tcBorders>
            <w:shd w:val="clear" w:color="auto" w:fill="auto"/>
            <w:noWrap/>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408" w:hRule="atLeast"/>
        </w:trPr>
        <w:tc>
          <w:tcPr>
            <w:tcW w:w="9315" w:type="dxa"/>
            <w:gridSpan w:val="11"/>
            <w:tcBorders>
              <w:top w:val="nil"/>
              <w:left w:val="nil"/>
              <w:bottom w:val="single" w:color="000000" w:sz="4" w:space="0"/>
              <w:right w:val="nil"/>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797" w:type="dxa"/>
            <w:gridSpan w:val="5"/>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昌吉回族自治州应急管理局</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2598" w:type="dxa"/>
            <w:gridSpan w:val="4"/>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昌吉州煤管办办公运行经费</w:t>
            </w:r>
          </w:p>
        </w:tc>
      </w:tr>
      <w:tr>
        <w:tblPrEx>
          <w:shd w:val="clear" w:color="auto" w:fill="auto"/>
          <w:tblCellMar>
            <w:top w:w="0" w:type="dxa"/>
            <w:left w:w="0" w:type="dxa"/>
            <w:bottom w:w="0" w:type="dxa"/>
            <w:right w:w="0" w:type="dxa"/>
          </w:tblCellMar>
        </w:tblPrEx>
        <w:trPr>
          <w:trHeight w:val="43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919"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default" w:ascii="宋体" w:hAnsi="宋体" w:cs="宋体"/>
                <w:i w:val="0"/>
                <w:color w:val="000000"/>
                <w:kern w:val="0"/>
                <w:sz w:val="18"/>
                <w:szCs w:val="18"/>
                <w:u w:val="none"/>
                <w:lang w:val="en-US" w:eastAsia="zh-CN" w:bidi="ar"/>
              </w:rPr>
              <w:t>120</w:t>
            </w:r>
          </w:p>
        </w:tc>
        <w:tc>
          <w:tcPr>
            <w:tcW w:w="1918"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default" w:ascii="宋体" w:hAnsi="宋体" w:eastAsia="宋体" w:cs="宋体"/>
                <w:i w:val="0"/>
                <w:color w:val="000000"/>
                <w:sz w:val="18"/>
                <w:szCs w:val="18"/>
                <w:u w:val="none"/>
                <w:lang w:val="en-US"/>
              </w:rPr>
            </w:pPr>
            <w:r>
              <w:rPr>
                <w:rFonts w:hint="default" w:ascii="宋体" w:hAnsi="宋体" w:cs="宋体"/>
                <w:i w:val="0"/>
                <w:color w:val="000000"/>
                <w:kern w:val="0"/>
                <w:sz w:val="18"/>
                <w:szCs w:val="18"/>
                <w:u w:val="none"/>
                <w:lang w:val="en-US" w:eastAsia="zh-CN" w:bidi="ar"/>
              </w:rPr>
              <w:t>120</w:t>
            </w:r>
          </w:p>
        </w:tc>
        <w:tc>
          <w:tcPr>
            <w:tcW w:w="1595"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003" w:type="dxa"/>
            <w:gridSpan w:val="2"/>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02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355" w:type="dxa"/>
            <w:gridSpan w:val="10"/>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内容1煤矿企业主要分布于山区、戈壁荒滩，最远煤矿距离昌吉市达500余公里，通往矿区道路多为陡峭山路和简易砂石路面。通过采取不间断的检查、巡查，督促煤矿企业落实安全生产主体责任，确保自治州煤矿安全生产形势稳定。</w:t>
            </w:r>
          </w:p>
        </w:tc>
      </w:tr>
      <w:tr>
        <w:tblPrEx>
          <w:shd w:val="clear" w:color="auto" w:fill="auto"/>
          <w:tblCellMar>
            <w:top w:w="0" w:type="dxa"/>
            <w:left w:w="0" w:type="dxa"/>
            <w:bottom w:w="0" w:type="dxa"/>
            <w:right w:w="0"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jc w:val="center"/>
              <w:rPr>
                <w:rFonts w:hint="eastAsia" w:ascii="宋体" w:hAnsi="宋体" w:eastAsia="宋体" w:cs="宋体"/>
                <w:b/>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59"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59"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59"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60"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636"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59"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959" w:type="dxa"/>
            <w:tcBorders>
              <w:top w:val="single" w:color="000000" w:sz="4" w:space="0"/>
              <w:left w:val="nil"/>
              <w:bottom w:val="single" w:color="000000" w:sz="4" w:space="0"/>
              <w:right w:val="nil"/>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c>
          <w:tcPr>
            <w:tcW w:w="44" w:type="dxa"/>
            <w:tcBorders>
              <w:top w:val="single" w:color="000000" w:sz="4" w:space="0"/>
              <w:left w:val="nil"/>
              <w:bottom w:val="single" w:color="000000" w:sz="4" w:space="0"/>
              <w:right w:val="single" w:color="000000" w:sz="4" w:space="0"/>
            </w:tcBorders>
            <w:shd w:val="clear" w:color="auto" w:fill="auto"/>
            <w:tcMar>
              <w:top w:w="12" w:type="dxa"/>
              <w:left w:w="12" w:type="dxa"/>
              <w:right w:w="12" w:type="dxa"/>
            </w:tcMar>
            <w:vAlign w:val="top"/>
          </w:tcPr>
          <w:p>
            <w:pPr>
              <w:jc w:val="left"/>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288"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288"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煤矿安全监督检查</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≥40矿次</w:t>
            </w:r>
          </w:p>
        </w:tc>
      </w:tr>
      <w:tr>
        <w:tblPrEx>
          <w:shd w:val="clear" w:color="auto" w:fill="auto"/>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出具检查笔录、巡查记录</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≥40份</w:t>
            </w:r>
          </w:p>
        </w:tc>
      </w:tr>
      <w:tr>
        <w:tblPrEx>
          <w:shd w:val="clear" w:color="auto" w:fill="auto"/>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隐患整改率和安全生产标准化达标率</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≥90%</w:t>
            </w:r>
          </w:p>
        </w:tc>
      </w:tr>
      <w:tr>
        <w:tblPrEx>
          <w:shd w:val="clear" w:color="auto" w:fill="auto"/>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按照煤矿安全监管计划，及时完成任务。</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≥90%</w:t>
            </w:r>
          </w:p>
        </w:tc>
      </w:tr>
      <w:tr>
        <w:tblPrEx>
          <w:shd w:val="clear" w:color="auto" w:fill="auto"/>
          <w:tblCellMar>
            <w:top w:w="0" w:type="dxa"/>
            <w:left w:w="0" w:type="dxa"/>
            <w:bottom w:w="0" w:type="dxa"/>
            <w:right w:w="0" w:type="dxa"/>
          </w:tblCellMar>
        </w:tblPrEx>
        <w:trPr>
          <w:trHeight w:val="288"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煤管办正常运行经费</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top"/>
          </w:tcPr>
          <w:p>
            <w:pPr>
              <w:keepNext w:val="0"/>
              <w:keepLines w:val="0"/>
              <w:widowControl/>
              <w:suppressLineNumbers w:val="0"/>
              <w:jc w:val="center"/>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en-US" w:eastAsia="zh-CN" w:bidi="ar"/>
              </w:rPr>
              <w:t>≤</w:t>
            </w:r>
            <w:r>
              <w:rPr>
                <w:rFonts w:hint="default" w:ascii="宋体" w:hAnsi="宋体" w:cs="宋体"/>
                <w:i w:val="0"/>
                <w:color w:val="000000"/>
                <w:kern w:val="0"/>
                <w:sz w:val="18"/>
                <w:szCs w:val="18"/>
                <w:u w:val="none"/>
                <w:lang w:val="en-US" w:eastAsia="zh-CN" w:bidi="ar"/>
              </w:rPr>
              <w:t>120</w:t>
            </w:r>
            <w:r>
              <w:rPr>
                <w:rFonts w:hint="eastAsia" w:ascii="宋体" w:hAnsi="宋体" w:eastAsia="宋体" w:cs="宋体"/>
                <w:i w:val="0"/>
                <w:color w:val="000000"/>
                <w:kern w:val="0"/>
                <w:sz w:val="18"/>
                <w:szCs w:val="18"/>
                <w:u w:val="none"/>
                <w:lang w:val="en-US" w:eastAsia="zh-CN" w:bidi="ar"/>
              </w:rPr>
              <w:t>万元</w:t>
            </w:r>
          </w:p>
        </w:tc>
      </w:tr>
      <w:tr>
        <w:tblPrEx>
          <w:shd w:val="clear" w:color="auto" w:fill="auto"/>
          <w:tblCellMar>
            <w:top w:w="0" w:type="dxa"/>
            <w:left w:w="0" w:type="dxa"/>
            <w:bottom w:w="0" w:type="dxa"/>
            <w:right w:w="0" w:type="dxa"/>
          </w:tblCellMar>
        </w:tblPrEx>
        <w:trPr>
          <w:trHeight w:val="432" w:hRule="atLeast"/>
        </w:trPr>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遏制煤矿较大生产安全事故发生，预防和减少煤矿一般事故的发生，确保社会稳定和长治久安。</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确保</w:t>
            </w:r>
          </w:p>
        </w:tc>
      </w:tr>
      <w:tr>
        <w:tblPrEx>
          <w:shd w:val="clear" w:color="auto" w:fill="auto"/>
          <w:tblCellMar>
            <w:top w:w="0" w:type="dxa"/>
            <w:left w:w="0" w:type="dxa"/>
            <w:bottom w:w="0" w:type="dxa"/>
            <w:right w:w="0" w:type="dxa"/>
          </w:tblCellMar>
        </w:tblPrEx>
        <w:trPr>
          <w:trHeight w:val="432" w:hRule="atLeast"/>
        </w:trPr>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rPr>
                <w:rFonts w:hint="eastAsia" w:ascii="宋体" w:hAnsi="宋体" w:eastAsia="宋体" w:cs="宋体"/>
                <w:i w:val="0"/>
                <w:color w:val="000000"/>
                <w:sz w:val="18"/>
                <w:szCs w:val="18"/>
                <w:u w:val="none"/>
              </w:rPr>
            </w:pP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全年煤矿安全生产形势保持平稳</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持续平稳</w:t>
            </w:r>
          </w:p>
        </w:tc>
      </w:tr>
      <w:tr>
        <w:tblPrEx>
          <w:shd w:val="clear" w:color="auto" w:fill="auto"/>
          <w:tblCellMar>
            <w:top w:w="0" w:type="dxa"/>
            <w:left w:w="0" w:type="dxa"/>
            <w:bottom w:w="0" w:type="dxa"/>
            <w:right w:w="0" w:type="dxa"/>
          </w:tblCellMar>
        </w:tblPrEx>
        <w:trPr>
          <w:trHeight w:val="432"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60" w:type="dxa"/>
            <w:tcBorders>
              <w:top w:val="single" w:color="000000" w:sz="4" w:space="0"/>
              <w:left w:val="single" w:color="000000" w:sz="4" w:space="0"/>
              <w:bottom w:val="single" w:color="000000" w:sz="4" w:space="0"/>
              <w:right w:val="nil"/>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5433" w:type="dxa"/>
            <w:gridSpan w:val="6"/>
            <w:tcBorders>
              <w:top w:val="single" w:color="000000" w:sz="4" w:space="0"/>
              <w:left w:val="single" w:color="000000" w:sz="4" w:space="0"/>
              <w:bottom w:val="single" w:color="000000" w:sz="4" w:space="0"/>
              <w:right w:val="single" w:color="000000" w:sz="4" w:space="0"/>
            </w:tcBorders>
            <w:shd w:val="clear" w:color="auto" w:fill="FFFFFF"/>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监管煤矿企业满意率</w:t>
            </w:r>
          </w:p>
        </w:tc>
        <w:tc>
          <w:tcPr>
            <w:tcW w:w="1962" w:type="dxa"/>
            <w:gridSpan w:val="3"/>
            <w:tcBorders>
              <w:top w:val="single" w:color="000000" w:sz="4" w:space="0"/>
              <w:left w:val="single" w:color="000000" w:sz="4" w:space="0"/>
              <w:bottom w:val="single" w:color="000000" w:sz="4" w:space="0"/>
              <w:right w:val="single" w:color="000000" w:sz="4" w:space="0"/>
            </w:tcBorders>
            <w:shd w:val="clear" w:color="auto" w:fill="auto"/>
            <w:tcMar>
              <w:top w:w="12" w:type="dxa"/>
              <w:left w:w="12" w:type="dxa"/>
              <w:right w:w="12"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仿宋_GB2312" w:eastAsia="仿宋_GB2312" w:cs="仿宋_GB2312"/>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州</w:t>
      </w:r>
      <w:r>
        <w:rPr>
          <w:rFonts w:hint="eastAsia" w:ascii="仿宋_GB2312" w:eastAsia="仿宋_GB2312"/>
          <w:sz w:val="32"/>
          <w:szCs w:val="32"/>
        </w:rPr>
        <w:t>本</w:t>
      </w:r>
      <w:bookmarkStart w:id="0" w:name="_GoBack"/>
      <w:bookmarkEnd w:id="0"/>
      <w:r>
        <w:rPr>
          <w:rFonts w:hint="eastAsia" w:ascii="仿宋_GB2312" w:eastAsia="仿宋_GB2312"/>
          <w:sz w:val="32"/>
          <w:szCs w:val="32"/>
        </w:rPr>
        <w:t>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应急管理局</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ialog">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8" name="文本框 8"/>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0288;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D+ftmmxgEAAIsDAAAOAAAAZHJzL2Uyb0RvYy54bWytU82O0zAQviPx&#10;Dpbv1NmWolXUdAWqFiEhQFp4ANexG0v+k8dt0heAN+DEhTvP1edg7KRd2L3sYS/OeGbyzXzfjFc3&#10;gzXkICNo7xp6NasokU74VrtdQ799vX11TQkk7lpuvJMNPUqgN+uXL1Z9qOXcd960MhIEcVD3oaFd&#10;SqFmDEQnLYeZD9JhUPloecJr3LE28h7RrWHzqnrDeh/bEL2QAOjdjEE6IcanAHqltJAbL/ZWujSi&#10;Rml4QkrQ6QB0XbpVSor0WSmQiZiGItNUTiyC9jafbL3i9S7y0GkxtcCf0sIDTpZrh0UvUBueONlH&#10;/QjKahE9eJVmwls2EimKIIur6oE2dx0PsnBBqSFcRIfngxWfDl8i0W1DceyOWxz46eeP068/p9/f&#10;yXWWpw9QY9ZdwLw0vPMDLs3ZD+jMrAcVbf4iH4JxFPd4EVcOiQh0Lhevq8WSEoGh+aJaVsuMwu5/&#10;DhHSe+ktyUZDI86uSMoPHyGNqeeUXMv5W21MmZ9x/zkQM3tY7nzsMFtp2A4Tna1vj8imx7E31OGW&#10;U2I+OFQ1b8jZiGdjOxm5BoS3+4SFSz8ZdYSaiuGMCqNpn/IS/HsvWfdvaP0X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P5+2ab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534035" cy="230505"/>
              <wp:effectExtent l="0" t="0" r="18415" b="17145"/>
              <wp:wrapNone/>
              <wp:docPr id="9" name="文本框 9"/>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a:noFill/>
                      </a:ln>
                    </wps:spPr>
                    <wps:txbx>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61312;mso-width-relative:page;mso-height-relative:page;" filled="f" stroked="f" coordsize="21600,21600" o:gfxdata="UEsDBAoAAAAAAIdO4kAAAAAAAAAAAAAAAAAEAAAAZHJzL1BLAwQUAAAACACHTuJA8PZMfdEAAAAD&#10;AQAADwAAAGRycy9kb3ducmV2LnhtbE2PwU7DMBBE70j9B2srcaNOKCpRiNNDJS7cKAiJ2zbexhH2&#10;OrLdNPl7DBe4rDSa0czbZj87KyYKcfCsoNwUIIg7rwfuFby/Pd9VIGJC1mg9k4KFIuzb1U2DtfZX&#10;fqXpmHqRSzjWqMCkNNZSxs6Qw7jxI3H2zj44TFmGXuqA11zurLwvip10OHBeMDjSwVD3dbw4BY/z&#10;h6cx0oE+z1MXzLBU9mVR6nZdFk8gEs3pLww/+Bkd2sx08hfWUVgF+ZH0e7NXPZQgTgq2uy3ItpH/&#10;2dtvUEsDBBQAAAAIAIdO4kCK+RdRxgEAAIsDAAAOAAAAZHJzL2Uyb0RvYy54bWytU82O0zAQviPx&#10;Dpbv1NmWIjZqugJVi5AQIC08gOvYjSX/yeM26QvAG3Diwp3n6nPs2Em7sFz2wMUZz0y+me+b8epm&#10;sIYcZATtXUOvZhUl0gnfardr6Ncvty9eUwKJu5Yb72RDjxLozfr5s1Ufajn3nTetjARBHNR9aGiX&#10;UqgZA9FJy2Hmg3QYVD5anvAad6yNvEd0a9i8ql6x3sc2RC8kAHo3Y5BOiPEpgF4pLeTGi72VLo2o&#10;URqekBJ0OgBdl26VkiJ9UgpkIqahyDSVE4ugvc0nW694vYs8dFpMLfCntPCIk+XaYdEL1IYnTvZR&#10;/wNltYgevEoz4S0biRRFkMVV9Uibu44HWbig1BAuosP/gxUfD58j0W1Drylx3OLATz++n37+Pv36&#10;Rq6zPH2AGrPuAual4a0fcGnOfkBnZj2oaPMX+RCMo7jHi7hySESgc7l4WS2WlAgMzRfVslpmFPbw&#10;c4iQ3klvSTYaGnF2RVJ++ABpTD2n5FrO32pjyvyM+8uBmNnDcudjh9lKw3aY6Gx9e0Q2PY69oQ63&#10;nBLz3qGqeUPORjwb28nINSC82ScsXPrJqCPUVAxnVBhN+5SX4M97yXp4Q+t7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8PZMfdEAAAADAQAADwAAAAAAAAABACAAAAAiAAAAZHJzL2Rvd25yZXYueG1s&#10;UEsBAhQAFAAAAAgAh07iQIr5F1HGAQAAiwMAAA4AAAAAAAAAAQAgAAAAIAEAAGRycy9lMm9Eb2Mu&#10;eG1sUEsFBgAAAAAGAAYAWQEAAFgFAAAAAA==&#10;">
              <v:fill on="f" focussize="0,0"/>
              <v:stroke on="f"/>
              <v:imagedata o:title=""/>
              <o:lock v:ext="edit" aspectratio="f"/>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- 54 -</w:t>
                    </w:r>
                    <w:r>
                      <w:rPr>
                        <w:rFonts w:hint="eastAsia" w:ascii="宋体" w:hAnsi="宋体" w:cs="宋体"/>
                        <w:sz w:val="28"/>
                        <w:szCs w:val="28"/>
                      </w:rPr>
                      <w:fldChar w:fldCharType="end"/>
                    </w:r>
                  </w:p>
                </w:txbxContent>
              </v:textbox>
            </v:shape>
          </w:pict>
        </mc:Fallback>
      </mc:AlternateConten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34035" cy="230505"/>
              <wp:effectExtent l="0" t="0" r="12065" b="10795"/>
              <wp:wrapNone/>
              <wp:docPr id="10" name="文本框 10"/>
              <wp:cNvGraphicFramePr/>
              <a:graphic xmlns:a="http://schemas.openxmlformats.org/drawingml/2006/main">
                <a:graphicData uri="http://schemas.microsoft.com/office/word/2010/wordprocessingShape">
                  <wps:wsp>
                    <wps:cNvSpPr txBox="1"/>
                    <wps:spPr>
                      <a:xfrm>
                        <a:off x="0" y="0"/>
                        <a:ext cx="534035" cy="230505"/>
                      </a:xfrm>
                      <a:prstGeom prst="rect">
                        <a:avLst/>
                      </a:prstGeom>
                      <a:noFill/>
                      <a:ln w="6350">
                        <a:noFill/>
                      </a:ln>
                    </wps:spPr>
                    <wps:txbx>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8.15pt;width:42.05pt;mso-position-horizontal:outside;mso-position-horizontal-relative:margin;mso-wrap-style:none;z-index:251659264;mso-width-relative:page;mso-height-relative:page;" filled="f" stroked="f" coordsize="21600,21600" o:gfxdata="UEsDBAoAAAAAAIdO4kAAAAAAAAAAAAAAAAAEAAAAZHJzL1BLAwQUAAAACACHTuJAFs9TQdIAAAAD&#10;AQAADwAAAGRycy9kb3ducmV2LnhtbE2PwU7DMBBE70j8g7VI3KgTUlVViFOJinBEoumBoxsvScBe&#10;R7abhr9n4QKXlUYzmnlb7RZnxYwhjp4U5KsMBFLnzUi9gmPb3G1BxKTJaOsJFXxhhF19fVXp0vgL&#10;veJ8SL3gEoqlVjCkNJVSxm5Ap+PKT0jsvfvgdGIZemmCvnC5s/I+yzbS6ZF4YdAT7gfsPg9np2Df&#10;tG2YMQb7hs9N8fHyuManRanbmzx7AJFwSX9h+MFndKiZ6eTPZKKwCviR9HvZ265zECcFxaYAWVfy&#10;P3v9DVBLAwQUAAAACACHTuJAKrkmms8BAACWAwAADgAAAGRycy9lMm9Eb2MueG1srVNLbtswEN0X&#10;6B0I7mspdhQUguWghZGgQNEWSHIAmiItAvyBQ1vyBdobdNVN9z2Xz9EhJTtBsskiG2o4M3wz781o&#10;eT0YTfYigHK2oRezkhJhuWuV3Tb04f7mw0dKIDLbMu2saOhBAL1evX+37H0t5q5zuhWBIIiFuvcN&#10;7WL0dVEA74RhMHNeWAxKFwyLeA3bog2sR3Sji3lZXhW9C60PjgsA9K7HIJ0Qw2sAnZSKi7XjOyNs&#10;HFGD0CwiJeiUB7rK3UopePwuJYhIdEORacwnFkF7k85itWT1NjDfKT61wF7TwjNOhimLRc9QaxYZ&#10;2QX1AsooHhw4GWfcmWIkkhVBFhflM23uOuZF5oJSgz+LDm8Hy7/tfwSiWtwElMQygxM//v51/PPv&#10;+PcnQR8K1HuoMe/OY2YcPrsBk09+QGfiPchg0hcZEYwj1uEsrxgi4eisFpfloqKEY2i+KKuySijF&#10;42MfIN4KZ0gyGhpwellUtv8KcUw9paRa1t0orfMEtSV9Q68WVZkfnCMIri3WSBTGVpMVh80w8dq4&#10;9oC0etyAhlpceEr0F4sCp2U5GeFkbCYjVQf/aRexg9xYQh2hpmI4rkxtWq20D0/vOevxd1r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BbPU0HSAAAAAwEAAA8AAAAAAAAAAQAgAAAAIgAAAGRycy9k&#10;b3ducmV2LnhtbFBLAQIUABQAAAAIAIdO4kAquSaazwEAAJYDAAAOAAAAAAAAAAEAIAAAACEBAABk&#10;cnMvZTJvRG9jLnhtbFBLBQYAAAAABgAGAFkBAABiBQAAAAA=&#10;">
              <v:fill on="f" focussize="0,0"/>
              <v:stroke on="f" weight="0.5pt"/>
              <v:imagedata o:title=""/>
              <o:lock v:ext="edit" aspectratio="f"/>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- 56 -</w:t>
                    </w:r>
                    <w:r>
                      <w:rPr>
                        <w:rFonts w:hint="eastAsia" w:ascii="宋体" w:hAnsi="宋体" w:cs="宋体"/>
                        <w:sz w:val="28"/>
                        <w:szCs w:val="28"/>
                      </w:rPr>
                      <w:fldChar w:fldCharType="end"/>
                    </w:r>
                  </w:p>
                </w:txbxContent>
              </v:textbox>
            </v:shape>
          </w:pict>
        </mc:Fallback>
      </mc:AlternateContent>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95FBF6"/>
    <w:multiLevelType w:val="singleLevel"/>
    <w:tmpl w:val="6E95FBF6"/>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77F"/>
    <w:rsid w:val="002E5250"/>
    <w:rsid w:val="003923D8"/>
    <w:rsid w:val="004265FD"/>
    <w:rsid w:val="00432BE1"/>
    <w:rsid w:val="0047118F"/>
    <w:rsid w:val="004D477F"/>
    <w:rsid w:val="0059437A"/>
    <w:rsid w:val="00665DA3"/>
    <w:rsid w:val="008A5DB8"/>
    <w:rsid w:val="0090107A"/>
    <w:rsid w:val="00944B81"/>
    <w:rsid w:val="00AF3F7E"/>
    <w:rsid w:val="00B141E5"/>
    <w:rsid w:val="00C12D75"/>
    <w:rsid w:val="00CE4C77"/>
    <w:rsid w:val="00D85033"/>
    <w:rsid w:val="00F91EEB"/>
    <w:rsid w:val="011644A6"/>
    <w:rsid w:val="01480D35"/>
    <w:rsid w:val="01733869"/>
    <w:rsid w:val="0191287B"/>
    <w:rsid w:val="01983F4C"/>
    <w:rsid w:val="021967E8"/>
    <w:rsid w:val="026745ED"/>
    <w:rsid w:val="02A60768"/>
    <w:rsid w:val="02C56C82"/>
    <w:rsid w:val="041529B0"/>
    <w:rsid w:val="044D101B"/>
    <w:rsid w:val="047B4AAD"/>
    <w:rsid w:val="059469B9"/>
    <w:rsid w:val="05A52F17"/>
    <w:rsid w:val="05F554CB"/>
    <w:rsid w:val="064B72A9"/>
    <w:rsid w:val="068A6963"/>
    <w:rsid w:val="06A52D25"/>
    <w:rsid w:val="06C611E1"/>
    <w:rsid w:val="070F2777"/>
    <w:rsid w:val="07591220"/>
    <w:rsid w:val="075B7FBF"/>
    <w:rsid w:val="07B74D3C"/>
    <w:rsid w:val="07B950ED"/>
    <w:rsid w:val="087226DA"/>
    <w:rsid w:val="08FB6485"/>
    <w:rsid w:val="0957610B"/>
    <w:rsid w:val="09B965E5"/>
    <w:rsid w:val="09DE05F2"/>
    <w:rsid w:val="09EE70A3"/>
    <w:rsid w:val="0A2A78CD"/>
    <w:rsid w:val="0B3070EC"/>
    <w:rsid w:val="0C325C52"/>
    <w:rsid w:val="0C370610"/>
    <w:rsid w:val="0C97370C"/>
    <w:rsid w:val="0CB20246"/>
    <w:rsid w:val="0D897D11"/>
    <w:rsid w:val="0E433E53"/>
    <w:rsid w:val="0E7D230B"/>
    <w:rsid w:val="0F344118"/>
    <w:rsid w:val="10B44879"/>
    <w:rsid w:val="10D92811"/>
    <w:rsid w:val="11B10191"/>
    <w:rsid w:val="11B33B72"/>
    <w:rsid w:val="11F43DE5"/>
    <w:rsid w:val="12352F62"/>
    <w:rsid w:val="1290781B"/>
    <w:rsid w:val="132E0727"/>
    <w:rsid w:val="14650486"/>
    <w:rsid w:val="14783156"/>
    <w:rsid w:val="1635386C"/>
    <w:rsid w:val="16597C04"/>
    <w:rsid w:val="170C25A3"/>
    <w:rsid w:val="175E616E"/>
    <w:rsid w:val="18951F95"/>
    <w:rsid w:val="189B0F4C"/>
    <w:rsid w:val="189E0D4D"/>
    <w:rsid w:val="18B34004"/>
    <w:rsid w:val="18EF4830"/>
    <w:rsid w:val="19345302"/>
    <w:rsid w:val="19867C19"/>
    <w:rsid w:val="19AB3295"/>
    <w:rsid w:val="1A684DC0"/>
    <w:rsid w:val="1AB64C9F"/>
    <w:rsid w:val="1AC1723B"/>
    <w:rsid w:val="1B6459BE"/>
    <w:rsid w:val="1B990696"/>
    <w:rsid w:val="1BEC53BE"/>
    <w:rsid w:val="1C1C52C6"/>
    <w:rsid w:val="1C366A7C"/>
    <w:rsid w:val="1C552B64"/>
    <w:rsid w:val="1D3666D3"/>
    <w:rsid w:val="1DF93395"/>
    <w:rsid w:val="1E167EEB"/>
    <w:rsid w:val="1F1A7F1F"/>
    <w:rsid w:val="1F3A0A93"/>
    <w:rsid w:val="1F4D2160"/>
    <w:rsid w:val="1F7F64EF"/>
    <w:rsid w:val="1FF97F66"/>
    <w:rsid w:val="20147580"/>
    <w:rsid w:val="2028683A"/>
    <w:rsid w:val="203656DA"/>
    <w:rsid w:val="209F3D75"/>
    <w:rsid w:val="20AA3BE3"/>
    <w:rsid w:val="21274480"/>
    <w:rsid w:val="21A04760"/>
    <w:rsid w:val="21B42305"/>
    <w:rsid w:val="21DB528F"/>
    <w:rsid w:val="222662DA"/>
    <w:rsid w:val="22362A67"/>
    <w:rsid w:val="223B07B8"/>
    <w:rsid w:val="22F04C98"/>
    <w:rsid w:val="23597449"/>
    <w:rsid w:val="235A1274"/>
    <w:rsid w:val="239040F5"/>
    <w:rsid w:val="23F5575E"/>
    <w:rsid w:val="2406420D"/>
    <w:rsid w:val="241644C7"/>
    <w:rsid w:val="2535159F"/>
    <w:rsid w:val="25BF7208"/>
    <w:rsid w:val="2605506A"/>
    <w:rsid w:val="2627592F"/>
    <w:rsid w:val="262B4FAE"/>
    <w:rsid w:val="264B7BDC"/>
    <w:rsid w:val="267E769F"/>
    <w:rsid w:val="271E2F84"/>
    <w:rsid w:val="2727667B"/>
    <w:rsid w:val="27F558C8"/>
    <w:rsid w:val="28D5134A"/>
    <w:rsid w:val="28DF25D0"/>
    <w:rsid w:val="292B1C2F"/>
    <w:rsid w:val="2950113F"/>
    <w:rsid w:val="295C340B"/>
    <w:rsid w:val="29F35F8B"/>
    <w:rsid w:val="29FF17F2"/>
    <w:rsid w:val="2B346837"/>
    <w:rsid w:val="2B47769F"/>
    <w:rsid w:val="2B6653AB"/>
    <w:rsid w:val="2B6752CC"/>
    <w:rsid w:val="2C1F4D5B"/>
    <w:rsid w:val="2C30388E"/>
    <w:rsid w:val="2C9661A3"/>
    <w:rsid w:val="2D943688"/>
    <w:rsid w:val="2E095931"/>
    <w:rsid w:val="2E310981"/>
    <w:rsid w:val="2E6A589C"/>
    <w:rsid w:val="2E8B7D2D"/>
    <w:rsid w:val="2E9D34E5"/>
    <w:rsid w:val="2EEF2207"/>
    <w:rsid w:val="2EF67407"/>
    <w:rsid w:val="2F716BBC"/>
    <w:rsid w:val="3003472F"/>
    <w:rsid w:val="30796A7E"/>
    <w:rsid w:val="31F9051B"/>
    <w:rsid w:val="3277616E"/>
    <w:rsid w:val="32D82336"/>
    <w:rsid w:val="35825947"/>
    <w:rsid w:val="35E87FEB"/>
    <w:rsid w:val="35FA286F"/>
    <w:rsid w:val="36B03BDA"/>
    <w:rsid w:val="37661AE2"/>
    <w:rsid w:val="383559E4"/>
    <w:rsid w:val="387E3FF9"/>
    <w:rsid w:val="38CC28C6"/>
    <w:rsid w:val="38FB01FE"/>
    <w:rsid w:val="3A082060"/>
    <w:rsid w:val="3A224553"/>
    <w:rsid w:val="3A756FFF"/>
    <w:rsid w:val="3A883CF9"/>
    <w:rsid w:val="3B663ED4"/>
    <w:rsid w:val="3C6D2305"/>
    <w:rsid w:val="3D1F2904"/>
    <w:rsid w:val="3DF20B41"/>
    <w:rsid w:val="3F6547E6"/>
    <w:rsid w:val="3FB314B8"/>
    <w:rsid w:val="407F0F28"/>
    <w:rsid w:val="40BC2C6C"/>
    <w:rsid w:val="4126172B"/>
    <w:rsid w:val="41DC527B"/>
    <w:rsid w:val="424C56B0"/>
    <w:rsid w:val="42777B51"/>
    <w:rsid w:val="43AE26D9"/>
    <w:rsid w:val="44401F2A"/>
    <w:rsid w:val="44556DB6"/>
    <w:rsid w:val="44577CA1"/>
    <w:rsid w:val="448772E9"/>
    <w:rsid w:val="44F451D8"/>
    <w:rsid w:val="45276D3F"/>
    <w:rsid w:val="45871271"/>
    <w:rsid w:val="45C557CE"/>
    <w:rsid w:val="461B4C6D"/>
    <w:rsid w:val="464220A9"/>
    <w:rsid w:val="46BE7548"/>
    <w:rsid w:val="47AD11C1"/>
    <w:rsid w:val="47C23DFA"/>
    <w:rsid w:val="48A72BB2"/>
    <w:rsid w:val="48B76E51"/>
    <w:rsid w:val="49317BE0"/>
    <w:rsid w:val="4A0246B3"/>
    <w:rsid w:val="4A834F3B"/>
    <w:rsid w:val="4AB85F0C"/>
    <w:rsid w:val="4AEB1CB7"/>
    <w:rsid w:val="4B2D3D34"/>
    <w:rsid w:val="4BD16BDE"/>
    <w:rsid w:val="4C002FA3"/>
    <w:rsid w:val="4C895156"/>
    <w:rsid w:val="4C9C47A7"/>
    <w:rsid w:val="4D2B76F2"/>
    <w:rsid w:val="4D362B54"/>
    <w:rsid w:val="4E4A7BE0"/>
    <w:rsid w:val="4E9A342D"/>
    <w:rsid w:val="4EE260D2"/>
    <w:rsid w:val="4F1F7A0A"/>
    <w:rsid w:val="4F3C2CED"/>
    <w:rsid w:val="4F874A05"/>
    <w:rsid w:val="4F9B6D33"/>
    <w:rsid w:val="50E51925"/>
    <w:rsid w:val="51784BFC"/>
    <w:rsid w:val="51B451CC"/>
    <w:rsid w:val="51EB0C1F"/>
    <w:rsid w:val="523A5D4B"/>
    <w:rsid w:val="524C46C0"/>
    <w:rsid w:val="5253302F"/>
    <w:rsid w:val="529511FC"/>
    <w:rsid w:val="52AD40F9"/>
    <w:rsid w:val="52D47A53"/>
    <w:rsid w:val="52E21395"/>
    <w:rsid w:val="52EC053E"/>
    <w:rsid w:val="52F464B0"/>
    <w:rsid w:val="530F6475"/>
    <w:rsid w:val="5318310C"/>
    <w:rsid w:val="53845290"/>
    <w:rsid w:val="53901C46"/>
    <w:rsid w:val="53C00C3D"/>
    <w:rsid w:val="53CA72DA"/>
    <w:rsid w:val="53FC1E08"/>
    <w:rsid w:val="541C68D1"/>
    <w:rsid w:val="546B2C82"/>
    <w:rsid w:val="54BC172B"/>
    <w:rsid w:val="54F917BE"/>
    <w:rsid w:val="558D7700"/>
    <w:rsid w:val="5652258B"/>
    <w:rsid w:val="56BD654F"/>
    <w:rsid w:val="57686FA6"/>
    <w:rsid w:val="57AB469C"/>
    <w:rsid w:val="57DE5F3B"/>
    <w:rsid w:val="57DF178A"/>
    <w:rsid w:val="58974FBD"/>
    <w:rsid w:val="58C662FD"/>
    <w:rsid w:val="58DB2BF3"/>
    <w:rsid w:val="59AF4639"/>
    <w:rsid w:val="59F81C06"/>
    <w:rsid w:val="5A527F4D"/>
    <w:rsid w:val="5AF54D5A"/>
    <w:rsid w:val="5B792C4F"/>
    <w:rsid w:val="5BF723F5"/>
    <w:rsid w:val="5C1C3E32"/>
    <w:rsid w:val="5C237763"/>
    <w:rsid w:val="5D0F7A1B"/>
    <w:rsid w:val="5D4906C9"/>
    <w:rsid w:val="5D5C3443"/>
    <w:rsid w:val="5DC346AD"/>
    <w:rsid w:val="5EBF05A1"/>
    <w:rsid w:val="5F4F09BD"/>
    <w:rsid w:val="600032E6"/>
    <w:rsid w:val="607E5CEE"/>
    <w:rsid w:val="615F0F94"/>
    <w:rsid w:val="619703CD"/>
    <w:rsid w:val="62870F23"/>
    <w:rsid w:val="62FD0B07"/>
    <w:rsid w:val="63727ABC"/>
    <w:rsid w:val="63E76F0F"/>
    <w:rsid w:val="64A90C5A"/>
    <w:rsid w:val="64DB53B1"/>
    <w:rsid w:val="65E648BE"/>
    <w:rsid w:val="66B06156"/>
    <w:rsid w:val="66D83824"/>
    <w:rsid w:val="67A666EC"/>
    <w:rsid w:val="67FB627D"/>
    <w:rsid w:val="68021E53"/>
    <w:rsid w:val="6855463B"/>
    <w:rsid w:val="68702D35"/>
    <w:rsid w:val="688827A0"/>
    <w:rsid w:val="69505647"/>
    <w:rsid w:val="69935370"/>
    <w:rsid w:val="6A701F80"/>
    <w:rsid w:val="6A8376CF"/>
    <w:rsid w:val="6AC85AF4"/>
    <w:rsid w:val="6B0A1A8E"/>
    <w:rsid w:val="6B5C6218"/>
    <w:rsid w:val="6CEE5E4B"/>
    <w:rsid w:val="6D313771"/>
    <w:rsid w:val="6D3E3DFC"/>
    <w:rsid w:val="6D6E5389"/>
    <w:rsid w:val="6DA35DF2"/>
    <w:rsid w:val="6DDF7F7F"/>
    <w:rsid w:val="6FA9129E"/>
    <w:rsid w:val="70113742"/>
    <w:rsid w:val="7019528A"/>
    <w:rsid w:val="703F7918"/>
    <w:rsid w:val="708578B6"/>
    <w:rsid w:val="71133D44"/>
    <w:rsid w:val="711F1840"/>
    <w:rsid w:val="71575B0B"/>
    <w:rsid w:val="723D7ECE"/>
    <w:rsid w:val="72607237"/>
    <w:rsid w:val="72A80998"/>
    <w:rsid w:val="746E36FA"/>
    <w:rsid w:val="74B76220"/>
    <w:rsid w:val="75ED4B1B"/>
    <w:rsid w:val="75FB1EB6"/>
    <w:rsid w:val="760C2912"/>
    <w:rsid w:val="761C4982"/>
    <w:rsid w:val="765D57BB"/>
    <w:rsid w:val="769A563A"/>
    <w:rsid w:val="777B6542"/>
    <w:rsid w:val="77800982"/>
    <w:rsid w:val="779E6F92"/>
    <w:rsid w:val="795843E7"/>
    <w:rsid w:val="79B31279"/>
    <w:rsid w:val="79C20CB0"/>
    <w:rsid w:val="7AFD4B22"/>
    <w:rsid w:val="7B0A0681"/>
    <w:rsid w:val="7BFF766B"/>
    <w:rsid w:val="7C6D00FA"/>
    <w:rsid w:val="7D242F0C"/>
    <w:rsid w:val="7D4F7D1A"/>
    <w:rsid w:val="7D5932BC"/>
    <w:rsid w:val="7D7A721E"/>
    <w:rsid w:val="7D8A3900"/>
    <w:rsid w:val="7DAB1BF4"/>
    <w:rsid w:val="7E847459"/>
    <w:rsid w:val="7EBF4CFF"/>
    <w:rsid w:val="7EE77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3"/>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2"/>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14285</Words>
  <Characters>16346</Characters>
  <Lines>69</Lines>
  <Paragraphs>19</Paragraphs>
  <TotalTime>3</TotalTime>
  <ScaleCrop>false</ScaleCrop>
  <LinksUpToDate>false</LinksUpToDate>
  <CharactersWithSpaces>17118</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Administrator</cp:lastModifiedBy>
  <cp:lastPrinted>2022-03-31T10:52:00Z</cp:lastPrinted>
  <dcterms:modified xsi:type="dcterms:W3CDTF">2022-04-21T12:39:37Z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D245B7CE7B644B17A9BC836F365425B0</vt:lpwstr>
  </property>
</Properties>
</file>