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昌吉州妇幼保健计划生育服务中心</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2022</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643" w:firstLineChars="200"/>
        <w:outlineLvl w:val="1"/>
        <w:rPr>
          <w:rFonts w:hint="eastAsia" w:ascii="仿宋_GB2312" w:hAnsi="宋体" w:eastAsia="仿宋_GB2312"/>
          <w:b/>
          <w:kern w:val="0"/>
          <w:sz w:val="32"/>
          <w:szCs w:val="32"/>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昌吉州妇幼保健计划生育服务中心概况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部门</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部门</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部门</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widowControl/>
        <w:spacing w:line="48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九、关于昌吉州妇幼保健计划生育服务中心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第一部分   昌吉州妇幼保健计划生育服务中心单位概况</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64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640" w:lineRule="exact"/>
        <w:ind w:firstLine="640" w:firstLineChars="200"/>
        <w:jc w:val="left"/>
        <w:textAlignment w:val="auto"/>
        <w:rPr>
          <w:rFonts w:ascii="仿宋_GB2312" w:hAnsi="宋体" w:eastAsia="仿宋_GB2312" w:cs="宋体"/>
          <w:bCs/>
          <w:kern w:val="0"/>
          <w:sz w:val="32"/>
          <w:szCs w:val="32"/>
        </w:rPr>
      </w:pPr>
      <w:r>
        <w:rPr>
          <w:rFonts w:hint="eastAsia" w:ascii="仿宋_GB2312" w:hAnsi="宋体" w:eastAsia="仿宋_GB2312" w:cs="宋体"/>
          <w:kern w:val="0"/>
          <w:sz w:val="32"/>
          <w:szCs w:val="32"/>
        </w:rPr>
        <w:t xml:space="preserve">昌吉州妇幼保健计划生育服务中心承担辖区内妇幼保健、妇女儿童常见病防治、围产保健、助产技术服务、计划生育技术服务、出生缺陷综合防治、妇幼保健计划生育信息管理、服务质量监测等工作，对下级服务机构进行技术指导与培训，接受下级转诊。 </w:t>
      </w:r>
    </w:p>
    <w:p>
      <w:pPr>
        <w:keepNext w:val="0"/>
        <w:keepLines w:val="0"/>
        <w:pageBreakBefore w:val="0"/>
        <w:widowControl/>
        <w:kinsoku/>
        <w:wordWrap/>
        <w:overflowPunct/>
        <w:topLinePunct w:val="0"/>
        <w:autoSpaceDE/>
        <w:autoSpaceDN/>
        <w:bidi w:val="0"/>
        <w:adjustRightInd/>
        <w:snapToGrid/>
        <w:spacing w:line="64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40" w:lineRule="exact"/>
        <w:jc w:val="left"/>
        <w:textAlignment w:val="auto"/>
        <w:rPr>
          <w:rFonts w:ascii="仿宋" w:hAnsi="仿宋" w:eastAsia="仿宋" w:cs="宋体"/>
          <w:kern w:val="0"/>
          <w:sz w:val="32"/>
          <w:szCs w:val="32"/>
        </w:rPr>
      </w:pPr>
      <w:r>
        <w:rPr>
          <w:rFonts w:hint="eastAsia" w:ascii="仿宋_GB2312" w:hAnsi="宋体" w:eastAsia="仿宋_GB2312" w:cs="宋体"/>
          <w:kern w:val="0"/>
          <w:sz w:val="32"/>
          <w:szCs w:val="32"/>
        </w:rPr>
        <w:t xml:space="preserve">    昌吉</w:t>
      </w:r>
      <w:r>
        <w:rPr>
          <w:rFonts w:hint="eastAsia" w:ascii="仿宋_GB2312" w:hAnsi="黑体" w:eastAsia="仿宋_GB2312" w:cs="宋体"/>
          <w:bCs/>
          <w:kern w:val="0"/>
          <w:sz w:val="32"/>
          <w:szCs w:val="32"/>
        </w:rPr>
        <w:t>州妇幼保健计划生育服务中心无下属预算单位，下设</w:t>
      </w:r>
      <w:r>
        <w:rPr>
          <w:rFonts w:ascii="仿宋_GB2312" w:hAnsi="黑体" w:eastAsia="仿宋_GB2312" w:cs="宋体"/>
          <w:bCs/>
          <w:kern w:val="0"/>
          <w:sz w:val="32"/>
          <w:szCs w:val="32"/>
        </w:rPr>
        <w:t>3</w:t>
      </w:r>
      <w:r>
        <w:rPr>
          <w:rFonts w:hint="eastAsia" w:ascii="仿宋" w:hAnsi="仿宋" w:eastAsia="仿宋" w:cs="宋体"/>
          <w:kern w:val="0"/>
          <w:sz w:val="32"/>
          <w:szCs w:val="32"/>
        </w:rPr>
        <w:t>个内设机构，分别是</w:t>
      </w:r>
      <w:r>
        <w:rPr>
          <w:rFonts w:ascii="仿宋" w:hAnsi="仿宋" w:eastAsia="仿宋" w:cs="宋体"/>
          <w:kern w:val="0"/>
          <w:sz w:val="32"/>
          <w:szCs w:val="32"/>
        </w:rPr>
        <w:t>:</w:t>
      </w:r>
      <w:r>
        <w:rPr>
          <w:rFonts w:hint="eastAsia" w:ascii="仿宋" w:hAnsi="仿宋" w:eastAsia="仿宋" w:cs="宋体"/>
          <w:kern w:val="0"/>
          <w:sz w:val="32"/>
          <w:szCs w:val="32"/>
        </w:rPr>
        <w:t>综合办公室、医疗管理服务办公室、保健办公室。</w:t>
      </w:r>
    </w:p>
    <w:p>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ascii="仿宋" w:hAnsi="仿宋" w:eastAsia="仿宋" w:cs="仿宋"/>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cs="宋体"/>
          <w:bCs/>
          <w:kern w:val="0"/>
          <w:sz w:val="32"/>
          <w:szCs w:val="32"/>
        </w:rPr>
        <w:t>妇幼保健计划生育服务中心</w:t>
      </w:r>
      <w:r>
        <w:rPr>
          <w:rFonts w:hint="eastAsia" w:ascii="仿宋_GB2312" w:hAnsi="宋体" w:eastAsia="仿宋_GB2312" w:cs="宋体"/>
          <w:kern w:val="0"/>
          <w:sz w:val="32"/>
          <w:szCs w:val="32"/>
        </w:rPr>
        <w:t>编制数29人，实有人数</w:t>
      </w:r>
      <w:r>
        <w:rPr>
          <w:rFonts w:hint="eastAsia" w:ascii="仿宋_GB2312" w:hAnsi="宋体" w:eastAsia="仿宋_GB2312" w:cs="宋体"/>
          <w:color w:val="auto"/>
          <w:kern w:val="0"/>
          <w:sz w:val="32"/>
          <w:szCs w:val="32"/>
          <w:lang w:val="en-US" w:eastAsia="zh-CN"/>
        </w:rPr>
        <w:t>37</w:t>
      </w:r>
      <w:r>
        <w:rPr>
          <w:rFonts w:hint="eastAsia" w:ascii="仿宋_GB2312" w:hAnsi="宋体" w:eastAsia="仿宋_GB2312" w:cs="宋体"/>
          <w:color w:val="auto"/>
          <w:kern w:val="0"/>
          <w:sz w:val="32"/>
          <w:szCs w:val="32"/>
        </w:rPr>
        <w:t>人</w:t>
      </w:r>
      <w:r>
        <w:rPr>
          <w:rFonts w:hint="eastAsia" w:ascii="仿宋_GB2312" w:hAnsi="宋体" w:eastAsia="仿宋_GB2312" w:cs="宋体"/>
          <w:kern w:val="0"/>
          <w:sz w:val="32"/>
          <w:szCs w:val="32"/>
        </w:rPr>
        <w:t>，其中：在职2</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减少</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退休</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 w:hAnsi="仿宋" w:eastAsia="仿宋" w:cs="仿宋"/>
          <w:kern w:val="0"/>
          <w:sz w:val="32"/>
          <w:szCs w:val="32"/>
        </w:rPr>
        <w:t>离休 0人，增加0人。</w:t>
      </w:r>
    </w:p>
    <w:p>
      <w:pPr>
        <w:keepNext w:val="0"/>
        <w:keepLines w:val="0"/>
        <w:pageBreakBefore w:val="0"/>
        <w:widowControl/>
        <w:kinsoku/>
        <w:wordWrap/>
        <w:overflowPunct/>
        <w:topLinePunct w:val="0"/>
        <w:autoSpaceDE/>
        <w:autoSpaceDN/>
        <w:bidi w:val="0"/>
        <w:adjustRightInd/>
        <w:snapToGrid/>
        <w:spacing w:line="640" w:lineRule="exact"/>
        <w:ind w:firstLine="640"/>
        <w:textAlignment w:val="auto"/>
        <w:rPr>
          <w:rFonts w:ascii="仿宋" w:hAnsi="仿宋" w:eastAsia="仿宋" w:cs="仿宋"/>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hint="eastAsia" w:ascii="黑体" w:hAnsi="黑体" w:eastAsia="黑体"/>
          <w:kern w:val="0"/>
          <w:sz w:val="32"/>
          <w:szCs w:val="32"/>
          <w:highlight w:val="none"/>
          <w:lang w:eastAsia="zh-CN"/>
        </w:rPr>
        <w:t>2022</w:t>
      </w:r>
      <w:r>
        <w:rPr>
          <w:rFonts w:hint="eastAsia" w:ascii="黑体" w:hAnsi="黑体" w:eastAsia="黑体"/>
          <w:kern w:val="0"/>
          <w:sz w:val="32"/>
          <w:szCs w:val="32"/>
          <w:highlight w:val="none"/>
        </w:rPr>
        <w:t>年</w:t>
      </w:r>
      <w:r>
        <w:rPr>
          <w:rFonts w:hint="eastAsia" w:ascii="黑体" w:hAnsi="黑体" w:eastAsia="黑体"/>
          <w:kern w:val="0"/>
          <w:sz w:val="32"/>
          <w:szCs w:val="32"/>
          <w:highlight w:val="none"/>
          <w:lang w:eastAsia="zh-CN"/>
        </w:rPr>
        <w:t>部门</w:t>
      </w:r>
      <w:r>
        <w:rPr>
          <w:rFonts w:hint="eastAsia" w:ascii="黑体" w:hAnsi="黑体" w:eastAsia="黑体"/>
          <w:kern w:val="0"/>
          <w:sz w:val="32"/>
          <w:szCs w:val="32"/>
          <w:highlight w:val="none"/>
        </w:rPr>
        <w:t>预算公开表</w:t>
      </w: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 xml:space="preserve">1                          </w:t>
      </w:r>
      <w:r>
        <w:rPr>
          <w:rFonts w:hint="eastAsia" w:ascii="仿宋_GB2312" w:hAnsi="宋体" w:eastAsia="仿宋_GB2312"/>
          <w:b/>
          <w:kern w:val="0"/>
          <w:sz w:val="32"/>
          <w:szCs w:val="32"/>
          <w:highlight w:val="none"/>
          <w:lang w:eastAsia="zh-CN"/>
        </w:rPr>
        <w:t>部门</w:t>
      </w:r>
      <w:r>
        <w:rPr>
          <w:rFonts w:hint="eastAsia" w:ascii="仿宋_GB2312" w:hAnsi="宋体" w:eastAsia="仿宋_GB2312"/>
          <w:b/>
          <w:kern w:val="0"/>
          <w:sz w:val="32"/>
          <w:szCs w:val="32"/>
          <w:highlight w:val="none"/>
        </w:rPr>
        <w:t>收支总体情况表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w:t>
      </w:r>
      <w:r>
        <w:rPr>
          <w:rFonts w:hint="eastAsia" w:ascii="仿宋_GB2312" w:hAnsi="宋体" w:eastAsia="仿宋_GB2312"/>
          <w:kern w:val="0"/>
          <w:sz w:val="24"/>
          <w:highlight w:val="none"/>
          <w:lang w:eastAsia="zh-CN"/>
        </w:rPr>
        <w:t>部门</w:t>
      </w:r>
      <w:r>
        <w:rPr>
          <w:rFonts w:hint="eastAsia" w:ascii="仿宋_GB2312" w:hAnsi="宋体" w:eastAsia="仿宋_GB2312"/>
          <w:kern w:val="0"/>
          <w:sz w:val="24"/>
          <w:highlight w:val="none"/>
        </w:rPr>
        <w:t>： 昌吉州妇幼保健计划生育服务中心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highlight w:val="none"/>
              </w:rPr>
            </w:pPr>
            <w:r>
              <w:rPr>
                <w:rFonts w:hint="eastAsia" w:ascii="仿宋_GB2312" w:hAnsi="宋体" w:eastAsia="仿宋_GB2312" w:cs="宋体"/>
                <w:b/>
                <w:bCs/>
                <w:kern w:val="0"/>
                <w:sz w:val="18"/>
                <w:szCs w:val="18"/>
                <w:highlight w:val="none"/>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highlight w:val="none"/>
              </w:rPr>
            </w:pPr>
            <w:r>
              <w:rPr>
                <w:rFonts w:hint="eastAsia" w:ascii="仿宋_GB2312" w:hAnsi="宋体" w:eastAsia="仿宋_GB2312" w:cs="宋体"/>
                <w:b/>
                <w:bCs/>
                <w:kern w:val="0"/>
                <w:sz w:val="18"/>
                <w:szCs w:val="18"/>
                <w:highlight w:val="none"/>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highlight w:val="none"/>
              </w:rPr>
            </w:pPr>
            <w:r>
              <w:rPr>
                <w:rFonts w:hint="eastAsia" w:ascii="仿宋_GB2312" w:hAnsi="宋体" w:eastAsia="仿宋_GB2312" w:cs="宋体"/>
                <w:b/>
                <w:kern w:val="0"/>
                <w:sz w:val="18"/>
                <w:szCs w:val="18"/>
                <w:highlight w:val="none"/>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463.69</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463.69</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highlight w:val="none"/>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41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Calibri" w:hAnsi="Calibri" w:eastAsia="宋体" w:cs="Calibri"/>
                <w:i w:val="0"/>
                <w:color w:val="000000"/>
                <w:kern w:val="2"/>
                <w:sz w:val="20"/>
                <w:szCs w:val="20"/>
                <w:highlight w:val="none"/>
                <w:u w:val="none"/>
                <w:lang w:val="en-US" w:eastAsia="zh-CN" w:bidi="ar-SA"/>
              </w:rPr>
            </w:pPr>
            <w:r>
              <w:rPr>
                <w:rFonts w:hint="default" w:ascii="Calibri" w:hAnsi="Calibri" w:eastAsia="宋体" w:cs="Calibri"/>
                <w:i w:val="0"/>
                <w:color w:val="000000"/>
                <w:kern w:val="0"/>
                <w:sz w:val="20"/>
                <w:szCs w:val="20"/>
                <w:highlight w:val="none"/>
                <w:u w:val="none"/>
                <w:lang w:val="en-US" w:eastAsia="zh-CN" w:bidi="ar"/>
              </w:rPr>
              <w:t>15</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559"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44.52</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559"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395.70</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559"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center"/>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highlight w:val="none"/>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highlight w:val="none"/>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 w:hAnsi="仿宋" w:eastAsia="仿宋" w:cs="仿宋"/>
                <w:kern w:val="0"/>
                <w:sz w:val="18"/>
                <w:szCs w:val="18"/>
                <w:highlight w:val="none"/>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478.69</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支  出  总  计</w:t>
            </w:r>
          </w:p>
        </w:tc>
        <w:tc>
          <w:tcPr>
            <w:tcW w:w="1559" w:type="dxa"/>
            <w:tcBorders>
              <w:top w:val="nil"/>
              <w:left w:val="single" w:color="auto" w:sz="4" w:space="0"/>
              <w:bottom w:val="single" w:color="auto" w:sz="4" w:space="0"/>
              <w:right w:val="single" w:color="auto" w:sz="4" w:space="0"/>
            </w:tcBorders>
            <w:noWrap/>
            <w:vAlign w:val="top"/>
          </w:tcPr>
          <w:p>
            <w:pPr>
              <w:keepNext w:val="0"/>
              <w:keepLines w:val="0"/>
              <w:widowControl/>
              <w:suppressLineNumbers w:val="0"/>
              <w:jc w:val="center"/>
              <w:textAlignment w:val="top"/>
              <w:rPr>
                <w:rFonts w:hint="default"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2"/>
                <w:sz w:val="18"/>
                <w:szCs w:val="18"/>
                <w:highlight w:val="none"/>
                <w:u w:val="none"/>
                <w:lang w:val="en-US" w:eastAsia="zh-CN" w:bidi="ar-SA"/>
              </w:rPr>
              <w:t>478.69</w:t>
            </w: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 xml:space="preserve">2                         </w:t>
      </w:r>
      <w:r>
        <w:rPr>
          <w:rFonts w:hint="eastAsia" w:ascii="仿宋_GB2312" w:hAnsi="宋体" w:eastAsia="仿宋_GB2312"/>
          <w:b/>
          <w:kern w:val="0"/>
          <w:sz w:val="32"/>
          <w:szCs w:val="32"/>
          <w:highlight w:val="none"/>
          <w:lang w:eastAsia="zh-CN"/>
        </w:rPr>
        <w:t>部门</w:t>
      </w:r>
      <w:r>
        <w:rPr>
          <w:rFonts w:hint="eastAsia" w:ascii="仿宋_GB2312" w:hAnsi="宋体" w:eastAsia="仿宋_GB2312"/>
          <w:b/>
          <w:kern w:val="0"/>
          <w:sz w:val="32"/>
          <w:szCs w:val="32"/>
          <w:highlight w:val="none"/>
        </w:rPr>
        <w:t>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w:t>
      </w:r>
      <w:r>
        <w:rPr>
          <w:rFonts w:hint="eastAsia" w:ascii="仿宋_GB2312" w:hAnsi="宋体" w:eastAsia="仿宋_GB2312"/>
          <w:kern w:val="0"/>
          <w:sz w:val="24"/>
          <w:highlight w:val="none"/>
          <w:lang w:eastAsia="zh-CN"/>
        </w:rPr>
        <w:t>部门</w:t>
      </w:r>
      <w:r>
        <w:rPr>
          <w:rFonts w:hint="eastAsia" w:ascii="仿宋_GB2312" w:hAnsi="宋体" w:eastAsia="仿宋_GB2312"/>
          <w:kern w:val="0"/>
          <w:sz w:val="24"/>
          <w:highlight w:val="none"/>
        </w:rPr>
        <w:t>：昌吉州妇幼保健计划生育服务中心                 单位：万元</w:t>
      </w:r>
    </w:p>
    <w:tbl>
      <w:tblPr>
        <w:tblStyle w:val="6"/>
        <w:tblW w:w="10135" w:type="dxa"/>
        <w:tblInd w:w="-450" w:type="dxa"/>
        <w:tblLayout w:type="fixed"/>
        <w:tblCellMar>
          <w:top w:w="0" w:type="dxa"/>
          <w:left w:w="108" w:type="dxa"/>
          <w:bottom w:w="0" w:type="dxa"/>
          <w:right w:w="108" w:type="dxa"/>
        </w:tblCellMar>
      </w:tblPr>
      <w:tblGrid>
        <w:gridCol w:w="581"/>
        <w:gridCol w:w="442"/>
        <w:gridCol w:w="592"/>
        <w:gridCol w:w="1921"/>
        <w:gridCol w:w="1059"/>
        <w:gridCol w:w="884"/>
        <w:gridCol w:w="737"/>
        <w:gridCol w:w="826"/>
        <w:gridCol w:w="959"/>
        <w:gridCol w:w="686"/>
        <w:gridCol w:w="736"/>
        <w:gridCol w:w="712"/>
      </w:tblGrid>
      <w:tr>
        <w:tblPrEx>
          <w:tblCellMar>
            <w:top w:w="0" w:type="dxa"/>
            <w:left w:w="108" w:type="dxa"/>
            <w:bottom w:w="0" w:type="dxa"/>
            <w:right w:w="108" w:type="dxa"/>
          </w:tblCellMar>
        </w:tblPrEx>
        <w:trPr>
          <w:trHeight w:val="587" w:hRule="atLeast"/>
        </w:trPr>
        <w:tc>
          <w:tcPr>
            <w:tcW w:w="161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功能分类科目编码</w:t>
            </w:r>
          </w:p>
        </w:tc>
        <w:tc>
          <w:tcPr>
            <w:tcW w:w="1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功能分类科目名称</w:t>
            </w:r>
          </w:p>
        </w:tc>
        <w:tc>
          <w:tcPr>
            <w:tcW w:w="105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总  计</w:t>
            </w:r>
          </w:p>
        </w:tc>
        <w:tc>
          <w:tcPr>
            <w:tcW w:w="8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一般公共预算拨款</w:t>
            </w:r>
          </w:p>
        </w:tc>
        <w:tc>
          <w:tcPr>
            <w:tcW w:w="73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政府性基金预算拨款</w:t>
            </w:r>
          </w:p>
        </w:tc>
        <w:tc>
          <w:tcPr>
            <w:tcW w:w="8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国有资本经营预算</w:t>
            </w:r>
          </w:p>
        </w:tc>
        <w:tc>
          <w:tcPr>
            <w:tcW w:w="95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财政专户（教育收费）</w:t>
            </w:r>
          </w:p>
        </w:tc>
        <w:tc>
          <w:tcPr>
            <w:tcW w:w="68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事业收入</w:t>
            </w:r>
          </w:p>
        </w:tc>
        <w:tc>
          <w:tcPr>
            <w:tcW w:w="7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事业单位经营收入</w:t>
            </w:r>
          </w:p>
        </w:tc>
        <w:tc>
          <w:tcPr>
            <w:tcW w:w="71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单位其他资金收入</w:t>
            </w:r>
          </w:p>
        </w:tc>
      </w:tr>
      <w:tr>
        <w:tblPrEx>
          <w:tblCellMar>
            <w:top w:w="0" w:type="dxa"/>
            <w:left w:w="108" w:type="dxa"/>
            <w:bottom w:w="0" w:type="dxa"/>
            <w:right w:w="108" w:type="dxa"/>
          </w:tblCellMar>
        </w:tblPrEx>
        <w:trPr>
          <w:trHeight w:val="2135" w:hRule="atLeast"/>
        </w:trPr>
        <w:tc>
          <w:tcPr>
            <w:tcW w:w="58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类</w:t>
            </w:r>
          </w:p>
        </w:tc>
        <w:tc>
          <w:tcPr>
            <w:tcW w:w="44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款</w:t>
            </w:r>
          </w:p>
        </w:tc>
        <w:tc>
          <w:tcPr>
            <w:tcW w:w="5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项</w:t>
            </w:r>
          </w:p>
        </w:tc>
        <w:tc>
          <w:tcPr>
            <w:tcW w:w="1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105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8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7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82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95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6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7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c>
          <w:tcPr>
            <w:tcW w:w="71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624" w:hRule="atLeast"/>
        </w:trPr>
        <w:tc>
          <w:tcPr>
            <w:tcW w:w="581" w:type="dxa"/>
            <w:tcBorders>
              <w:top w:val="nil"/>
              <w:left w:val="single" w:color="auto" w:sz="4" w:space="0"/>
              <w:bottom w:val="single" w:color="auto" w:sz="4" w:space="0"/>
              <w:right w:val="single" w:color="auto" w:sz="4" w:space="0"/>
            </w:tcBorders>
            <w:shd w:val="clear" w:color="auto" w:fill="auto"/>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42" w:type="dxa"/>
            <w:tcBorders>
              <w:top w:val="nil"/>
              <w:left w:val="nil"/>
              <w:bottom w:val="single" w:color="auto" w:sz="4" w:space="0"/>
              <w:right w:val="single" w:color="auto" w:sz="4" w:space="0"/>
            </w:tcBorders>
            <w:shd w:val="clear" w:color="auto" w:fill="auto"/>
            <w:vAlign w:val="center"/>
          </w:tcPr>
          <w:p>
            <w:pPr>
              <w:widowControl/>
              <w:jc w:val="both"/>
              <w:textAlignment w:val="center"/>
              <w:rPr>
                <w:rFonts w:hint="eastAsia" w:ascii="仿宋" w:hAnsi="仿宋" w:eastAsia="仿宋" w:cs="仿宋"/>
                <w:color w:val="000000"/>
                <w:sz w:val="18"/>
                <w:szCs w:val="18"/>
                <w:highlight w:val="none"/>
              </w:rPr>
            </w:pPr>
          </w:p>
        </w:tc>
        <w:tc>
          <w:tcPr>
            <w:tcW w:w="592" w:type="dxa"/>
            <w:tcBorders>
              <w:top w:val="nil"/>
              <w:left w:val="nil"/>
              <w:bottom w:val="single" w:color="auto" w:sz="4" w:space="0"/>
              <w:right w:val="single" w:color="auto" w:sz="4" w:space="0"/>
            </w:tcBorders>
            <w:shd w:val="clear" w:color="auto" w:fill="auto"/>
            <w:vAlign w:val="center"/>
          </w:tcPr>
          <w:p>
            <w:pPr>
              <w:widowControl/>
              <w:jc w:val="both"/>
              <w:textAlignment w:val="center"/>
              <w:rPr>
                <w:rFonts w:hint="eastAsia" w:ascii="仿宋" w:hAnsi="仿宋" w:eastAsia="仿宋" w:cs="仿宋"/>
                <w:color w:val="000000"/>
                <w:sz w:val="18"/>
                <w:szCs w:val="18"/>
                <w:highlight w:val="none"/>
              </w:rPr>
            </w:pPr>
          </w:p>
        </w:tc>
        <w:tc>
          <w:tcPr>
            <w:tcW w:w="192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社会保障和就业支出</w:t>
            </w:r>
          </w:p>
        </w:tc>
        <w:tc>
          <w:tcPr>
            <w:tcW w:w="1059" w:type="dxa"/>
            <w:tcBorders>
              <w:top w:val="nil"/>
              <w:left w:val="nil"/>
              <w:bottom w:val="single" w:color="auto" w:sz="4" w:space="0"/>
              <w:right w:val="single" w:color="auto" w:sz="4" w:space="0"/>
            </w:tcBorders>
            <w:shd w:val="clear" w:color="000000" w:fill="FFFFFF"/>
            <w:noWrap/>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44.52</w:t>
            </w:r>
          </w:p>
        </w:tc>
        <w:tc>
          <w:tcPr>
            <w:tcW w:w="884" w:type="dxa"/>
            <w:tcBorders>
              <w:top w:val="nil"/>
              <w:left w:val="nil"/>
              <w:bottom w:val="single" w:color="auto" w:sz="4" w:space="0"/>
              <w:right w:val="single" w:color="auto" w:sz="4" w:space="0"/>
            </w:tcBorders>
            <w:shd w:val="clear" w:color="000000" w:fill="FFFFFF"/>
            <w:noWrap/>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44.52</w:t>
            </w:r>
          </w:p>
        </w:tc>
        <w:tc>
          <w:tcPr>
            <w:tcW w:w="737" w:type="dxa"/>
            <w:tcBorders>
              <w:top w:val="nil"/>
              <w:left w:val="nil"/>
              <w:bottom w:val="single" w:color="auto" w:sz="4" w:space="0"/>
              <w:right w:val="single" w:color="auto" w:sz="4" w:space="0"/>
            </w:tcBorders>
            <w:shd w:val="clear" w:color="000000" w:fill="FFFFFF"/>
            <w:noWrap/>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shd w:val="clear" w:color="000000" w:fill="FFFFFF"/>
            <w:noWrap/>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shd w:val="clear" w:color="000000" w:fill="FFFFFF"/>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shd w:val="clear" w:color="000000" w:fill="FFFFFF"/>
            <w:noWrap/>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shd w:val="clear" w:color="000000" w:fill="FFFFFF"/>
            <w:noWrap/>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shd w:val="clear" w:color="000000" w:fill="FFFFFF"/>
            <w:noWrap/>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624"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val="en-US" w:eastAsia="zh-CN" w:bidi="ar"/>
              </w:rPr>
              <w:t>208</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val="en-US" w:eastAsia="zh-CN" w:bidi="ar"/>
              </w:rPr>
              <w:t>05</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行政事业单位养老支出</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44.52</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44.52</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22"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val="en-US" w:eastAsia="zh-CN" w:bidi="ar"/>
              </w:rPr>
              <w:t>208</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val="en-US" w:eastAsia="zh-CN" w:bidi="ar"/>
              </w:rPr>
              <w:t>05</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val="en-US" w:eastAsia="zh-CN" w:bidi="ar"/>
              </w:rPr>
              <w:t>02</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事业单位离退休</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1.00</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1.00</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bidi="ar"/>
              </w:rPr>
              <w:t>208</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bidi="ar"/>
              </w:rPr>
              <w:t>05</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bidi="ar"/>
              </w:rPr>
              <w:t>05</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机关事业单位基本养老保险缴费支出</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43.52</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43.52</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kern w:val="0"/>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bidi="ar"/>
              </w:rPr>
              <w:t>210</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kern w:val="0"/>
                <w:sz w:val="18"/>
                <w:szCs w:val="18"/>
                <w:highlight w:val="none"/>
                <w:lang w:val="en-US" w:eastAsia="zh-CN" w:bidi="ar-SA"/>
              </w:rPr>
            </w:pP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kern w:val="0"/>
                <w:sz w:val="18"/>
                <w:szCs w:val="18"/>
                <w:highlight w:val="none"/>
                <w:lang w:val="en-US" w:eastAsia="zh-CN" w:bidi="ar-SA"/>
              </w:rPr>
            </w:pP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卫生健康支出</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395.70</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380.70</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15.00</w:t>
            </w: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widowControl/>
              <w:jc w:val="both"/>
              <w:outlineLvl w:val="1"/>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rPr>
              <w:t>210</w:t>
            </w:r>
          </w:p>
        </w:tc>
        <w:tc>
          <w:tcPr>
            <w:tcW w:w="442" w:type="dxa"/>
            <w:tcBorders>
              <w:top w:val="nil"/>
              <w:left w:val="nil"/>
              <w:bottom w:val="single" w:color="auto" w:sz="4" w:space="0"/>
              <w:right w:val="single" w:color="auto" w:sz="4" w:space="0"/>
            </w:tcBorders>
            <w:vAlign w:val="center"/>
          </w:tcPr>
          <w:p>
            <w:pPr>
              <w:widowControl/>
              <w:jc w:val="both"/>
              <w:outlineLvl w:val="1"/>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rPr>
              <w:t>07</w:t>
            </w:r>
          </w:p>
        </w:tc>
        <w:tc>
          <w:tcPr>
            <w:tcW w:w="592" w:type="dxa"/>
            <w:tcBorders>
              <w:top w:val="nil"/>
              <w:left w:val="nil"/>
              <w:bottom w:val="single" w:color="auto" w:sz="4" w:space="0"/>
              <w:right w:val="single" w:color="auto" w:sz="4" w:space="0"/>
            </w:tcBorders>
            <w:vAlign w:val="center"/>
          </w:tcPr>
          <w:p>
            <w:pPr>
              <w:widowControl/>
              <w:jc w:val="both"/>
              <w:outlineLvl w:val="1"/>
              <w:rPr>
                <w:rFonts w:hint="eastAsia" w:ascii="仿宋" w:hAnsi="仿宋" w:eastAsia="仿宋" w:cs="仿宋"/>
                <w:kern w:val="0"/>
                <w:sz w:val="18"/>
                <w:szCs w:val="18"/>
                <w:highlight w:val="none"/>
                <w:lang w:val="en-US" w:eastAsia="zh-CN" w:bidi="ar-SA"/>
              </w:rPr>
            </w:pP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计划生育事务</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361.48</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346.48</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15.00</w:t>
            </w: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624" w:hRule="atLeast"/>
        </w:trPr>
        <w:tc>
          <w:tcPr>
            <w:tcW w:w="581" w:type="dxa"/>
            <w:tcBorders>
              <w:top w:val="nil"/>
              <w:left w:val="single" w:color="auto" w:sz="4" w:space="0"/>
              <w:bottom w:val="single" w:color="auto" w:sz="4" w:space="0"/>
              <w:right w:val="single" w:color="auto" w:sz="4" w:space="0"/>
            </w:tcBorders>
            <w:vAlign w:val="center"/>
          </w:tcPr>
          <w:p>
            <w:pPr>
              <w:widowControl/>
              <w:jc w:val="both"/>
              <w:outlineLvl w:val="1"/>
              <w:rPr>
                <w:rFonts w:hint="eastAsia" w:ascii="仿宋" w:hAnsi="仿宋" w:eastAsia="仿宋" w:cs="仿宋"/>
                <w:color w:val="000000"/>
                <w:sz w:val="18"/>
                <w:szCs w:val="18"/>
                <w:highlight w:val="none"/>
                <w:lang w:val="en-US" w:eastAsia="zh-CN"/>
              </w:rPr>
            </w:pPr>
            <w:r>
              <w:rPr>
                <w:rFonts w:hint="eastAsia" w:ascii="仿宋" w:hAnsi="仿宋" w:eastAsia="仿宋" w:cs="仿宋"/>
                <w:kern w:val="0"/>
                <w:sz w:val="18"/>
                <w:szCs w:val="18"/>
                <w:highlight w:val="none"/>
              </w:rPr>
              <w:t>210</w:t>
            </w:r>
          </w:p>
        </w:tc>
        <w:tc>
          <w:tcPr>
            <w:tcW w:w="442" w:type="dxa"/>
            <w:tcBorders>
              <w:top w:val="nil"/>
              <w:left w:val="nil"/>
              <w:bottom w:val="single" w:color="auto" w:sz="4" w:space="0"/>
              <w:right w:val="single" w:color="auto" w:sz="4" w:space="0"/>
            </w:tcBorders>
            <w:vAlign w:val="center"/>
          </w:tcPr>
          <w:p>
            <w:pPr>
              <w:widowControl/>
              <w:jc w:val="both"/>
              <w:outlineLvl w:val="1"/>
              <w:rPr>
                <w:rFonts w:hint="eastAsia" w:ascii="仿宋" w:hAnsi="仿宋" w:eastAsia="仿宋" w:cs="仿宋"/>
                <w:color w:val="000000"/>
                <w:sz w:val="18"/>
                <w:szCs w:val="18"/>
                <w:highlight w:val="none"/>
                <w:lang w:val="en-US" w:eastAsia="zh-CN"/>
              </w:rPr>
            </w:pPr>
            <w:r>
              <w:rPr>
                <w:rFonts w:hint="eastAsia" w:ascii="仿宋" w:hAnsi="仿宋" w:eastAsia="仿宋" w:cs="仿宋"/>
                <w:kern w:val="0"/>
                <w:sz w:val="18"/>
                <w:szCs w:val="18"/>
                <w:highlight w:val="none"/>
              </w:rPr>
              <w:t>0</w:t>
            </w:r>
            <w:r>
              <w:rPr>
                <w:rFonts w:hint="eastAsia" w:ascii="仿宋" w:hAnsi="仿宋" w:eastAsia="仿宋" w:cs="仿宋"/>
                <w:kern w:val="0"/>
                <w:sz w:val="18"/>
                <w:szCs w:val="18"/>
                <w:highlight w:val="none"/>
                <w:lang w:val="en-US" w:eastAsia="zh-CN"/>
              </w:rPr>
              <w:t>7</w:t>
            </w:r>
          </w:p>
        </w:tc>
        <w:tc>
          <w:tcPr>
            <w:tcW w:w="592" w:type="dxa"/>
            <w:tcBorders>
              <w:top w:val="nil"/>
              <w:left w:val="nil"/>
              <w:bottom w:val="single" w:color="auto" w:sz="4" w:space="0"/>
              <w:right w:val="single" w:color="auto" w:sz="4" w:space="0"/>
            </w:tcBorders>
            <w:vAlign w:val="center"/>
          </w:tcPr>
          <w:p>
            <w:pPr>
              <w:widowControl/>
              <w:jc w:val="both"/>
              <w:outlineLvl w:val="1"/>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16</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计划生育机构</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361.48</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346.48</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15.00</w:t>
            </w: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11</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行政事业单位医疗</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34.22</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34.22</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bidi="ar"/>
              </w:rPr>
              <w:t>11</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2"/>
                <w:sz w:val="18"/>
                <w:szCs w:val="18"/>
                <w:highlight w:val="none"/>
                <w:lang w:val="en-US" w:eastAsia="zh-CN" w:bidi="ar-SA"/>
              </w:rPr>
              <w:t>02</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事业单位医疗</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25.84</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25.84</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624"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210</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11</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03</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公务员医疗补助</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8.16</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8.16</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210</w:t>
            </w:r>
          </w:p>
        </w:tc>
        <w:tc>
          <w:tcPr>
            <w:tcW w:w="44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11</w:t>
            </w:r>
          </w:p>
        </w:tc>
        <w:tc>
          <w:tcPr>
            <w:tcW w:w="592" w:type="dxa"/>
            <w:tcBorders>
              <w:top w:val="nil"/>
              <w:left w:val="nil"/>
              <w:bottom w:val="single" w:color="auto" w:sz="4" w:space="0"/>
              <w:right w:val="single" w:color="auto" w:sz="4" w:space="0"/>
            </w:tcBorders>
            <w:vAlign w:val="center"/>
          </w:tcPr>
          <w:p>
            <w:pPr>
              <w:widowControl/>
              <w:jc w:val="both"/>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99</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其他行政事业单位医疗支出</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0.22</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0.22</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221</w:t>
            </w:r>
          </w:p>
        </w:tc>
        <w:tc>
          <w:tcPr>
            <w:tcW w:w="44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p>
        </w:tc>
        <w:tc>
          <w:tcPr>
            <w:tcW w:w="5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住房保障支出</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221</w:t>
            </w:r>
          </w:p>
        </w:tc>
        <w:tc>
          <w:tcPr>
            <w:tcW w:w="44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02</w:t>
            </w:r>
          </w:p>
        </w:tc>
        <w:tc>
          <w:tcPr>
            <w:tcW w:w="5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住房改革支出</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36" w:hRule="atLeast"/>
        </w:trPr>
        <w:tc>
          <w:tcPr>
            <w:tcW w:w="581"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221</w:t>
            </w:r>
          </w:p>
        </w:tc>
        <w:tc>
          <w:tcPr>
            <w:tcW w:w="44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02</w:t>
            </w:r>
          </w:p>
        </w:tc>
        <w:tc>
          <w:tcPr>
            <w:tcW w:w="5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color w:val="000000"/>
                <w:sz w:val="18"/>
                <w:szCs w:val="18"/>
                <w:highlight w:val="none"/>
                <w:lang w:val="en-US" w:eastAsia="zh-CN"/>
              </w:rPr>
              <w:t>01</w:t>
            </w:r>
          </w:p>
        </w:tc>
        <w:tc>
          <w:tcPr>
            <w:tcW w:w="192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住房公积金</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trHeight w:val="547" w:hRule="atLeast"/>
        </w:trPr>
        <w:tc>
          <w:tcPr>
            <w:tcW w:w="581"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p>
        </w:tc>
        <w:tc>
          <w:tcPr>
            <w:tcW w:w="44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p>
        </w:tc>
        <w:tc>
          <w:tcPr>
            <w:tcW w:w="5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p>
        </w:tc>
        <w:tc>
          <w:tcPr>
            <w:tcW w:w="192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18"/>
                <w:szCs w:val="18"/>
                <w:highlight w:val="none"/>
              </w:rPr>
            </w:pPr>
            <w:r>
              <w:rPr>
                <w:rFonts w:hint="eastAsia" w:ascii="仿宋" w:hAnsi="仿宋" w:eastAsia="仿宋" w:cs="仿宋"/>
                <w:b/>
                <w:bCs/>
                <w:color w:val="000000"/>
                <w:sz w:val="18"/>
                <w:szCs w:val="18"/>
                <w:highlight w:val="none"/>
              </w:rPr>
              <w:t>合  计</w:t>
            </w:r>
          </w:p>
        </w:tc>
        <w:tc>
          <w:tcPr>
            <w:tcW w:w="1059"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478.69</w:t>
            </w:r>
          </w:p>
        </w:tc>
        <w:tc>
          <w:tcPr>
            <w:tcW w:w="884"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463.69</w:t>
            </w:r>
          </w:p>
        </w:tc>
        <w:tc>
          <w:tcPr>
            <w:tcW w:w="737"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82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95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686" w:type="dxa"/>
            <w:tcBorders>
              <w:top w:val="nil"/>
              <w:left w:val="nil"/>
              <w:bottom w:val="single" w:color="auto" w:sz="4" w:space="0"/>
              <w:right w:val="single" w:color="auto" w:sz="4" w:space="0"/>
            </w:tcBorders>
            <w:vAlign w:val="center"/>
          </w:tcPr>
          <w:p>
            <w:pPr>
              <w:jc w:val="both"/>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15.00</w:t>
            </w:r>
          </w:p>
        </w:tc>
        <w:tc>
          <w:tcPr>
            <w:tcW w:w="736"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c>
          <w:tcPr>
            <w:tcW w:w="71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18"/>
                <w:szCs w:val="18"/>
                <w:highlight w:val="none"/>
              </w:rPr>
            </w:pP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440" w:lineRule="exact"/>
        <w:outlineLvl w:val="1"/>
        <w:rPr>
          <w:rFonts w:hint="default" w:ascii="仿宋_GB2312" w:hAnsi="宋体" w:eastAsia="仿宋_GB2312"/>
          <w:b w:val="0"/>
          <w:bCs/>
          <w:kern w:val="0"/>
          <w:sz w:val="21"/>
          <w:szCs w:val="21"/>
          <w:highlight w:val="none"/>
          <w:lang w:val="en-US" w:eastAsia="zh-CN"/>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3</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lang w:eastAsia="zh-CN"/>
        </w:rPr>
        <w:t>部门</w:t>
      </w:r>
      <w:r>
        <w:rPr>
          <w:rFonts w:hint="eastAsia" w:ascii="仿宋_GB2312" w:hAnsi="宋体" w:eastAsia="仿宋_GB2312"/>
          <w:b/>
          <w:kern w:val="0"/>
          <w:sz w:val="32"/>
          <w:szCs w:val="32"/>
          <w:highlight w:val="none"/>
        </w:rPr>
        <w:t>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w:t>
      </w:r>
      <w:r>
        <w:rPr>
          <w:rFonts w:hint="eastAsia" w:ascii="仿宋_GB2312" w:hAnsi="宋体" w:eastAsia="仿宋_GB2312"/>
          <w:kern w:val="0"/>
          <w:sz w:val="24"/>
          <w:highlight w:val="none"/>
          <w:lang w:eastAsia="zh-CN"/>
        </w:rPr>
        <w:t>部门</w:t>
      </w:r>
      <w:r>
        <w:rPr>
          <w:rFonts w:hint="eastAsia" w:ascii="仿宋_GB2312" w:hAnsi="宋体" w:eastAsia="仿宋_GB2312"/>
          <w:kern w:val="0"/>
          <w:sz w:val="24"/>
          <w:highlight w:val="none"/>
        </w:rPr>
        <w:t>：昌吉州妇幼保健计划生育服务中心                 单位：万元</w:t>
      </w:r>
    </w:p>
    <w:tbl>
      <w:tblPr>
        <w:tblStyle w:val="6"/>
        <w:tblW w:w="9839" w:type="dxa"/>
        <w:tblInd w:w="-439" w:type="dxa"/>
        <w:tblLayout w:type="fixed"/>
        <w:tblCellMar>
          <w:top w:w="0" w:type="dxa"/>
          <w:left w:w="108" w:type="dxa"/>
          <w:bottom w:w="0" w:type="dxa"/>
          <w:right w:w="108" w:type="dxa"/>
        </w:tblCellMar>
      </w:tblPr>
      <w:tblGrid>
        <w:gridCol w:w="521"/>
        <w:gridCol w:w="429"/>
        <w:gridCol w:w="482"/>
        <w:gridCol w:w="2663"/>
        <w:gridCol w:w="1897"/>
        <w:gridCol w:w="1898"/>
        <w:gridCol w:w="1949"/>
      </w:tblGrid>
      <w:tr>
        <w:tblPrEx>
          <w:tblCellMar>
            <w:top w:w="0" w:type="dxa"/>
            <w:left w:w="108" w:type="dxa"/>
            <w:bottom w:w="0" w:type="dxa"/>
            <w:right w:w="108" w:type="dxa"/>
          </w:tblCellMar>
        </w:tblPrEx>
        <w:trPr>
          <w:trHeight w:val="360" w:hRule="atLeast"/>
        </w:trPr>
        <w:tc>
          <w:tcPr>
            <w:tcW w:w="409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项    目</w:t>
            </w:r>
          </w:p>
        </w:tc>
        <w:tc>
          <w:tcPr>
            <w:tcW w:w="574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支出预算</w:t>
            </w:r>
          </w:p>
        </w:tc>
      </w:tr>
      <w:tr>
        <w:tblPrEx>
          <w:tblCellMar>
            <w:top w:w="0" w:type="dxa"/>
            <w:left w:w="108" w:type="dxa"/>
            <w:bottom w:w="0" w:type="dxa"/>
            <w:right w:w="108" w:type="dxa"/>
          </w:tblCellMar>
        </w:tblPrEx>
        <w:trPr>
          <w:trHeight w:val="695" w:hRule="atLeast"/>
        </w:trPr>
        <w:tc>
          <w:tcPr>
            <w:tcW w:w="1432"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66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功能分类科目名称</w:t>
            </w:r>
          </w:p>
        </w:tc>
        <w:tc>
          <w:tcPr>
            <w:tcW w:w="189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合  计</w:t>
            </w:r>
          </w:p>
        </w:tc>
        <w:tc>
          <w:tcPr>
            <w:tcW w:w="189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基本支出</w:t>
            </w:r>
          </w:p>
        </w:tc>
        <w:tc>
          <w:tcPr>
            <w:tcW w:w="194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项目支出</w:t>
            </w:r>
          </w:p>
        </w:tc>
      </w:tr>
      <w:tr>
        <w:tblPrEx>
          <w:tblCellMar>
            <w:top w:w="0" w:type="dxa"/>
            <w:left w:w="108" w:type="dxa"/>
            <w:bottom w:w="0" w:type="dxa"/>
            <w:right w:w="108" w:type="dxa"/>
          </w:tblCellMar>
        </w:tblPrEx>
        <w:trPr>
          <w:trHeight w:val="437"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类</w:t>
            </w:r>
          </w:p>
        </w:tc>
        <w:tc>
          <w:tcPr>
            <w:tcW w:w="4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款</w:t>
            </w:r>
          </w:p>
        </w:tc>
        <w:tc>
          <w:tcPr>
            <w:tcW w:w="4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项</w:t>
            </w:r>
          </w:p>
        </w:tc>
        <w:tc>
          <w:tcPr>
            <w:tcW w:w="266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highlight w:val="none"/>
              </w:rPr>
            </w:pPr>
          </w:p>
        </w:tc>
        <w:tc>
          <w:tcPr>
            <w:tcW w:w="189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highlight w:val="none"/>
              </w:rPr>
            </w:pPr>
          </w:p>
        </w:tc>
        <w:tc>
          <w:tcPr>
            <w:tcW w:w="189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highlight w:val="none"/>
              </w:rPr>
            </w:pPr>
          </w:p>
        </w:tc>
        <w:tc>
          <w:tcPr>
            <w:tcW w:w="194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社会保障和就业支出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44.52</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2"/>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44.52</w:t>
            </w:r>
          </w:p>
        </w:tc>
        <w:tc>
          <w:tcPr>
            <w:tcW w:w="194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05</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行政事业单位养老支出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44.52</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44.52</w:t>
            </w:r>
          </w:p>
        </w:tc>
        <w:tc>
          <w:tcPr>
            <w:tcW w:w="194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05</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02</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事业单位离退休</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1.00</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1.00</w:t>
            </w:r>
          </w:p>
        </w:tc>
        <w:tc>
          <w:tcPr>
            <w:tcW w:w="194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718"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208</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05</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05</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机关事业单位基本养老保险缴费支出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43.52</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43.52</w:t>
            </w:r>
          </w:p>
        </w:tc>
        <w:tc>
          <w:tcPr>
            <w:tcW w:w="194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卫生健康支出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395.70</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370.70</w:t>
            </w:r>
          </w:p>
        </w:tc>
        <w:tc>
          <w:tcPr>
            <w:tcW w:w="194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25.00</w:t>
            </w:r>
          </w:p>
        </w:tc>
      </w:tr>
      <w:tr>
        <w:tblPrEx>
          <w:tblCellMar>
            <w:top w:w="0" w:type="dxa"/>
            <w:left w:w="108" w:type="dxa"/>
            <w:bottom w:w="0" w:type="dxa"/>
            <w:right w:w="108" w:type="dxa"/>
          </w:tblCellMar>
        </w:tblPrEx>
        <w:trPr>
          <w:trHeight w:val="572" w:hRule="atLeast"/>
        </w:trPr>
        <w:tc>
          <w:tcPr>
            <w:tcW w:w="521"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highlight w:val="none"/>
              </w:rPr>
            </w:pPr>
            <w:r>
              <w:rPr>
                <w:rFonts w:hint="eastAsia" w:ascii="仿宋" w:hAnsi="仿宋" w:eastAsia="仿宋" w:cs="仿宋"/>
                <w:kern w:val="0"/>
                <w:sz w:val="18"/>
                <w:szCs w:val="18"/>
                <w:highlight w:val="none"/>
                <w:lang w:val="en-US" w:eastAsia="zh-CN"/>
              </w:rPr>
              <w:t>210</w:t>
            </w:r>
          </w:p>
        </w:tc>
        <w:tc>
          <w:tcPr>
            <w:tcW w:w="42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highlight w:val="none"/>
              </w:rPr>
            </w:pPr>
            <w:r>
              <w:rPr>
                <w:rFonts w:hint="eastAsia" w:ascii="仿宋" w:hAnsi="仿宋" w:eastAsia="仿宋" w:cs="仿宋"/>
                <w:kern w:val="0"/>
                <w:sz w:val="18"/>
                <w:szCs w:val="18"/>
                <w:highlight w:val="none"/>
                <w:lang w:val="en-US" w:eastAsia="zh-CN"/>
              </w:rPr>
              <w:t>07</w:t>
            </w:r>
          </w:p>
        </w:tc>
        <w:tc>
          <w:tcPr>
            <w:tcW w:w="482"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计划生育事务</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361.48</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336.48</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25.00</w:t>
            </w: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highlight w:val="none"/>
              </w:rPr>
            </w:pPr>
            <w:r>
              <w:rPr>
                <w:rFonts w:hint="eastAsia" w:ascii="仿宋" w:hAnsi="仿宋" w:eastAsia="仿宋" w:cs="仿宋"/>
                <w:kern w:val="0"/>
                <w:sz w:val="18"/>
                <w:szCs w:val="18"/>
                <w:highlight w:val="none"/>
              </w:rPr>
              <w:t>210</w:t>
            </w:r>
          </w:p>
        </w:tc>
        <w:tc>
          <w:tcPr>
            <w:tcW w:w="429"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highlight w:val="none"/>
              </w:rPr>
            </w:pPr>
            <w:r>
              <w:rPr>
                <w:rFonts w:hint="eastAsia" w:ascii="仿宋" w:hAnsi="仿宋" w:eastAsia="仿宋" w:cs="仿宋"/>
                <w:kern w:val="0"/>
                <w:sz w:val="18"/>
                <w:szCs w:val="18"/>
                <w:highlight w:val="none"/>
              </w:rPr>
              <w:t>0</w:t>
            </w:r>
            <w:r>
              <w:rPr>
                <w:rFonts w:hint="eastAsia" w:ascii="仿宋" w:hAnsi="仿宋" w:eastAsia="仿宋" w:cs="仿宋"/>
                <w:kern w:val="0"/>
                <w:sz w:val="18"/>
                <w:szCs w:val="18"/>
                <w:highlight w:val="none"/>
                <w:lang w:val="en-US" w:eastAsia="zh-CN"/>
              </w:rPr>
              <w:t>7</w:t>
            </w:r>
          </w:p>
        </w:tc>
        <w:tc>
          <w:tcPr>
            <w:tcW w:w="482" w:type="dxa"/>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16</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计划生育机构</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361.48</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hint="default"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336.48</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25.00</w:t>
            </w: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11</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行政事业单位医疗</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34.22</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34.22</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11</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2"/>
                <w:sz w:val="18"/>
                <w:szCs w:val="18"/>
                <w:highlight w:val="none"/>
                <w:lang w:val="en-US" w:eastAsia="zh-CN" w:bidi="ar-SA"/>
              </w:rPr>
              <w:t>02</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事业单位医疗</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25.84</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25.84</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210</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11</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03</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公务员医疗补助</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8.16</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8.16</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210</w:t>
            </w:r>
          </w:p>
        </w:tc>
        <w:tc>
          <w:tcPr>
            <w:tcW w:w="429"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11</w:t>
            </w:r>
          </w:p>
        </w:tc>
        <w:tc>
          <w:tcPr>
            <w:tcW w:w="482"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kern w:val="0"/>
                <w:sz w:val="18"/>
                <w:szCs w:val="18"/>
                <w:highlight w:val="none"/>
                <w:lang w:bidi="ar"/>
              </w:rPr>
              <w:t>99</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其他行政事业单位医疗支出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0.22</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0.22</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221</w:t>
            </w: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住房保障支出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221</w:t>
            </w: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02</w:t>
            </w:r>
          </w:p>
        </w:tc>
        <w:tc>
          <w:tcPr>
            <w:tcW w:w="4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住房改革支出</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626"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221</w:t>
            </w: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02</w:t>
            </w:r>
          </w:p>
        </w:tc>
        <w:tc>
          <w:tcPr>
            <w:tcW w:w="4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color w:val="000000"/>
                <w:sz w:val="18"/>
                <w:szCs w:val="18"/>
                <w:highlight w:val="none"/>
                <w:lang w:val="en-US" w:eastAsia="zh-CN"/>
              </w:rPr>
              <w:t>01</w:t>
            </w:r>
          </w:p>
        </w:tc>
        <w:tc>
          <w:tcPr>
            <w:tcW w:w="266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住房公积金</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38.47</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415" w:hRule="atLeast"/>
        </w:trPr>
        <w:tc>
          <w:tcPr>
            <w:tcW w:w="52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4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66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 w:hAnsi="仿宋" w:eastAsia="仿宋" w:cs="仿宋"/>
                <w:b/>
                <w:bCs/>
                <w:color w:val="000000"/>
                <w:sz w:val="18"/>
                <w:szCs w:val="18"/>
                <w:highlight w:val="none"/>
              </w:rPr>
              <w:t>合  计</w:t>
            </w:r>
          </w:p>
        </w:tc>
        <w:tc>
          <w:tcPr>
            <w:tcW w:w="1897"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478.69</w:t>
            </w:r>
          </w:p>
        </w:tc>
        <w:tc>
          <w:tcPr>
            <w:tcW w:w="1898"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453.69</w:t>
            </w:r>
          </w:p>
        </w:tc>
        <w:tc>
          <w:tcPr>
            <w:tcW w:w="194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25.00</w:t>
            </w: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440" w:lineRule="exact"/>
        <w:outlineLvl w:val="1"/>
        <w:rPr>
          <w:rFonts w:hint="default" w:ascii="仿宋_GB2312" w:hAnsi="宋体" w:eastAsia="仿宋_GB2312"/>
          <w:b w:val="0"/>
          <w:bCs/>
          <w:kern w:val="0"/>
          <w:sz w:val="21"/>
          <w:szCs w:val="21"/>
          <w:highlight w:val="none"/>
          <w:lang w:val="en-US" w:eastAsia="zh-CN"/>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4</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w:t>
      </w:r>
      <w:r>
        <w:rPr>
          <w:rFonts w:hint="eastAsia" w:ascii="仿宋_GB2312" w:hAnsi="宋体" w:eastAsia="仿宋_GB2312"/>
          <w:kern w:val="0"/>
          <w:szCs w:val="21"/>
          <w:highlight w:val="none"/>
          <w:lang w:eastAsia="zh-CN"/>
        </w:rPr>
        <w:t>部门</w:t>
      </w:r>
      <w:r>
        <w:rPr>
          <w:rFonts w:hint="eastAsia" w:ascii="仿宋_GB2312" w:hAnsi="宋体" w:eastAsia="仿宋_GB2312"/>
          <w:kern w:val="0"/>
          <w:szCs w:val="21"/>
          <w:highlight w:val="none"/>
        </w:rPr>
        <w:t>：昌吉州</w:t>
      </w:r>
      <w:r>
        <w:rPr>
          <w:rFonts w:hint="eastAsia" w:ascii="仿宋_GB2312" w:hAnsi="宋体" w:eastAsia="仿宋_GB2312"/>
          <w:kern w:val="0"/>
          <w:sz w:val="24"/>
          <w:highlight w:val="none"/>
        </w:rPr>
        <w:t>妇幼保健计划生育服务中心</w:t>
      </w:r>
      <w:r>
        <w:rPr>
          <w:rFonts w:hint="eastAsia" w:ascii="仿宋_GB2312" w:hAnsi="宋体" w:eastAsia="仿宋_GB2312"/>
          <w:kern w:val="0"/>
          <w:szCs w:val="21"/>
          <w:highlight w:val="none"/>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highlight w:val="none"/>
              </w:rPr>
            </w:pPr>
            <w:r>
              <w:rPr>
                <w:rFonts w:hint="eastAsia" w:ascii="仿宋" w:hAnsi="仿宋" w:eastAsia="仿宋" w:cs="仿宋"/>
                <w:i w:val="0"/>
                <w:iCs w:val="0"/>
                <w:color w:val="000000"/>
                <w:kern w:val="0"/>
                <w:sz w:val="18"/>
                <w:szCs w:val="18"/>
                <w:highlight w:val="none"/>
                <w:u w:val="none"/>
                <w:lang w:val="en-US" w:eastAsia="zh-CN" w:bidi="ar"/>
              </w:rPr>
              <w:t>463.69</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highlight w:val="none"/>
              </w:rPr>
            </w:pPr>
            <w:r>
              <w:rPr>
                <w:rFonts w:hint="eastAsia" w:ascii="仿宋" w:hAnsi="仿宋" w:eastAsia="仿宋" w:cs="仿宋"/>
                <w:i w:val="0"/>
                <w:iCs w:val="0"/>
                <w:color w:val="000000"/>
                <w:kern w:val="0"/>
                <w:sz w:val="18"/>
                <w:szCs w:val="18"/>
                <w:highlight w:val="none"/>
                <w:u w:val="none"/>
                <w:lang w:val="en-US" w:eastAsia="zh-CN" w:bidi="ar"/>
              </w:rPr>
              <w:t>463.69</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44.52 </w:t>
            </w:r>
          </w:p>
        </w:tc>
        <w:tc>
          <w:tcPr>
            <w:tcW w:w="96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44.52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380.70 </w:t>
            </w:r>
          </w:p>
        </w:tc>
        <w:tc>
          <w:tcPr>
            <w:tcW w:w="96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380.70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38.47 </w:t>
            </w:r>
          </w:p>
        </w:tc>
        <w:tc>
          <w:tcPr>
            <w:tcW w:w="96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38.47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highlight w:val="none"/>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highlight w:val="none"/>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highlight w:val="none"/>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463.69</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支  出  总  计</w:t>
            </w:r>
          </w:p>
        </w:tc>
        <w:tc>
          <w:tcPr>
            <w:tcW w:w="90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463.69 </w:t>
            </w:r>
          </w:p>
        </w:tc>
        <w:tc>
          <w:tcPr>
            <w:tcW w:w="96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2"/>
                <w:sz w:val="18"/>
                <w:szCs w:val="18"/>
                <w:highlight w:val="none"/>
                <w:u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 xml:space="preserve">463.69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1134" w:type="dxa"/>
            <w:vAlign w:val="center"/>
          </w:tcPr>
          <w:p>
            <w:pPr>
              <w:widowControl/>
              <w:spacing w:line="280" w:lineRule="exact"/>
              <w:jc w:val="right"/>
              <w:rPr>
                <w:rFonts w:ascii="仿宋_GB2312" w:hAnsi="宋体" w:eastAsia="仿宋_GB2312" w:cs="宋体"/>
                <w:kern w:val="0"/>
                <w:sz w:val="18"/>
                <w:szCs w:val="18"/>
                <w:highlight w:val="none"/>
              </w:rPr>
            </w:pP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tbl>
      <w:tblPr>
        <w:tblStyle w:val="6"/>
        <w:tblW w:w="9792" w:type="dxa"/>
        <w:tblInd w:w="-360" w:type="dxa"/>
        <w:tblLayout w:type="fixed"/>
        <w:tblCellMar>
          <w:top w:w="0" w:type="dxa"/>
          <w:left w:w="108" w:type="dxa"/>
          <w:bottom w:w="0" w:type="dxa"/>
          <w:right w:w="108" w:type="dxa"/>
        </w:tblCellMar>
      </w:tblPr>
      <w:tblGrid>
        <w:gridCol w:w="8"/>
        <w:gridCol w:w="204"/>
        <w:gridCol w:w="114"/>
        <w:gridCol w:w="166"/>
        <w:gridCol w:w="406"/>
        <w:gridCol w:w="60"/>
        <w:gridCol w:w="29"/>
        <w:gridCol w:w="394"/>
        <w:gridCol w:w="13"/>
        <w:gridCol w:w="186"/>
        <w:gridCol w:w="235"/>
        <w:gridCol w:w="619"/>
        <w:gridCol w:w="1078"/>
        <w:gridCol w:w="753"/>
        <w:gridCol w:w="81"/>
        <w:gridCol w:w="204"/>
        <w:gridCol w:w="286"/>
        <w:gridCol w:w="538"/>
        <w:gridCol w:w="654"/>
        <w:gridCol w:w="16"/>
        <w:gridCol w:w="218"/>
        <w:gridCol w:w="33"/>
        <w:gridCol w:w="387"/>
        <w:gridCol w:w="385"/>
        <w:gridCol w:w="195"/>
        <w:gridCol w:w="36"/>
        <w:gridCol w:w="384"/>
        <w:gridCol w:w="219"/>
        <w:gridCol w:w="139"/>
        <w:gridCol w:w="222"/>
        <w:gridCol w:w="421"/>
        <w:gridCol w:w="421"/>
        <w:gridCol w:w="400"/>
        <w:gridCol w:w="69"/>
        <w:gridCol w:w="44"/>
        <w:gridCol w:w="175"/>
      </w:tblGrid>
      <w:tr>
        <w:tblPrEx>
          <w:tblCellMar>
            <w:top w:w="0" w:type="dxa"/>
            <w:left w:w="108" w:type="dxa"/>
            <w:bottom w:w="0" w:type="dxa"/>
            <w:right w:w="108" w:type="dxa"/>
          </w:tblCellMar>
        </w:tblPrEx>
        <w:trPr>
          <w:gridBefore w:val="3"/>
          <w:gridAfter w:val="1"/>
          <w:wBefore w:w="326" w:type="dxa"/>
          <w:wAfter w:w="175" w:type="dxa"/>
          <w:trHeight w:val="727" w:hRule="atLeast"/>
        </w:trPr>
        <w:tc>
          <w:tcPr>
            <w:tcW w:w="9291" w:type="dxa"/>
            <w:gridSpan w:val="32"/>
            <w:tcBorders>
              <w:top w:val="nil"/>
              <w:left w:val="nil"/>
              <w:bottom w:val="nil"/>
              <w:right w:val="nil"/>
            </w:tcBorders>
            <w:noWrap/>
            <w:vAlign w:val="center"/>
          </w:tcPr>
          <w:p>
            <w:pPr>
              <w:widowControl/>
              <w:jc w:val="left"/>
              <w:outlineLvl w:val="1"/>
              <w:rPr>
                <w:rFonts w:hint="eastAsia" w:ascii="仿宋_GB2312" w:hAnsi="宋体" w:eastAsia="仿宋_GB2312"/>
                <w:b w:val="0"/>
                <w:bCs/>
                <w:kern w:val="0"/>
                <w:sz w:val="21"/>
                <w:szCs w:val="21"/>
                <w:highlight w:val="none"/>
                <w:lang w:eastAsia="zh-CN"/>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5</w:t>
            </w:r>
          </w:p>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gridBefore w:val="3"/>
          <w:gridAfter w:val="1"/>
          <w:wBefore w:w="326" w:type="dxa"/>
          <w:wAfter w:w="175" w:type="dxa"/>
          <w:trHeight w:val="329" w:hRule="atLeast"/>
        </w:trPr>
        <w:tc>
          <w:tcPr>
            <w:tcW w:w="5936" w:type="dxa"/>
            <w:gridSpan w:val="18"/>
            <w:tcBorders>
              <w:top w:val="nil"/>
              <w:left w:val="nil"/>
              <w:bottom w:val="nil"/>
              <w:right w:val="nil"/>
            </w:tcBorders>
            <w:noWrap/>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w:t>
            </w:r>
            <w:r>
              <w:rPr>
                <w:rFonts w:hint="eastAsia" w:ascii="仿宋_GB2312" w:hAnsi="宋体" w:eastAsia="仿宋_GB2312" w:cs="宋体"/>
                <w:color w:val="000000"/>
                <w:kern w:val="0"/>
                <w:sz w:val="24"/>
                <w:highlight w:val="none"/>
                <w:lang w:eastAsia="zh-CN"/>
              </w:rPr>
              <w:t>部门</w:t>
            </w:r>
            <w:r>
              <w:rPr>
                <w:rFonts w:hint="eastAsia" w:ascii="仿宋_GB2312" w:hAnsi="宋体" w:eastAsia="仿宋_GB2312" w:cs="宋体"/>
                <w:color w:val="000000"/>
                <w:kern w:val="0"/>
                <w:sz w:val="24"/>
                <w:highlight w:val="none"/>
              </w:rPr>
              <w:t>：昌吉州</w:t>
            </w:r>
            <w:r>
              <w:rPr>
                <w:rFonts w:hint="eastAsia" w:ascii="仿宋_GB2312" w:hAnsi="宋体" w:eastAsia="仿宋_GB2312"/>
                <w:kern w:val="0"/>
                <w:sz w:val="24"/>
                <w:highlight w:val="none"/>
              </w:rPr>
              <w:t>妇幼保健计划生育服务中心</w:t>
            </w:r>
          </w:p>
        </w:tc>
        <w:tc>
          <w:tcPr>
            <w:tcW w:w="3355" w:type="dxa"/>
            <w:gridSpan w:val="14"/>
            <w:tcBorders>
              <w:top w:val="nil"/>
              <w:left w:val="nil"/>
              <w:bottom w:val="nil"/>
              <w:right w:val="nil"/>
            </w:tcBorders>
            <w:noWrap/>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gridBefore w:val="3"/>
          <w:gridAfter w:val="1"/>
          <w:wBefore w:w="326" w:type="dxa"/>
          <w:wAfter w:w="175" w:type="dxa"/>
          <w:trHeight w:val="439" w:hRule="atLeast"/>
        </w:trPr>
        <w:tc>
          <w:tcPr>
            <w:tcW w:w="4020" w:type="dxa"/>
            <w:gridSpan w:val="1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71" w:type="dxa"/>
            <w:gridSpan w:val="20"/>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gridBefore w:val="3"/>
          <w:gridAfter w:val="1"/>
          <w:wBefore w:w="326" w:type="dxa"/>
          <w:wAfter w:w="175" w:type="dxa"/>
          <w:trHeight w:val="558" w:hRule="atLeast"/>
        </w:trPr>
        <w:tc>
          <w:tcPr>
            <w:tcW w:w="1489" w:type="dxa"/>
            <w:gridSpan w:val="8"/>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31" w:type="dxa"/>
            <w:gridSpan w:val="4"/>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98" w:type="dxa"/>
            <w:gridSpan w:val="5"/>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57" w:type="dxa"/>
            <w:gridSpan w:val="8"/>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16" w:type="dxa"/>
            <w:gridSpan w:val="7"/>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gridBefore w:val="3"/>
          <w:gridAfter w:val="1"/>
          <w:wBefore w:w="326" w:type="dxa"/>
          <w:wAfter w:w="175" w:type="dxa"/>
          <w:trHeight w:val="328"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6" w:type="dxa"/>
            <w:gridSpan w:val="4"/>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2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31"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98" w:type="dxa"/>
            <w:gridSpan w:val="5"/>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57" w:type="dxa"/>
            <w:gridSpan w:val="8"/>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16" w:type="dxa"/>
            <w:gridSpan w:val="7"/>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社会保障和就业支出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44.52</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44.52</w:t>
            </w: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05</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行政事业单位养老支出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44.52</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44.52</w:t>
            </w: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208</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05</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02</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事业单位离退休</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1.00</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1.00</w:t>
            </w: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503"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208</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05</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05</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机关事业单位基本养老保险缴费支出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43.52</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43.52</w:t>
            </w: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卫生健康支出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380.70</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370.70</w:t>
            </w: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10.00</w:t>
            </w: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r>
              <w:rPr>
                <w:rFonts w:hint="eastAsia" w:ascii="仿宋" w:hAnsi="仿宋" w:eastAsia="仿宋" w:cs="仿宋"/>
                <w:kern w:val="0"/>
                <w:sz w:val="18"/>
                <w:szCs w:val="18"/>
                <w:highlight w:val="none"/>
                <w:lang w:val="en-US" w:eastAsia="zh-CN"/>
              </w:rPr>
              <w:t>210</w:t>
            </w:r>
          </w:p>
        </w:tc>
        <w:tc>
          <w:tcPr>
            <w:tcW w:w="496" w:type="dxa"/>
            <w:gridSpan w:val="4"/>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r>
              <w:rPr>
                <w:rFonts w:hint="eastAsia" w:ascii="仿宋" w:hAnsi="仿宋" w:eastAsia="仿宋" w:cs="仿宋"/>
                <w:kern w:val="0"/>
                <w:sz w:val="18"/>
                <w:szCs w:val="18"/>
                <w:highlight w:val="none"/>
                <w:lang w:val="en-US" w:eastAsia="zh-CN"/>
              </w:rPr>
              <w:t>07</w:t>
            </w:r>
          </w:p>
        </w:tc>
        <w:tc>
          <w:tcPr>
            <w:tcW w:w="421" w:type="dxa"/>
            <w:gridSpan w:val="2"/>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计划生育事务</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346.48</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336.48</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10.00</w:t>
            </w: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r>
              <w:rPr>
                <w:rFonts w:hint="eastAsia" w:ascii="仿宋" w:hAnsi="仿宋" w:eastAsia="仿宋" w:cs="仿宋"/>
                <w:kern w:val="0"/>
                <w:sz w:val="18"/>
                <w:szCs w:val="18"/>
                <w:highlight w:val="none"/>
              </w:rPr>
              <w:t>210</w:t>
            </w:r>
          </w:p>
        </w:tc>
        <w:tc>
          <w:tcPr>
            <w:tcW w:w="496" w:type="dxa"/>
            <w:gridSpan w:val="4"/>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r>
              <w:rPr>
                <w:rFonts w:hint="eastAsia" w:ascii="仿宋" w:hAnsi="仿宋" w:eastAsia="仿宋" w:cs="仿宋"/>
                <w:kern w:val="0"/>
                <w:sz w:val="18"/>
                <w:szCs w:val="18"/>
                <w:highlight w:val="none"/>
              </w:rPr>
              <w:t>0</w:t>
            </w:r>
            <w:r>
              <w:rPr>
                <w:rFonts w:hint="eastAsia" w:ascii="仿宋" w:hAnsi="仿宋" w:eastAsia="仿宋" w:cs="仿宋"/>
                <w:kern w:val="0"/>
                <w:sz w:val="18"/>
                <w:szCs w:val="18"/>
                <w:highlight w:val="none"/>
                <w:lang w:val="en-US" w:eastAsia="zh-CN"/>
              </w:rPr>
              <w:t>7</w:t>
            </w:r>
          </w:p>
        </w:tc>
        <w:tc>
          <w:tcPr>
            <w:tcW w:w="421" w:type="dxa"/>
            <w:gridSpan w:val="2"/>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16</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计划生育机构</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346.48</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336.48</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10.00</w:t>
            </w: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11</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行政事业单位医疗</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34.22</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34.22</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210</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val="en-US" w:eastAsia="zh-CN" w:bidi="ar"/>
              </w:rPr>
              <w:t>11</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2"/>
                <w:sz w:val="18"/>
                <w:szCs w:val="18"/>
                <w:highlight w:val="none"/>
                <w:lang w:val="en-US" w:eastAsia="zh-CN" w:bidi="ar-SA"/>
              </w:rPr>
              <w:t>02</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事业单位医疗</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25.84</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25.84</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210</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11</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03</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公务员医疗补助</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8.16</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8.16</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210</w:t>
            </w: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11</w:t>
            </w: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color w:val="000000"/>
                <w:kern w:val="0"/>
                <w:sz w:val="18"/>
                <w:szCs w:val="18"/>
                <w:highlight w:val="none"/>
                <w:lang w:bidi="ar"/>
              </w:rPr>
              <w:t>99</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其他行政事业单位医疗支出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0.22</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0.22</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221</w:t>
            </w:r>
          </w:p>
        </w:tc>
        <w:tc>
          <w:tcPr>
            <w:tcW w:w="496" w:type="dxa"/>
            <w:gridSpan w:val="4"/>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住房保障支出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221</w:t>
            </w:r>
          </w:p>
        </w:tc>
        <w:tc>
          <w:tcPr>
            <w:tcW w:w="496" w:type="dxa"/>
            <w:gridSpan w:val="4"/>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02</w:t>
            </w:r>
          </w:p>
        </w:tc>
        <w:tc>
          <w:tcPr>
            <w:tcW w:w="42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住房改革支出</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221</w:t>
            </w:r>
          </w:p>
        </w:tc>
        <w:tc>
          <w:tcPr>
            <w:tcW w:w="496" w:type="dxa"/>
            <w:gridSpan w:val="4"/>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02</w:t>
            </w:r>
          </w:p>
        </w:tc>
        <w:tc>
          <w:tcPr>
            <w:tcW w:w="42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 w:hAnsi="仿宋" w:eastAsia="仿宋" w:cs="仿宋"/>
                <w:color w:val="000000"/>
                <w:sz w:val="18"/>
                <w:szCs w:val="18"/>
                <w:highlight w:val="none"/>
                <w:lang w:val="en-US" w:eastAsia="zh-CN"/>
              </w:rPr>
              <w:t>01</w:t>
            </w: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住房公积金</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38.47</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96" w:type="dxa"/>
            <w:gridSpan w:val="4"/>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18"/>
                <w:szCs w:val="18"/>
                <w:highlight w:val="none"/>
              </w:rPr>
            </w:pP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rPr>
            </w:pPr>
          </w:p>
        </w:tc>
        <w:tc>
          <w:tcPr>
            <w:tcW w:w="1716" w:type="dxa"/>
            <w:gridSpan w:val="7"/>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gridBefore w:val="3"/>
          <w:gridAfter w:val="1"/>
          <w:wBefore w:w="326" w:type="dxa"/>
          <w:wAfter w:w="175" w:type="dxa"/>
          <w:trHeight w:val="486" w:hRule="atLeast"/>
        </w:trPr>
        <w:tc>
          <w:tcPr>
            <w:tcW w:w="572" w:type="dxa"/>
            <w:gridSpan w:val="2"/>
            <w:tcBorders>
              <w:top w:val="nil"/>
              <w:left w:val="single" w:color="auto" w:sz="4" w:space="0"/>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p>
        </w:tc>
        <w:tc>
          <w:tcPr>
            <w:tcW w:w="496" w:type="dxa"/>
            <w:gridSpan w:val="4"/>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p>
        </w:tc>
        <w:tc>
          <w:tcPr>
            <w:tcW w:w="421" w:type="dxa"/>
            <w:gridSpan w:val="2"/>
            <w:tcBorders>
              <w:top w:val="nil"/>
              <w:left w:val="nil"/>
              <w:bottom w:val="single" w:color="auto" w:sz="4" w:space="0"/>
              <w:right w:val="single" w:color="auto" w:sz="4" w:space="0"/>
            </w:tcBorders>
            <w:vAlign w:val="center"/>
          </w:tcPr>
          <w:p>
            <w:pPr>
              <w:widowControl/>
              <w:jc w:val="center"/>
              <w:outlineLvl w:val="1"/>
              <w:rPr>
                <w:rFonts w:ascii="仿宋_GB2312" w:hAnsi="宋体" w:eastAsia="仿宋_GB2312" w:cs="宋体"/>
                <w:color w:val="000000"/>
                <w:kern w:val="0"/>
                <w:sz w:val="18"/>
                <w:szCs w:val="18"/>
                <w:highlight w:val="none"/>
              </w:rPr>
            </w:pPr>
          </w:p>
        </w:tc>
        <w:tc>
          <w:tcPr>
            <w:tcW w:w="2531" w:type="dxa"/>
            <w:gridSpan w:val="4"/>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lang w:val="en-US" w:eastAsia="zh-CN" w:bidi="ar-SA"/>
              </w:rPr>
            </w:pPr>
            <w:r>
              <w:rPr>
                <w:rFonts w:hint="eastAsia" w:ascii="仿宋" w:hAnsi="仿宋" w:eastAsia="仿宋" w:cs="仿宋"/>
                <w:b/>
                <w:bCs/>
                <w:color w:val="000000"/>
                <w:sz w:val="18"/>
                <w:szCs w:val="18"/>
                <w:highlight w:val="none"/>
              </w:rPr>
              <w:t>合  计</w:t>
            </w:r>
          </w:p>
        </w:tc>
        <w:tc>
          <w:tcPr>
            <w:tcW w:w="1698" w:type="dxa"/>
            <w:gridSpan w:val="5"/>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463.69</w:t>
            </w:r>
          </w:p>
        </w:tc>
        <w:tc>
          <w:tcPr>
            <w:tcW w:w="1857" w:type="dxa"/>
            <w:gridSpan w:val="8"/>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453.69</w:t>
            </w:r>
          </w:p>
        </w:tc>
        <w:tc>
          <w:tcPr>
            <w:tcW w:w="1716" w:type="dxa"/>
            <w:gridSpan w:val="7"/>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lang w:val="en-US" w:eastAsia="zh-CN" w:bidi="ar-SA"/>
              </w:rPr>
            </w:pPr>
            <w:r>
              <w:rPr>
                <w:rFonts w:hint="eastAsia" w:ascii="仿宋" w:hAnsi="仿宋" w:eastAsia="仿宋" w:cs="仿宋"/>
                <w:i w:val="0"/>
                <w:iCs w:val="0"/>
                <w:color w:val="000000"/>
                <w:kern w:val="0"/>
                <w:sz w:val="18"/>
                <w:szCs w:val="18"/>
                <w:highlight w:val="none"/>
                <w:u w:val="none"/>
                <w:lang w:val="en-US" w:eastAsia="zh-CN" w:bidi="ar"/>
              </w:rPr>
              <w:t>10.00</w:t>
            </w:r>
          </w:p>
        </w:tc>
      </w:tr>
      <w:tr>
        <w:tblPrEx>
          <w:tblCellMar>
            <w:top w:w="0" w:type="dxa"/>
            <w:left w:w="108" w:type="dxa"/>
            <w:bottom w:w="0" w:type="dxa"/>
            <w:right w:w="108" w:type="dxa"/>
          </w:tblCellMar>
        </w:tblPrEx>
        <w:trPr>
          <w:gridBefore w:val="2"/>
          <w:wBefore w:w="212" w:type="dxa"/>
          <w:trHeight w:val="737" w:hRule="atLeast"/>
        </w:trPr>
        <w:tc>
          <w:tcPr>
            <w:tcW w:w="9580" w:type="dxa"/>
            <w:gridSpan w:val="34"/>
            <w:tcBorders>
              <w:top w:val="nil"/>
              <w:left w:val="nil"/>
              <w:bottom w:val="nil"/>
              <w:right w:val="nil"/>
            </w:tcBorders>
            <w:noWrap/>
            <w:vAlign w:val="center"/>
          </w:tcPr>
          <w:p>
            <w:pPr>
              <w:widowControl/>
              <w:jc w:val="left"/>
              <w:outlineLvl w:val="1"/>
              <w:rPr>
                <w:rFonts w:hint="eastAsia" w:ascii="仿宋_GB2312" w:hAnsi="宋体" w:eastAsia="仿宋_GB2312"/>
                <w:b w:val="0"/>
                <w:bCs/>
                <w:kern w:val="0"/>
                <w:sz w:val="21"/>
                <w:szCs w:val="21"/>
                <w:highlight w:val="none"/>
              </w:rPr>
            </w:pPr>
          </w:p>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val="0"/>
                <w:bCs/>
                <w:kern w:val="0"/>
                <w:sz w:val="21"/>
                <w:szCs w:val="21"/>
                <w:highlight w:val="none"/>
              </w:rPr>
            </w:pPr>
          </w:p>
          <w:p>
            <w:pPr>
              <w:widowControl/>
              <w:jc w:val="left"/>
              <w:outlineLvl w:val="1"/>
              <w:rPr>
                <w:rFonts w:hint="eastAsia" w:ascii="仿宋_GB2312" w:hAnsi="宋体" w:eastAsia="仿宋_GB2312"/>
                <w:b w:val="0"/>
                <w:bCs/>
                <w:kern w:val="0"/>
                <w:sz w:val="21"/>
                <w:szCs w:val="21"/>
                <w:highlight w:val="none"/>
              </w:rPr>
            </w:pPr>
          </w:p>
          <w:p>
            <w:pPr>
              <w:widowControl/>
              <w:jc w:val="left"/>
              <w:outlineLvl w:val="1"/>
              <w:rPr>
                <w:rFonts w:ascii="仿宋_GB2312" w:hAnsi="宋体" w:eastAsia="仿宋_GB2312" w:cs="宋体"/>
                <w:b/>
                <w:bCs/>
                <w:color w:val="000000"/>
                <w:kern w:val="0"/>
                <w:sz w:val="32"/>
                <w:szCs w:val="32"/>
                <w:highlight w:val="none"/>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 xml:space="preserve">6                         </w:t>
            </w: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gridBefore w:val="2"/>
          <w:wBefore w:w="212" w:type="dxa"/>
          <w:trHeight w:val="372" w:hRule="atLeast"/>
        </w:trPr>
        <w:tc>
          <w:tcPr>
            <w:tcW w:w="7086" w:type="dxa"/>
            <w:gridSpan w:val="24"/>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w:t>
            </w:r>
            <w:r>
              <w:rPr>
                <w:rFonts w:hint="eastAsia" w:ascii="仿宋_GB2312" w:hAnsi="宋体" w:eastAsia="仿宋_GB2312" w:cs="宋体"/>
                <w:color w:val="000000"/>
                <w:kern w:val="0"/>
                <w:sz w:val="24"/>
                <w:highlight w:val="none"/>
                <w:lang w:eastAsia="zh-CN"/>
              </w:rPr>
              <w:t>部门</w:t>
            </w:r>
            <w:r>
              <w:rPr>
                <w:rFonts w:hint="eastAsia" w:ascii="仿宋_GB2312" w:hAnsi="宋体" w:eastAsia="仿宋_GB2312" w:cs="宋体"/>
                <w:color w:val="000000"/>
                <w:kern w:val="0"/>
                <w:sz w:val="24"/>
                <w:highlight w:val="none"/>
              </w:rPr>
              <w:t>：昌吉州</w:t>
            </w:r>
            <w:r>
              <w:rPr>
                <w:rFonts w:hint="eastAsia" w:ascii="仿宋_GB2312" w:hAnsi="宋体" w:eastAsia="仿宋_GB2312"/>
                <w:kern w:val="0"/>
                <w:sz w:val="24"/>
                <w:highlight w:val="none"/>
              </w:rPr>
              <w:t>妇幼保健计划生育服务中心</w:t>
            </w:r>
          </w:p>
        </w:tc>
        <w:tc>
          <w:tcPr>
            <w:tcW w:w="2494" w:type="dxa"/>
            <w:gridSpan w:val="10"/>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tblPrEx>
          <w:tblCellMar>
            <w:top w:w="0" w:type="dxa"/>
            <w:left w:w="108" w:type="dxa"/>
            <w:bottom w:w="0" w:type="dxa"/>
            <w:right w:w="108" w:type="dxa"/>
          </w:tblCellMar>
        </w:tblPrEx>
        <w:trPr>
          <w:gridBefore w:val="2"/>
          <w:wBefore w:w="212" w:type="dxa"/>
          <w:trHeight w:val="369" w:hRule="atLeast"/>
        </w:trPr>
        <w:tc>
          <w:tcPr>
            <w:tcW w:w="4338" w:type="dxa"/>
            <w:gridSpan w:val="1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242" w:type="dxa"/>
            <w:gridSpan w:val="20"/>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gridBefore w:val="2"/>
          <w:wBefore w:w="212" w:type="dxa"/>
          <w:trHeight w:val="442" w:hRule="atLeast"/>
        </w:trPr>
        <w:tc>
          <w:tcPr>
            <w:tcW w:w="1368" w:type="dxa"/>
            <w:gridSpan w:val="8"/>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970" w:type="dxa"/>
            <w:gridSpan w:val="6"/>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45" w:type="dxa"/>
            <w:gridSpan w:val="6"/>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45" w:type="dxa"/>
            <w:gridSpan w:val="7"/>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52" w:type="dxa"/>
            <w:gridSpan w:val="7"/>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gridBefore w:val="2"/>
          <w:wBefore w:w="212" w:type="dxa"/>
          <w:trHeight w:val="160"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93"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970" w:type="dxa"/>
            <w:gridSpan w:val="6"/>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45" w:type="dxa"/>
            <w:gridSpan w:val="6"/>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45" w:type="dxa"/>
            <w:gridSpan w:val="7"/>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52" w:type="dxa"/>
            <w:gridSpan w:val="7"/>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lang w:val="en-US" w:eastAsia="zh-CN"/>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lang w:eastAsia="zh-CN"/>
              </w:rPr>
            </w:pPr>
            <w:r>
              <w:rPr>
                <w:rFonts w:hint="eastAsia" w:ascii="仿宋" w:hAnsi="仿宋" w:eastAsia="仿宋" w:cs="仿宋"/>
                <w:i w:val="0"/>
                <w:iCs w:val="0"/>
                <w:color w:val="000000"/>
                <w:kern w:val="0"/>
                <w:sz w:val="18"/>
                <w:szCs w:val="18"/>
                <w:highlight w:val="none"/>
                <w:u w:val="none"/>
                <w:lang w:val="en-US" w:eastAsia="zh-CN" w:bidi="ar"/>
              </w:rPr>
              <w:t>工资福利支出</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392.09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392.09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01</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基本工资</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136.27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136.27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02</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津贴补贴</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28.34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28.34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03</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奖金</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11.13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11.13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08</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绩效工资</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98.95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98.95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10</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机关事业单位基本养老保险缴费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43.52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43.52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11</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城镇职工基本医疗保险缴费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25.84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25.84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12</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公务员医疗补助缴费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8.16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8.16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13</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其他社会保障缴费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1.41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1.41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301</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99</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住房公积金</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38.47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38.47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商品和服务支出</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49.07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49.07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01</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办公费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6.90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6.90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02</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lang w:val="en-US" w:eastAsia="zh-CN"/>
              </w:rPr>
            </w:pPr>
            <w:r>
              <w:rPr>
                <w:rFonts w:hint="eastAsia" w:ascii="仿宋" w:hAnsi="仿宋" w:eastAsia="仿宋" w:cs="仿宋"/>
                <w:i w:val="0"/>
                <w:iCs w:val="0"/>
                <w:color w:val="000000"/>
                <w:kern w:val="0"/>
                <w:sz w:val="18"/>
                <w:szCs w:val="18"/>
                <w:highlight w:val="none"/>
                <w:u w:val="none"/>
                <w:lang w:val="en-US" w:eastAsia="zh-CN" w:bidi="ar"/>
              </w:rPr>
              <w:t>印刷费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lang w:val="en-US"/>
              </w:rPr>
            </w:pPr>
            <w:r>
              <w:rPr>
                <w:rFonts w:hint="eastAsia" w:ascii="仿宋" w:hAnsi="仿宋" w:eastAsia="仿宋" w:cs="仿宋"/>
                <w:i w:val="0"/>
                <w:iCs w:val="0"/>
                <w:color w:val="000000"/>
                <w:kern w:val="0"/>
                <w:sz w:val="18"/>
                <w:szCs w:val="18"/>
                <w:highlight w:val="none"/>
                <w:u w:val="none"/>
                <w:lang w:val="en-US" w:eastAsia="zh-CN" w:bidi="ar"/>
              </w:rPr>
              <w:t xml:space="preserve">3.00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lang w:val="en-US"/>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lang w:val="en-US"/>
              </w:rPr>
            </w:pPr>
            <w:r>
              <w:rPr>
                <w:rFonts w:hint="eastAsia" w:ascii="仿宋" w:hAnsi="仿宋" w:eastAsia="仿宋" w:cs="仿宋"/>
                <w:i w:val="0"/>
                <w:iCs w:val="0"/>
                <w:color w:val="000000"/>
                <w:kern w:val="0"/>
                <w:sz w:val="18"/>
                <w:szCs w:val="18"/>
                <w:highlight w:val="none"/>
                <w:u w:val="none"/>
                <w:lang w:val="en-US" w:eastAsia="zh-CN" w:bidi="ar"/>
              </w:rPr>
              <w:t xml:space="preserve">3.00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w:t>
            </w:r>
            <w:r>
              <w:rPr>
                <w:rFonts w:hint="eastAsia" w:ascii="仿宋" w:hAnsi="仿宋" w:eastAsia="仿宋" w:cs="仿宋"/>
                <w:color w:val="000000"/>
                <w:kern w:val="0"/>
                <w:sz w:val="18"/>
                <w:szCs w:val="18"/>
                <w:highlight w:val="none"/>
                <w:lang w:val="en-US" w:eastAsia="zh-CN"/>
              </w:rPr>
              <w:t>5</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水费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w:t>
            </w:r>
            <w:r>
              <w:rPr>
                <w:rFonts w:hint="eastAsia" w:ascii="仿宋" w:hAnsi="仿宋" w:eastAsia="仿宋" w:cs="仿宋"/>
                <w:color w:val="000000"/>
                <w:kern w:val="0"/>
                <w:sz w:val="18"/>
                <w:szCs w:val="18"/>
                <w:highlight w:val="none"/>
                <w:lang w:val="en-US" w:eastAsia="zh-CN"/>
              </w:rPr>
              <w:t>6</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电费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w:t>
            </w:r>
            <w:r>
              <w:rPr>
                <w:rFonts w:hint="eastAsia" w:ascii="仿宋" w:hAnsi="仿宋" w:eastAsia="仿宋" w:cs="仿宋"/>
                <w:color w:val="000000"/>
                <w:kern w:val="0"/>
                <w:sz w:val="18"/>
                <w:szCs w:val="18"/>
                <w:highlight w:val="none"/>
                <w:lang w:val="en-US" w:eastAsia="zh-CN"/>
              </w:rPr>
              <w:t>7</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邮电费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1.05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1.05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08</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取暖费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3.00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3.00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09</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物业管理费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6.00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6.00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kern w:val="0"/>
                <w:sz w:val="18"/>
                <w:szCs w:val="18"/>
                <w:highlight w:val="none"/>
                <w:lang w:val="en-US" w:eastAsia="zh-CN"/>
              </w:rPr>
              <w:t>11</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差旅费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val="en-US" w:eastAsia="zh-CN"/>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kern w:val="0"/>
                <w:sz w:val="18"/>
                <w:szCs w:val="18"/>
                <w:highlight w:val="none"/>
                <w:lang w:val="en-US" w:eastAsia="zh-CN"/>
              </w:rPr>
              <w:t>13</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维修(护)费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2.00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2.00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rPr>
            </w:pPr>
            <w:r>
              <w:rPr>
                <w:rFonts w:hint="eastAsia" w:ascii="仿宋" w:hAnsi="仿宋" w:eastAsia="仿宋" w:cs="仿宋"/>
                <w:color w:val="000000"/>
                <w:kern w:val="0"/>
                <w:sz w:val="18"/>
                <w:szCs w:val="18"/>
                <w:highlight w:val="none"/>
                <w:lang w:val="en-US" w:eastAsia="zh-CN"/>
              </w:rPr>
              <w:t>26</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劳务费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28</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工会经费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5.11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5.11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sz w:val="18"/>
                <w:szCs w:val="18"/>
                <w:highlight w:val="none"/>
                <w:lang w:val="en-US" w:eastAsia="zh-CN"/>
              </w:rPr>
            </w:pPr>
            <w:r>
              <w:rPr>
                <w:rFonts w:hint="eastAsia" w:ascii="仿宋" w:hAnsi="仿宋" w:eastAsia="仿宋" w:cs="仿宋"/>
                <w:color w:val="000000"/>
                <w:sz w:val="18"/>
                <w:szCs w:val="18"/>
                <w:highlight w:val="none"/>
                <w:lang w:val="en-US" w:eastAsia="zh-CN"/>
              </w:rPr>
              <w:t>29</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福利费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4.60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4.60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31</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公务用车运行维护费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6.00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6.00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rPr>
              <w:t>302</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99</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其他商品和服务支出</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4.41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4.41 </w:t>
            </w: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rPr>
              <w:t>30</w:t>
            </w:r>
            <w:r>
              <w:rPr>
                <w:rFonts w:hint="eastAsia" w:ascii="仿宋" w:hAnsi="仿宋" w:eastAsia="仿宋" w:cs="仿宋"/>
                <w:color w:val="000000"/>
                <w:kern w:val="0"/>
                <w:sz w:val="18"/>
                <w:szCs w:val="18"/>
                <w:highlight w:val="none"/>
                <w:lang w:val="en-US" w:eastAsia="zh-CN"/>
              </w:rPr>
              <w:t>3</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对个人和家庭的补助</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12.52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12.52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rPr>
              <w:t>30</w:t>
            </w:r>
            <w:r>
              <w:rPr>
                <w:rFonts w:hint="eastAsia" w:ascii="仿宋" w:hAnsi="仿宋" w:eastAsia="仿宋" w:cs="仿宋"/>
                <w:color w:val="000000"/>
                <w:kern w:val="0"/>
                <w:sz w:val="18"/>
                <w:szCs w:val="18"/>
                <w:highlight w:val="none"/>
                <w:lang w:val="en-US" w:eastAsia="zh-CN"/>
              </w:rPr>
              <w:t>3</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01</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离休费</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1.00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rPr>
              <w:t>30</w:t>
            </w:r>
            <w:r>
              <w:rPr>
                <w:rFonts w:hint="eastAsia" w:ascii="仿宋" w:hAnsi="仿宋" w:eastAsia="仿宋" w:cs="仿宋"/>
                <w:color w:val="000000"/>
                <w:kern w:val="0"/>
                <w:sz w:val="18"/>
                <w:szCs w:val="18"/>
                <w:highlight w:val="none"/>
                <w:lang w:val="en-US" w:eastAsia="zh-CN"/>
              </w:rPr>
              <w:t>3</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07</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lang w:eastAsia="zh-CN"/>
              </w:rPr>
            </w:pPr>
            <w:r>
              <w:rPr>
                <w:rFonts w:hint="eastAsia" w:ascii="仿宋" w:hAnsi="仿宋" w:eastAsia="仿宋" w:cs="仿宋"/>
                <w:i w:val="0"/>
                <w:iCs w:val="0"/>
                <w:color w:val="000000"/>
                <w:kern w:val="0"/>
                <w:sz w:val="18"/>
                <w:szCs w:val="18"/>
                <w:highlight w:val="none"/>
                <w:u w:val="none"/>
                <w:lang w:val="en-US" w:eastAsia="zh-CN" w:bidi="ar"/>
              </w:rPr>
              <w:t>医疗费补助</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10.49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10.49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23"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rPr>
              <w:t>30</w:t>
            </w:r>
            <w:r>
              <w:rPr>
                <w:rFonts w:hint="eastAsia" w:ascii="仿宋" w:hAnsi="仿宋" w:eastAsia="仿宋" w:cs="仿宋"/>
                <w:color w:val="000000"/>
                <w:kern w:val="0"/>
                <w:sz w:val="18"/>
                <w:szCs w:val="18"/>
                <w:highlight w:val="none"/>
                <w:lang w:val="en-US" w:eastAsia="zh-CN"/>
              </w:rPr>
              <w:t>3</w:t>
            </w:r>
          </w:p>
        </w:tc>
        <w:tc>
          <w:tcPr>
            <w:tcW w:w="593" w:type="dxa"/>
            <w:gridSpan w:val="3"/>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2"/>
                <w:sz w:val="18"/>
                <w:szCs w:val="18"/>
                <w:highlight w:val="none"/>
                <w:lang w:val="en-US" w:eastAsia="zh-CN" w:bidi="ar-SA"/>
              </w:rPr>
            </w:pPr>
            <w:r>
              <w:rPr>
                <w:rFonts w:hint="eastAsia" w:ascii="仿宋" w:hAnsi="仿宋" w:eastAsia="仿宋" w:cs="仿宋"/>
                <w:color w:val="000000"/>
                <w:kern w:val="0"/>
                <w:sz w:val="18"/>
                <w:szCs w:val="18"/>
                <w:highlight w:val="none"/>
                <w:lang w:val="en-US" w:eastAsia="zh-CN"/>
              </w:rPr>
              <w:t>09</w:t>
            </w: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奖励金</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1.03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r>
              <w:rPr>
                <w:rFonts w:hint="eastAsia" w:ascii="仿宋" w:hAnsi="仿宋" w:eastAsia="仿宋" w:cs="仿宋"/>
                <w:i w:val="0"/>
                <w:iCs w:val="0"/>
                <w:color w:val="000000"/>
                <w:kern w:val="0"/>
                <w:sz w:val="18"/>
                <w:szCs w:val="18"/>
                <w:highlight w:val="none"/>
                <w:u w:val="none"/>
                <w:lang w:val="en-US" w:eastAsia="zh-CN" w:bidi="ar"/>
              </w:rPr>
              <w:t xml:space="preserve">1.03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18"/>
                <w:szCs w:val="18"/>
                <w:highlight w:val="none"/>
              </w:rPr>
            </w:pPr>
          </w:p>
        </w:tc>
      </w:tr>
      <w:tr>
        <w:tblPrEx>
          <w:tblCellMar>
            <w:top w:w="0" w:type="dxa"/>
            <w:left w:w="108" w:type="dxa"/>
            <w:bottom w:w="0" w:type="dxa"/>
            <w:right w:w="108" w:type="dxa"/>
          </w:tblCellMar>
        </w:tblPrEx>
        <w:trPr>
          <w:gridBefore w:val="2"/>
          <w:wBefore w:w="212" w:type="dxa"/>
          <w:trHeight w:val="334" w:hRule="atLeast"/>
        </w:trPr>
        <w:tc>
          <w:tcPr>
            <w:tcW w:w="775" w:type="dxa"/>
            <w:gridSpan w:val="5"/>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highlight w:val="none"/>
              </w:rPr>
            </w:pPr>
          </w:p>
        </w:tc>
        <w:tc>
          <w:tcPr>
            <w:tcW w:w="593" w:type="dxa"/>
            <w:gridSpan w:val="3"/>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highlight w:val="none"/>
              </w:rPr>
            </w:pPr>
          </w:p>
        </w:tc>
        <w:tc>
          <w:tcPr>
            <w:tcW w:w="2970" w:type="dxa"/>
            <w:gridSpan w:val="6"/>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sz w:val="18"/>
                <w:szCs w:val="18"/>
                <w:highlight w:val="none"/>
              </w:rPr>
            </w:pPr>
            <w:r>
              <w:rPr>
                <w:rFonts w:hint="eastAsia" w:ascii="仿宋_GB2312" w:hAnsi="宋体" w:eastAsia="仿宋_GB2312" w:cs="宋体"/>
                <w:b/>
                <w:bCs/>
                <w:color w:val="000000"/>
                <w:kern w:val="0"/>
                <w:sz w:val="18"/>
                <w:szCs w:val="18"/>
                <w:highlight w:val="none"/>
              </w:rPr>
              <w:t>合  计</w:t>
            </w:r>
          </w:p>
        </w:tc>
        <w:tc>
          <w:tcPr>
            <w:tcW w:w="1745" w:type="dxa"/>
            <w:gridSpan w:val="6"/>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color w:val="000000"/>
                <w:sz w:val="18"/>
                <w:szCs w:val="18"/>
                <w:highlight w:val="none"/>
              </w:rPr>
            </w:pPr>
            <w:r>
              <w:rPr>
                <w:rFonts w:hint="default" w:ascii="Calibri" w:hAnsi="Calibri" w:eastAsia="宋体" w:cs="Calibri"/>
                <w:i w:val="0"/>
                <w:iCs w:val="0"/>
                <w:color w:val="000000"/>
                <w:kern w:val="0"/>
                <w:sz w:val="18"/>
                <w:szCs w:val="18"/>
                <w:highlight w:val="none"/>
                <w:u w:val="none"/>
                <w:lang w:val="en-US" w:eastAsia="zh-CN" w:bidi="ar"/>
              </w:rPr>
              <w:t xml:space="preserve">453.69 </w:t>
            </w:r>
          </w:p>
        </w:tc>
        <w:tc>
          <w:tcPr>
            <w:tcW w:w="1745"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color w:val="000000"/>
                <w:sz w:val="18"/>
                <w:szCs w:val="18"/>
                <w:highlight w:val="none"/>
              </w:rPr>
            </w:pPr>
            <w:r>
              <w:rPr>
                <w:rFonts w:hint="default" w:ascii="Calibri" w:hAnsi="Calibri" w:eastAsia="宋体" w:cs="Calibri"/>
                <w:i w:val="0"/>
                <w:iCs w:val="0"/>
                <w:color w:val="000000"/>
                <w:kern w:val="0"/>
                <w:sz w:val="18"/>
                <w:szCs w:val="18"/>
                <w:highlight w:val="none"/>
                <w:u w:val="none"/>
                <w:lang w:val="en-US" w:eastAsia="zh-CN" w:bidi="ar"/>
              </w:rPr>
              <w:t xml:space="preserve">404.61 </w:t>
            </w:r>
          </w:p>
        </w:tc>
        <w:tc>
          <w:tcPr>
            <w:tcW w:w="1752" w:type="dxa"/>
            <w:gridSpan w:val="7"/>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color w:val="000000"/>
                <w:sz w:val="18"/>
                <w:szCs w:val="18"/>
                <w:highlight w:val="none"/>
              </w:rPr>
            </w:pPr>
            <w:r>
              <w:rPr>
                <w:rFonts w:hint="default" w:ascii="Calibri" w:hAnsi="Calibri" w:eastAsia="宋体" w:cs="Calibri"/>
                <w:i w:val="0"/>
                <w:iCs w:val="0"/>
                <w:color w:val="000000"/>
                <w:kern w:val="0"/>
                <w:sz w:val="18"/>
                <w:szCs w:val="18"/>
                <w:highlight w:val="none"/>
                <w:u w:val="none"/>
                <w:lang w:val="en-US" w:eastAsia="zh-CN" w:bidi="ar"/>
              </w:rPr>
              <w:t xml:space="preserve">49.07 </w:t>
            </w:r>
          </w:p>
        </w:tc>
      </w:tr>
      <w:tr>
        <w:tblPrEx>
          <w:tblCellMar>
            <w:top w:w="0" w:type="dxa"/>
            <w:left w:w="108" w:type="dxa"/>
            <w:bottom w:w="0" w:type="dxa"/>
            <w:right w:w="108" w:type="dxa"/>
          </w:tblCellMar>
        </w:tblPrEx>
        <w:trPr>
          <w:gridBefore w:val="1"/>
          <w:gridAfter w:val="3"/>
          <w:wBefore w:w="8" w:type="dxa"/>
          <w:wAfter w:w="288" w:type="dxa"/>
          <w:trHeight w:val="387" w:hRule="atLeast"/>
        </w:trPr>
        <w:tc>
          <w:tcPr>
            <w:tcW w:w="9496" w:type="dxa"/>
            <w:gridSpan w:val="32"/>
            <w:tcBorders>
              <w:top w:val="nil"/>
              <w:left w:val="nil"/>
              <w:bottom w:val="nil"/>
              <w:right w:val="nil"/>
            </w:tcBorders>
            <w:noWrap/>
            <w:vAlign w:val="center"/>
          </w:tcPr>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val="0"/>
                <w:bCs/>
                <w:kern w:val="0"/>
                <w:sz w:val="21"/>
                <w:szCs w:val="21"/>
                <w:highlight w:val="none"/>
              </w:rPr>
            </w:pPr>
          </w:p>
          <w:p>
            <w:pPr>
              <w:widowControl/>
              <w:jc w:val="left"/>
              <w:outlineLvl w:val="1"/>
              <w:rPr>
                <w:rFonts w:hint="eastAsia" w:ascii="仿宋_GB2312" w:hAnsi="宋体" w:eastAsia="仿宋_GB2312"/>
                <w:b w:val="0"/>
                <w:bCs/>
                <w:kern w:val="0"/>
                <w:sz w:val="21"/>
                <w:szCs w:val="21"/>
                <w:highlight w:val="none"/>
                <w:lang w:eastAsia="zh-CN"/>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7</w:t>
            </w:r>
          </w:p>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3"/>
          <w:wBefore w:w="8" w:type="dxa"/>
          <w:wAfter w:w="288" w:type="dxa"/>
          <w:trHeight w:val="376" w:hRule="atLeast"/>
        </w:trPr>
        <w:tc>
          <w:tcPr>
            <w:tcW w:w="7059" w:type="dxa"/>
            <w:gridSpan w:val="23"/>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w:t>
            </w:r>
            <w:r>
              <w:rPr>
                <w:rFonts w:hint="eastAsia" w:ascii="仿宋_GB2312" w:hAnsi="宋体" w:eastAsia="仿宋_GB2312" w:cs="宋体"/>
                <w:color w:val="000000"/>
                <w:kern w:val="0"/>
                <w:sz w:val="24"/>
                <w:highlight w:val="none"/>
                <w:lang w:eastAsia="zh-CN"/>
              </w:rPr>
              <w:t>部门</w:t>
            </w:r>
            <w:r>
              <w:rPr>
                <w:rFonts w:hint="eastAsia" w:ascii="仿宋_GB2312" w:hAnsi="宋体" w:eastAsia="仿宋_GB2312" w:cs="宋体"/>
                <w:color w:val="000000"/>
                <w:kern w:val="0"/>
                <w:sz w:val="24"/>
                <w:highlight w:val="none"/>
              </w:rPr>
              <w:t>：昌吉州</w:t>
            </w:r>
            <w:r>
              <w:rPr>
                <w:rFonts w:hint="eastAsia" w:ascii="仿宋_GB2312" w:hAnsi="宋体" w:eastAsia="仿宋_GB2312"/>
                <w:kern w:val="0"/>
                <w:sz w:val="24"/>
                <w:highlight w:val="none"/>
              </w:rPr>
              <w:t>妇幼保健计划生育服务中心</w:t>
            </w:r>
            <w:r>
              <w:rPr>
                <w:rFonts w:hint="eastAsia" w:ascii="仿宋_GB2312" w:hAnsi="宋体" w:eastAsia="仿宋_GB2312" w:cs="宋体"/>
                <w:color w:val="000000"/>
                <w:kern w:val="0"/>
                <w:sz w:val="24"/>
                <w:highlight w:val="none"/>
              </w:rPr>
              <w:t xml:space="preserve"> </w:t>
            </w:r>
          </w:p>
        </w:tc>
        <w:tc>
          <w:tcPr>
            <w:tcW w:w="2437" w:type="dxa"/>
            <w:gridSpan w:val="9"/>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1967" w:hRule="atLeast"/>
        </w:trPr>
        <w:tc>
          <w:tcPr>
            <w:tcW w:w="1381" w:type="dxa"/>
            <w:gridSpan w:val="8"/>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053" w:type="dxa"/>
            <w:gridSpan w:val="4"/>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078" w:type="dxa"/>
            <w:noWrap/>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3"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71" w:type="dxa"/>
            <w:gridSpan w:val="3"/>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8"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4"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4"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80" w:type="dxa"/>
            <w:gridSpan w:val="2"/>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20" w:type="dxa"/>
            <w:gridSpan w:val="2"/>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80" w:type="dxa"/>
            <w:gridSpan w:val="3"/>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1"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1"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9" w:type="dxa"/>
            <w:gridSpan w:val="2"/>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406" w:hRule="atLeast"/>
        </w:trPr>
        <w:tc>
          <w:tcPr>
            <w:tcW w:w="492" w:type="dxa"/>
            <w:gridSpan w:val="4"/>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6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23"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053" w:type="dxa"/>
            <w:gridSpan w:val="4"/>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078"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53"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1" w:type="dxa"/>
            <w:gridSpan w:val="3"/>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8"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4"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4" w:type="dxa"/>
            <w:gridSpan w:val="4"/>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80" w:type="dxa"/>
            <w:gridSpan w:val="2"/>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gridSpan w:val="2"/>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80" w:type="dxa"/>
            <w:gridSpan w:val="3"/>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1"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1"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9" w:type="dxa"/>
            <w:gridSpan w:val="2"/>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210</w:t>
            </w:r>
          </w:p>
        </w:tc>
        <w:tc>
          <w:tcPr>
            <w:tcW w:w="466" w:type="dxa"/>
            <w:gridSpan w:val="2"/>
            <w:vAlign w:val="center"/>
          </w:tcPr>
          <w:p>
            <w:pPr>
              <w:widowControl/>
              <w:jc w:val="center"/>
              <w:outlineLvl w:val="1"/>
              <w:rPr>
                <w:rFonts w:hint="eastAsia" w:ascii="仿宋_GB2312" w:hAnsi="宋体" w:eastAsia="仿宋_GB2312"/>
                <w:kern w:val="0"/>
                <w:sz w:val="18"/>
                <w:szCs w:val="18"/>
                <w:highlight w:val="none"/>
              </w:rPr>
            </w:pPr>
          </w:p>
        </w:tc>
        <w:tc>
          <w:tcPr>
            <w:tcW w:w="423" w:type="dxa"/>
            <w:gridSpan w:val="2"/>
            <w:vAlign w:val="center"/>
          </w:tcPr>
          <w:p>
            <w:pPr>
              <w:widowControl/>
              <w:jc w:val="center"/>
              <w:outlineLvl w:val="1"/>
              <w:rPr>
                <w:rFonts w:hint="eastAsia" w:ascii="仿宋_GB2312" w:hAnsi="宋体" w:eastAsia="仿宋_GB2312"/>
                <w:kern w:val="0"/>
                <w:sz w:val="18"/>
                <w:szCs w:val="18"/>
                <w:highlight w:val="none"/>
              </w:rPr>
            </w:pPr>
          </w:p>
        </w:tc>
        <w:tc>
          <w:tcPr>
            <w:tcW w:w="1053" w:type="dxa"/>
            <w:gridSpan w:val="4"/>
            <w:vAlign w:val="center"/>
          </w:tcPr>
          <w:p>
            <w:pPr>
              <w:widowControl/>
              <w:jc w:val="left"/>
              <w:outlineLvl w:val="1"/>
              <w:rPr>
                <w:rFonts w:hint="eastAsia" w:ascii="仿宋" w:hAnsi="仿宋" w:eastAsia="仿宋" w:cs="仿宋"/>
                <w:kern w:val="0"/>
                <w:sz w:val="18"/>
                <w:szCs w:val="18"/>
                <w:highlight w:val="none"/>
              </w:rPr>
            </w:pPr>
            <w:r>
              <w:rPr>
                <w:rFonts w:hint="eastAsia" w:ascii="仿宋_GB2312" w:hAnsi="宋体" w:eastAsia="仿宋_GB2312"/>
                <w:kern w:val="0"/>
                <w:sz w:val="18"/>
                <w:szCs w:val="18"/>
                <w:highlight w:val="none"/>
              </w:rPr>
              <w:t>卫生健康支出</w:t>
            </w:r>
          </w:p>
        </w:tc>
        <w:tc>
          <w:tcPr>
            <w:tcW w:w="1078" w:type="dxa"/>
            <w:vAlign w:val="center"/>
          </w:tcPr>
          <w:p>
            <w:pPr>
              <w:widowControl/>
              <w:jc w:val="left"/>
              <w:outlineLvl w:val="1"/>
              <w:rPr>
                <w:rFonts w:hint="eastAsia" w:ascii="仿宋_GB2312" w:hAnsi="宋体" w:eastAsia="仿宋_GB2312"/>
                <w:kern w:val="0"/>
                <w:sz w:val="18"/>
                <w:szCs w:val="18"/>
                <w:highlight w:val="none"/>
              </w:rPr>
            </w:pPr>
          </w:p>
        </w:tc>
        <w:tc>
          <w:tcPr>
            <w:tcW w:w="753" w:type="dxa"/>
            <w:vAlign w:val="center"/>
          </w:tcPr>
          <w:p>
            <w:pPr>
              <w:widowControl/>
              <w:jc w:val="center"/>
              <w:outlineLvl w:val="1"/>
              <w:rPr>
                <w:rFonts w:hint="eastAsia"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hint="eastAsia"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210</w:t>
            </w:r>
          </w:p>
        </w:tc>
        <w:tc>
          <w:tcPr>
            <w:tcW w:w="466" w:type="dxa"/>
            <w:gridSpan w:val="2"/>
            <w:vAlign w:val="center"/>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 w:hAnsi="仿宋" w:eastAsia="仿宋" w:cs="仿宋"/>
                <w:kern w:val="0"/>
                <w:sz w:val="18"/>
                <w:szCs w:val="18"/>
                <w:highlight w:val="none"/>
                <w:lang w:val="en-US" w:eastAsia="zh-CN"/>
              </w:rPr>
              <w:t>07</w:t>
            </w:r>
          </w:p>
        </w:tc>
        <w:tc>
          <w:tcPr>
            <w:tcW w:w="423" w:type="dxa"/>
            <w:gridSpan w:val="2"/>
            <w:vAlign w:val="center"/>
          </w:tcPr>
          <w:p>
            <w:pPr>
              <w:widowControl/>
              <w:jc w:val="center"/>
              <w:outlineLvl w:val="1"/>
              <w:rPr>
                <w:rFonts w:hint="eastAsia" w:ascii="仿宋_GB2312" w:hAnsi="宋体" w:eastAsia="仿宋_GB2312"/>
                <w:kern w:val="0"/>
                <w:sz w:val="18"/>
                <w:szCs w:val="18"/>
                <w:highlight w:val="none"/>
              </w:rPr>
            </w:pPr>
          </w:p>
        </w:tc>
        <w:tc>
          <w:tcPr>
            <w:tcW w:w="1053" w:type="dxa"/>
            <w:gridSpan w:val="4"/>
            <w:vAlign w:val="center"/>
          </w:tcPr>
          <w:p>
            <w:pPr>
              <w:widowControl/>
              <w:jc w:val="left"/>
              <w:outlineLvl w:val="1"/>
              <w:rPr>
                <w:rFonts w:hint="eastAsia" w:ascii="仿宋" w:hAnsi="仿宋" w:eastAsia="仿宋" w:cs="仿宋"/>
                <w:kern w:val="0"/>
                <w:sz w:val="18"/>
                <w:szCs w:val="18"/>
                <w:highlight w:val="none"/>
              </w:rPr>
            </w:pPr>
            <w:r>
              <w:rPr>
                <w:rFonts w:hint="eastAsia" w:ascii="仿宋" w:hAnsi="仿宋" w:eastAsia="仿宋" w:cs="仿宋"/>
                <w:sz w:val="18"/>
                <w:szCs w:val="18"/>
                <w:highlight w:val="none"/>
              </w:rPr>
              <w:t>计划生育事务</w:t>
            </w:r>
          </w:p>
        </w:tc>
        <w:tc>
          <w:tcPr>
            <w:tcW w:w="1078" w:type="dxa"/>
            <w:vAlign w:val="center"/>
          </w:tcPr>
          <w:p>
            <w:pPr>
              <w:widowControl/>
              <w:jc w:val="left"/>
              <w:outlineLvl w:val="1"/>
              <w:rPr>
                <w:rFonts w:hint="eastAsia" w:ascii="仿宋_GB2312" w:hAnsi="宋体" w:eastAsia="仿宋_GB2312"/>
                <w:kern w:val="0"/>
                <w:sz w:val="18"/>
                <w:szCs w:val="18"/>
                <w:highlight w:val="none"/>
              </w:rPr>
            </w:pPr>
          </w:p>
        </w:tc>
        <w:tc>
          <w:tcPr>
            <w:tcW w:w="753" w:type="dxa"/>
            <w:vAlign w:val="center"/>
          </w:tcPr>
          <w:p>
            <w:pPr>
              <w:widowControl/>
              <w:jc w:val="center"/>
              <w:outlineLvl w:val="1"/>
              <w:rPr>
                <w:rFonts w:hint="eastAsia"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hint="eastAsia"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885"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210</w:t>
            </w:r>
          </w:p>
        </w:tc>
        <w:tc>
          <w:tcPr>
            <w:tcW w:w="466" w:type="dxa"/>
            <w:gridSpan w:val="2"/>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07</w:t>
            </w:r>
          </w:p>
        </w:tc>
        <w:tc>
          <w:tcPr>
            <w:tcW w:w="423" w:type="dxa"/>
            <w:gridSpan w:val="2"/>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16</w:t>
            </w:r>
          </w:p>
        </w:tc>
        <w:tc>
          <w:tcPr>
            <w:tcW w:w="1053" w:type="dxa"/>
            <w:gridSpan w:val="4"/>
            <w:vAlign w:val="center"/>
          </w:tcPr>
          <w:p>
            <w:pPr>
              <w:widowControl/>
              <w:jc w:val="left"/>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计划生育机构</w:t>
            </w:r>
          </w:p>
        </w:tc>
        <w:tc>
          <w:tcPr>
            <w:tcW w:w="1078" w:type="dxa"/>
            <w:vAlign w:val="center"/>
          </w:tcPr>
          <w:p>
            <w:pPr>
              <w:widowControl/>
              <w:jc w:val="left"/>
              <w:outlineLvl w:val="1"/>
              <w:rPr>
                <w:rFonts w:ascii="仿宋_GB2312" w:hAnsi="宋体" w:eastAsia="仿宋_GB2312"/>
                <w:kern w:val="0"/>
                <w:sz w:val="18"/>
                <w:szCs w:val="18"/>
                <w:highlight w:val="none"/>
              </w:rPr>
            </w:pPr>
            <w:r>
              <w:rPr>
                <w:rFonts w:hint="eastAsia" w:ascii="仿宋" w:hAnsi="仿宋" w:eastAsia="仿宋" w:cs="仿宋"/>
                <w:sz w:val="18"/>
                <w:szCs w:val="18"/>
                <w:highlight w:val="none"/>
                <w:lang w:val="en-US" w:eastAsia="zh-CN"/>
              </w:rPr>
              <w:t>计划生育宣传经费项目</w:t>
            </w:r>
          </w:p>
        </w:tc>
        <w:tc>
          <w:tcPr>
            <w:tcW w:w="753"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62"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p>
        </w:tc>
        <w:tc>
          <w:tcPr>
            <w:tcW w:w="753" w:type="dxa"/>
            <w:vAlign w:val="center"/>
          </w:tcPr>
          <w:p>
            <w:pPr>
              <w:widowControl/>
              <w:jc w:val="center"/>
              <w:outlineLvl w:val="1"/>
              <w:rPr>
                <w:rFonts w:ascii="仿宋_GB2312" w:hAnsi="宋体" w:eastAsia="仿宋_GB2312"/>
                <w:kern w:val="0"/>
                <w:sz w:val="18"/>
                <w:szCs w:val="18"/>
                <w:highlight w:val="none"/>
              </w:rPr>
            </w:pP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9" w:type="dxa"/>
          <w:trHeight w:val="581" w:hRule="atLeast"/>
        </w:trPr>
        <w:tc>
          <w:tcPr>
            <w:tcW w:w="492" w:type="dxa"/>
            <w:gridSpan w:val="4"/>
            <w:vAlign w:val="center"/>
          </w:tcPr>
          <w:p>
            <w:pPr>
              <w:widowControl/>
              <w:jc w:val="center"/>
              <w:outlineLvl w:val="1"/>
              <w:rPr>
                <w:rFonts w:ascii="仿宋_GB2312" w:hAnsi="宋体" w:eastAsia="仿宋_GB2312"/>
                <w:kern w:val="0"/>
                <w:sz w:val="18"/>
                <w:szCs w:val="18"/>
                <w:highlight w:val="none"/>
              </w:rPr>
            </w:pPr>
          </w:p>
        </w:tc>
        <w:tc>
          <w:tcPr>
            <w:tcW w:w="466" w:type="dxa"/>
            <w:gridSpan w:val="2"/>
            <w:vAlign w:val="center"/>
          </w:tcPr>
          <w:p>
            <w:pPr>
              <w:widowControl/>
              <w:jc w:val="center"/>
              <w:outlineLvl w:val="1"/>
              <w:rPr>
                <w:rFonts w:ascii="仿宋_GB2312" w:hAnsi="宋体" w:eastAsia="仿宋_GB2312"/>
                <w:kern w:val="0"/>
                <w:sz w:val="18"/>
                <w:szCs w:val="18"/>
                <w:highlight w:val="none"/>
              </w:rPr>
            </w:pPr>
          </w:p>
        </w:tc>
        <w:tc>
          <w:tcPr>
            <w:tcW w:w="423" w:type="dxa"/>
            <w:gridSpan w:val="2"/>
            <w:vAlign w:val="center"/>
          </w:tcPr>
          <w:p>
            <w:pPr>
              <w:widowControl/>
              <w:jc w:val="center"/>
              <w:outlineLvl w:val="1"/>
              <w:rPr>
                <w:rFonts w:ascii="仿宋_GB2312" w:hAnsi="宋体" w:eastAsia="仿宋_GB2312"/>
                <w:kern w:val="0"/>
                <w:sz w:val="18"/>
                <w:szCs w:val="18"/>
                <w:highlight w:val="none"/>
              </w:rPr>
            </w:pPr>
          </w:p>
        </w:tc>
        <w:tc>
          <w:tcPr>
            <w:tcW w:w="1053" w:type="dxa"/>
            <w:gridSpan w:val="4"/>
            <w:vAlign w:val="center"/>
          </w:tcPr>
          <w:p>
            <w:pPr>
              <w:widowControl/>
              <w:jc w:val="center"/>
              <w:outlineLvl w:val="1"/>
              <w:rPr>
                <w:rFonts w:ascii="仿宋_GB2312" w:hAnsi="宋体" w:eastAsia="仿宋_GB2312"/>
                <w:kern w:val="0"/>
                <w:sz w:val="18"/>
                <w:szCs w:val="18"/>
                <w:highlight w:val="none"/>
              </w:rPr>
            </w:pPr>
          </w:p>
        </w:tc>
        <w:tc>
          <w:tcPr>
            <w:tcW w:w="1078"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b/>
                <w:bCs/>
                <w:kern w:val="0"/>
                <w:sz w:val="18"/>
                <w:szCs w:val="18"/>
                <w:highlight w:val="none"/>
              </w:rPr>
              <w:t>合 计</w:t>
            </w:r>
          </w:p>
        </w:tc>
        <w:tc>
          <w:tcPr>
            <w:tcW w:w="753"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571" w:type="dxa"/>
            <w:gridSpan w:val="3"/>
            <w:vAlign w:val="center"/>
          </w:tcPr>
          <w:p>
            <w:pPr>
              <w:widowControl/>
              <w:jc w:val="center"/>
              <w:outlineLvl w:val="1"/>
              <w:rPr>
                <w:rFonts w:ascii="仿宋_GB2312" w:hAnsi="宋体" w:eastAsia="仿宋_GB2312"/>
                <w:kern w:val="0"/>
                <w:sz w:val="18"/>
                <w:szCs w:val="18"/>
                <w:highlight w:val="none"/>
              </w:rPr>
            </w:pPr>
          </w:p>
        </w:tc>
        <w:tc>
          <w:tcPr>
            <w:tcW w:w="538"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10</w:t>
            </w:r>
          </w:p>
        </w:tc>
        <w:tc>
          <w:tcPr>
            <w:tcW w:w="654" w:type="dxa"/>
            <w:vAlign w:val="center"/>
          </w:tcPr>
          <w:p>
            <w:pPr>
              <w:widowControl/>
              <w:jc w:val="center"/>
              <w:outlineLvl w:val="1"/>
              <w:rPr>
                <w:rFonts w:ascii="仿宋_GB2312" w:hAnsi="宋体" w:eastAsia="仿宋_GB2312"/>
                <w:kern w:val="0"/>
                <w:sz w:val="18"/>
                <w:szCs w:val="18"/>
                <w:highlight w:val="none"/>
              </w:rPr>
            </w:pPr>
          </w:p>
        </w:tc>
        <w:tc>
          <w:tcPr>
            <w:tcW w:w="654" w:type="dxa"/>
            <w:gridSpan w:val="4"/>
            <w:vAlign w:val="center"/>
          </w:tcPr>
          <w:p>
            <w:pPr>
              <w:widowControl/>
              <w:jc w:val="center"/>
              <w:outlineLvl w:val="1"/>
              <w:rPr>
                <w:rFonts w:ascii="仿宋_GB2312" w:hAnsi="宋体" w:eastAsia="仿宋_GB2312"/>
                <w:kern w:val="0"/>
                <w:sz w:val="18"/>
                <w:szCs w:val="18"/>
                <w:highlight w:val="none"/>
              </w:rPr>
            </w:pPr>
          </w:p>
        </w:tc>
        <w:tc>
          <w:tcPr>
            <w:tcW w:w="580" w:type="dxa"/>
            <w:gridSpan w:val="2"/>
            <w:vAlign w:val="center"/>
          </w:tcPr>
          <w:p>
            <w:pPr>
              <w:widowControl/>
              <w:jc w:val="center"/>
              <w:outlineLvl w:val="1"/>
              <w:rPr>
                <w:rFonts w:ascii="仿宋_GB2312" w:hAnsi="宋体" w:eastAsia="仿宋_GB2312"/>
                <w:kern w:val="0"/>
                <w:sz w:val="18"/>
                <w:szCs w:val="18"/>
                <w:highlight w:val="none"/>
              </w:rPr>
            </w:pPr>
          </w:p>
        </w:tc>
        <w:tc>
          <w:tcPr>
            <w:tcW w:w="420" w:type="dxa"/>
            <w:gridSpan w:val="2"/>
            <w:vAlign w:val="center"/>
          </w:tcPr>
          <w:p>
            <w:pPr>
              <w:widowControl/>
              <w:jc w:val="center"/>
              <w:outlineLvl w:val="1"/>
              <w:rPr>
                <w:rFonts w:ascii="仿宋_GB2312" w:hAnsi="宋体" w:eastAsia="仿宋_GB2312"/>
                <w:kern w:val="0"/>
                <w:sz w:val="18"/>
                <w:szCs w:val="18"/>
                <w:highlight w:val="none"/>
              </w:rPr>
            </w:pPr>
          </w:p>
        </w:tc>
        <w:tc>
          <w:tcPr>
            <w:tcW w:w="580" w:type="dxa"/>
            <w:gridSpan w:val="3"/>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21" w:type="dxa"/>
            <w:vAlign w:val="center"/>
          </w:tcPr>
          <w:p>
            <w:pPr>
              <w:widowControl/>
              <w:jc w:val="center"/>
              <w:outlineLvl w:val="1"/>
              <w:rPr>
                <w:rFonts w:ascii="仿宋_GB2312" w:hAnsi="宋体" w:eastAsia="仿宋_GB2312"/>
                <w:kern w:val="0"/>
                <w:sz w:val="18"/>
                <w:szCs w:val="18"/>
                <w:highlight w:val="none"/>
              </w:rPr>
            </w:pPr>
          </w:p>
        </w:tc>
        <w:tc>
          <w:tcPr>
            <w:tcW w:w="469" w:type="dxa"/>
            <w:gridSpan w:val="2"/>
            <w:vAlign w:val="center"/>
          </w:tcPr>
          <w:p>
            <w:pPr>
              <w:widowControl/>
              <w:jc w:val="center"/>
              <w:outlineLvl w:val="1"/>
              <w:rPr>
                <w:rFonts w:ascii="仿宋_GB2312" w:hAnsi="宋体" w:eastAsia="仿宋_GB2312"/>
                <w:kern w:val="0"/>
                <w:sz w:val="18"/>
                <w:szCs w:val="18"/>
                <w:highlight w:val="none"/>
              </w:rPr>
            </w:pP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val="0"/>
          <w:bCs/>
          <w:kern w:val="0"/>
          <w:sz w:val="18"/>
          <w:szCs w:val="18"/>
          <w:highlight w:val="none"/>
        </w:rPr>
      </w:pPr>
    </w:p>
    <w:p>
      <w:pPr>
        <w:widowControl/>
        <w:jc w:val="left"/>
        <w:outlineLvl w:val="1"/>
        <w:rPr>
          <w:rFonts w:hint="eastAsia" w:ascii="仿宋_GB2312" w:hAnsi="宋体" w:eastAsia="仿宋_GB2312"/>
          <w:b w:val="0"/>
          <w:bCs/>
          <w:kern w:val="0"/>
          <w:sz w:val="18"/>
          <w:szCs w:val="18"/>
          <w:highlight w:val="none"/>
        </w:rPr>
      </w:pPr>
    </w:p>
    <w:p>
      <w:pPr>
        <w:widowControl/>
        <w:jc w:val="left"/>
        <w:outlineLvl w:val="1"/>
        <w:rPr>
          <w:rFonts w:hint="eastAsia" w:ascii="仿宋_GB2312" w:hAnsi="宋体" w:eastAsia="仿宋_GB2312"/>
          <w:b w:val="0"/>
          <w:bCs/>
          <w:kern w:val="0"/>
          <w:sz w:val="21"/>
          <w:szCs w:val="21"/>
          <w:highlight w:val="none"/>
        </w:rPr>
      </w:pPr>
    </w:p>
    <w:p>
      <w:pPr>
        <w:widowControl/>
        <w:jc w:val="left"/>
        <w:outlineLvl w:val="1"/>
        <w:rPr>
          <w:rFonts w:hint="default" w:ascii="仿宋_GB2312" w:hAnsi="宋体" w:eastAsia="仿宋_GB2312"/>
          <w:b w:val="0"/>
          <w:bCs/>
          <w:kern w:val="0"/>
          <w:sz w:val="21"/>
          <w:szCs w:val="21"/>
          <w:highlight w:val="none"/>
          <w:lang w:val="en-US" w:eastAsia="zh-CN"/>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8</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w:t>
      </w:r>
      <w:r>
        <w:rPr>
          <w:rFonts w:hint="eastAsia" w:ascii="仿宋_GB2312" w:hAnsi="宋体" w:eastAsia="仿宋_GB2312"/>
          <w:kern w:val="0"/>
          <w:sz w:val="24"/>
          <w:highlight w:val="none"/>
          <w:lang w:eastAsia="zh-CN"/>
        </w:rPr>
        <w:t>部门</w:t>
      </w:r>
      <w:r>
        <w:rPr>
          <w:rFonts w:hint="eastAsia" w:ascii="仿宋_GB2312" w:hAnsi="宋体" w:eastAsia="仿宋_GB2312"/>
          <w:kern w:val="0"/>
          <w:sz w:val="24"/>
          <w:highlight w:val="none"/>
        </w:rPr>
        <w:t>： 昌吉州妇幼保健计划生育服务中心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6</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6</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6</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r>
    </w:tbl>
    <w:p>
      <w:pPr>
        <w:widowControl/>
        <w:jc w:val="left"/>
        <w:textAlignment w:val="bottom"/>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spacing w:line="360" w:lineRule="exact"/>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val="0"/>
          <w:bCs/>
          <w:kern w:val="0"/>
          <w:sz w:val="21"/>
          <w:szCs w:val="21"/>
          <w:highlight w:val="none"/>
        </w:rPr>
      </w:pPr>
    </w:p>
    <w:p>
      <w:pPr>
        <w:widowControl/>
        <w:jc w:val="left"/>
        <w:outlineLvl w:val="1"/>
        <w:rPr>
          <w:rFonts w:hint="default" w:ascii="仿宋_GB2312" w:hAnsi="宋体" w:eastAsia="仿宋_GB2312"/>
          <w:b w:val="0"/>
          <w:bCs/>
          <w:kern w:val="0"/>
          <w:sz w:val="21"/>
          <w:szCs w:val="21"/>
          <w:highlight w:val="none"/>
          <w:lang w:val="en-US" w:eastAsia="zh-CN"/>
        </w:rPr>
      </w:pPr>
      <w:r>
        <w:rPr>
          <w:rFonts w:hint="eastAsia" w:ascii="仿宋_GB2312" w:hAnsi="宋体" w:eastAsia="仿宋_GB2312"/>
          <w:b w:val="0"/>
          <w:bCs/>
          <w:kern w:val="0"/>
          <w:sz w:val="21"/>
          <w:szCs w:val="21"/>
          <w:highlight w:val="none"/>
        </w:rPr>
        <w:t>表</w:t>
      </w:r>
      <w:r>
        <w:rPr>
          <w:rFonts w:hint="eastAsia" w:ascii="仿宋_GB2312" w:hAnsi="宋体" w:eastAsia="仿宋_GB2312"/>
          <w:b w:val="0"/>
          <w:bCs/>
          <w:kern w:val="0"/>
          <w:sz w:val="21"/>
          <w:szCs w:val="21"/>
          <w:highlight w:val="none"/>
          <w:lang w:val="en-US" w:eastAsia="zh-CN"/>
        </w:rPr>
        <w:t>9</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w:t>
      </w:r>
      <w:r>
        <w:rPr>
          <w:rFonts w:hint="eastAsia" w:ascii="仿宋_GB2312" w:hAnsi="宋体" w:eastAsia="仿宋_GB2312"/>
          <w:kern w:val="0"/>
          <w:sz w:val="24"/>
          <w:highlight w:val="none"/>
          <w:lang w:eastAsia="zh-CN"/>
        </w:rPr>
        <w:t>部门</w:t>
      </w:r>
      <w:r>
        <w:rPr>
          <w:rFonts w:hint="eastAsia" w:ascii="仿宋_GB2312" w:hAnsi="宋体" w:eastAsia="仿宋_GB2312"/>
          <w:kern w:val="0"/>
          <w:sz w:val="24"/>
          <w:highlight w:val="none"/>
        </w:rPr>
        <w:t>：昌吉州妇幼保健计划生育服务中心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r>
              <w:rPr>
                <w:rFonts w:hint="eastAsia" w:ascii="仿宋_GB2312" w:hAnsi="宋体" w:eastAsia="仿宋_GB2312" w:cs="宋体"/>
                <w:b/>
                <w:bCs/>
                <w:color w:val="000000"/>
                <w:kern w:val="0"/>
                <w:sz w:val="18"/>
                <w:szCs w:val="18"/>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highlight w:val="none"/>
              </w:rPr>
            </w:pP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pPr>
        <w:widowControl/>
        <w:spacing w:line="280" w:lineRule="exact"/>
        <w:jc w:val="left"/>
        <w:outlineLvl w:val="1"/>
        <w:rPr>
          <w:rFonts w:ascii="仿宋_GB2312" w:hAnsi="宋体" w:eastAsia="仿宋_GB2312"/>
          <w:kern w:val="0"/>
          <w:sz w:val="32"/>
          <w:szCs w:val="32"/>
          <w:highlight w:val="none"/>
        </w:rPr>
        <w:sectPr>
          <w:footerReference r:id="rId3" w:type="default"/>
          <w:footerReference r:id="rId4" w:type="even"/>
          <w:pgSz w:w="11906" w:h="16838"/>
          <w:pgMar w:top="2098" w:right="1418" w:bottom="1928" w:left="1588" w:header="851" w:footer="992" w:gutter="0"/>
          <w:pgNumType w:start="1"/>
          <w:cols w:space="720" w:num="1"/>
          <w:docGrid w:linePitch="312" w:charSpace="0"/>
        </w:sectPr>
      </w:pPr>
    </w:p>
    <w:p>
      <w:pPr>
        <w:keepNext w:val="0"/>
        <w:keepLines w:val="0"/>
        <w:pageBreakBefore w:val="0"/>
        <w:numPr>
          <w:ilvl w:val="0"/>
          <w:numId w:val="1"/>
        </w:numPr>
        <w:kinsoku/>
        <w:wordWrap/>
        <w:overflowPunct/>
        <w:topLinePunct w:val="0"/>
        <w:autoSpaceDE/>
        <w:autoSpaceDN/>
        <w:bidi w:val="0"/>
        <w:adjustRightInd/>
        <w:spacing w:line="64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 xml:space="preserve"> </w:t>
      </w:r>
      <w:r>
        <w:rPr>
          <w:rFonts w:hint="eastAsia" w:ascii="黑体" w:hAnsi="黑体" w:eastAsia="黑体"/>
          <w:kern w:val="0"/>
          <w:sz w:val="32"/>
          <w:szCs w:val="32"/>
          <w:highlight w:val="none"/>
          <w:lang w:eastAsia="zh-CN"/>
        </w:rPr>
        <w:t>2022</w:t>
      </w:r>
      <w:r>
        <w:rPr>
          <w:rFonts w:hint="eastAsia" w:ascii="黑体" w:hAnsi="黑体" w:eastAsia="黑体"/>
          <w:kern w:val="0"/>
          <w:sz w:val="32"/>
          <w:szCs w:val="32"/>
          <w:highlight w:val="none"/>
        </w:rPr>
        <w:t>年昌吉州妇幼保健计划生育服务中心</w:t>
      </w:r>
    </w:p>
    <w:p>
      <w:pPr>
        <w:keepNext w:val="0"/>
        <w:keepLines w:val="0"/>
        <w:pageBreakBefore w:val="0"/>
        <w:kinsoku/>
        <w:wordWrap/>
        <w:overflowPunct/>
        <w:topLinePunct w:val="0"/>
        <w:autoSpaceDE/>
        <w:autoSpaceDN/>
        <w:bidi w:val="0"/>
        <w:adjustRightInd/>
        <w:spacing w:line="64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预算情况说明</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w:t>
      </w:r>
      <w:r>
        <w:rPr>
          <w:rFonts w:hint="eastAsia" w:ascii="黑体" w:hAnsi="黑体" w:eastAsia="黑体"/>
          <w:kern w:val="0"/>
          <w:sz w:val="32"/>
          <w:szCs w:val="32"/>
          <w:highlight w:val="none"/>
        </w:rPr>
        <w:t>昌吉州妇幼保健计划生育服务中心</w:t>
      </w:r>
      <w:r>
        <w:rPr>
          <w:rFonts w:hint="eastAsia" w:ascii="黑体" w:hAnsi="黑体" w:eastAsia="黑体"/>
          <w:kern w:val="0"/>
          <w:sz w:val="32"/>
          <w:szCs w:val="32"/>
          <w:highlight w:val="none"/>
          <w:lang w:eastAsia="zh-CN"/>
        </w:rPr>
        <w:t>2022</w:t>
      </w:r>
      <w:r>
        <w:rPr>
          <w:rFonts w:hint="eastAsia" w:ascii="黑体" w:hAnsi="宋体" w:eastAsia="黑体" w:cs="宋体"/>
          <w:kern w:val="0"/>
          <w:sz w:val="32"/>
          <w:szCs w:val="32"/>
          <w:highlight w:val="none"/>
        </w:rPr>
        <w:t>年收支预算情况的总体说明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按照全口径预算的原则，昌吉州妇幼保健计划生育服务中心</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年所有收入和支出均纳入</w:t>
      </w:r>
      <w:r>
        <w:rPr>
          <w:rFonts w:hint="eastAsia" w:ascii="仿宋_GB2312" w:hAnsi="宋体" w:eastAsia="仿宋_GB2312" w:cs="宋体"/>
          <w:kern w:val="0"/>
          <w:sz w:val="32"/>
          <w:szCs w:val="32"/>
          <w:highlight w:val="none"/>
          <w:lang w:eastAsia="zh-CN"/>
        </w:rPr>
        <w:t>部门</w:t>
      </w:r>
      <w:r>
        <w:rPr>
          <w:rFonts w:hint="eastAsia" w:ascii="仿宋_GB2312" w:hAnsi="宋体" w:eastAsia="仿宋_GB2312" w:cs="宋体"/>
          <w:kern w:val="0"/>
          <w:sz w:val="32"/>
          <w:szCs w:val="32"/>
          <w:highlight w:val="none"/>
        </w:rPr>
        <w:t>预算管理。收支总预算</w:t>
      </w:r>
      <w:r>
        <w:rPr>
          <w:rFonts w:hint="eastAsia" w:ascii="仿宋_GB2312" w:hAnsi="宋体" w:eastAsia="仿宋_GB2312" w:cs="宋体"/>
          <w:kern w:val="0"/>
          <w:sz w:val="32"/>
          <w:szCs w:val="32"/>
          <w:highlight w:val="none"/>
          <w:lang w:val="en-US" w:eastAsia="zh-CN"/>
        </w:rPr>
        <w:t>478.69</w:t>
      </w:r>
      <w:r>
        <w:rPr>
          <w:rFonts w:hint="eastAsia" w:ascii="仿宋_GB2312" w:hAnsi="宋体" w:eastAsia="仿宋_GB2312" w:cs="宋体"/>
          <w:kern w:val="0"/>
          <w:sz w:val="32"/>
          <w:szCs w:val="32"/>
          <w:highlight w:val="none"/>
        </w:rPr>
        <w:t>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收入、</w:t>
      </w:r>
      <w:r>
        <w:rPr>
          <w:rFonts w:hint="eastAsia" w:ascii="仿宋_GB2312" w:hAnsi="宋体" w:eastAsia="仿宋_GB2312" w:cs="宋体"/>
          <w:kern w:val="0"/>
          <w:sz w:val="32"/>
          <w:szCs w:val="32"/>
          <w:highlight w:val="none"/>
        </w:rPr>
        <w:t>事业收入。</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支出预算包括：卫生健康支出</w:t>
      </w:r>
      <w:r>
        <w:rPr>
          <w:rFonts w:hint="eastAsia" w:ascii="仿宋_GB2312" w:hAnsi="宋体" w:eastAsia="仿宋_GB2312" w:cs="宋体"/>
          <w:kern w:val="0"/>
          <w:sz w:val="32"/>
          <w:szCs w:val="32"/>
          <w:highlight w:val="none"/>
          <w:lang w:val="en-US" w:eastAsia="zh-CN"/>
        </w:rPr>
        <w:t>、社会保障和就业支出、</w:t>
      </w:r>
      <w:r>
        <w:rPr>
          <w:rFonts w:hint="eastAsia" w:ascii="仿宋_GB2312" w:hAnsi="宋体" w:eastAsia="仿宋_GB2312" w:cs="宋体"/>
          <w:color w:val="000000" w:themeColor="text1"/>
          <w:spacing w:val="-6"/>
          <w:kern w:val="0"/>
          <w:sz w:val="32"/>
          <w:szCs w:val="32"/>
          <w:highlight w:val="none"/>
          <w:lang w:val="en-US" w:eastAsia="zh-CN"/>
          <w14:textFill>
            <w14:solidFill>
              <w14:schemeClr w14:val="tx1"/>
            </w14:solidFill>
          </w14:textFill>
        </w:rPr>
        <w:t>住房保障支出</w:t>
      </w:r>
      <w:r>
        <w:rPr>
          <w:rFonts w:hint="eastAsia" w:ascii="仿宋_GB2312" w:hAnsi="宋体" w:eastAsia="仿宋_GB2312" w:cs="宋体"/>
          <w:kern w:val="0"/>
          <w:sz w:val="32"/>
          <w:szCs w:val="32"/>
          <w:highlight w:val="none"/>
        </w:rPr>
        <w:t>。</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w:t>
      </w:r>
      <w:r>
        <w:rPr>
          <w:rFonts w:hint="eastAsia" w:ascii="黑体" w:hAnsi="黑体" w:eastAsia="黑体"/>
          <w:kern w:val="0"/>
          <w:sz w:val="32"/>
          <w:szCs w:val="32"/>
          <w:highlight w:val="none"/>
        </w:rPr>
        <w:t>昌吉州妇幼保健计划生育服务中心</w:t>
      </w:r>
      <w:r>
        <w:rPr>
          <w:rFonts w:hint="eastAsia" w:ascii="黑体" w:hAnsi="黑体" w:eastAsia="黑体"/>
          <w:kern w:val="0"/>
          <w:sz w:val="32"/>
          <w:szCs w:val="32"/>
          <w:highlight w:val="none"/>
          <w:lang w:eastAsia="zh-CN"/>
        </w:rPr>
        <w:t>2022</w:t>
      </w:r>
      <w:r>
        <w:rPr>
          <w:rFonts w:hint="eastAsia" w:ascii="黑体" w:hAnsi="宋体" w:eastAsia="黑体" w:cs="宋体"/>
          <w:kern w:val="0"/>
          <w:sz w:val="32"/>
          <w:szCs w:val="32"/>
          <w:highlight w:val="none"/>
        </w:rPr>
        <w:t>年收入预算情况说明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昌吉州妇幼保健计划生育服务中心收入预算</w:t>
      </w:r>
      <w:r>
        <w:rPr>
          <w:rFonts w:hint="eastAsia" w:ascii="仿宋_GB2312" w:hAnsi="宋体" w:eastAsia="仿宋_GB2312" w:cs="宋体"/>
          <w:kern w:val="0"/>
          <w:sz w:val="32"/>
          <w:szCs w:val="32"/>
          <w:highlight w:val="none"/>
          <w:lang w:val="en-US" w:eastAsia="zh-CN"/>
        </w:rPr>
        <w:t>478</w:t>
      </w:r>
      <w:r>
        <w:rPr>
          <w:rFonts w:hint="eastAsia" w:ascii="仿宋_GB2312" w:hAnsi="宋体" w:eastAsia="仿宋_GB2312" w:cs="宋体"/>
          <w:kern w:val="0"/>
          <w:sz w:val="32"/>
          <w:szCs w:val="32"/>
          <w:highlight w:val="none"/>
          <w:lang w:eastAsia="zh-CN"/>
        </w:rPr>
        <w:t>.69</w:t>
      </w:r>
      <w:r>
        <w:rPr>
          <w:rFonts w:hint="eastAsia" w:ascii="仿宋_GB2312" w:hAnsi="宋体" w:eastAsia="仿宋_GB2312" w:cs="宋体"/>
          <w:kern w:val="0"/>
          <w:sz w:val="32"/>
          <w:szCs w:val="32"/>
          <w:highlight w:val="none"/>
        </w:rPr>
        <w:t>万元，其中：</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_GB2312"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463.</w:t>
      </w:r>
      <w:r>
        <w:rPr>
          <w:rFonts w:hint="eastAsia" w:ascii="仿宋_GB2312" w:hAnsi="宋体" w:eastAsia="仿宋_GB2312" w:cs="宋体"/>
          <w:kern w:val="0"/>
          <w:sz w:val="32"/>
          <w:szCs w:val="32"/>
          <w:highlight w:val="none"/>
          <w:lang w:eastAsia="zh-CN"/>
        </w:rPr>
        <w:t>69</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96.87</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比上年预算数减少</w:t>
      </w:r>
      <w:r>
        <w:rPr>
          <w:rFonts w:hint="eastAsia" w:ascii="仿宋_GB2312" w:hAnsi="宋体" w:eastAsia="仿宋_GB2312" w:cs="宋体"/>
          <w:kern w:val="0"/>
          <w:sz w:val="32"/>
          <w:szCs w:val="32"/>
          <w:highlight w:val="none"/>
          <w:lang w:val="en-US" w:eastAsia="zh-CN"/>
        </w:rPr>
        <w:t>17</w:t>
      </w:r>
      <w:r>
        <w:rPr>
          <w:rFonts w:hint="eastAsia" w:ascii="仿宋_GB2312" w:hAnsi="宋体" w:eastAsia="仿宋_GB2312" w:cs="宋体"/>
          <w:kern w:val="0"/>
          <w:sz w:val="32"/>
          <w:szCs w:val="32"/>
          <w:highlight w:val="none"/>
          <w:lang w:eastAsia="zh-CN"/>
        </w:rPr>
        <w:t>.83万元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下降</w:t>
      </w:r>
      <w:r>
        <w:rPr>
          <w:rFonts w:hint="eastAsia" w:ascii="仿宋_GB2312" w:hAnsi="宋体" w:eastAsia="仿宋_GB2312" w:cs="宋体"/>
          <w:kern w:val="0"/>
          <w:sz w:val="32"/>
          <w:szCs w:val="32"/>
          <w:highlight w:val="none"/>
          <w:lang w:val="en-US" w:eastAsia="zh-CN"/>
        </w:rPr>
        <w:t>3.7%，</w:t>
      </w:r>
      <w:r>
        <w:rPr>
          <w:rFonts w:hint="eastAsia" w:ascii="仿宋_GB2312"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在职人员伙食补助费没有纳入预算</w:t>
      </w:r>
      <w:r>
        <w:rPr>
          <w:rFonts w:hint="eastAsia" w:ascii="仿宋_GB2312" w:hAnsi="宋体" w:eastAsia="仿宋_GB2312" w:cs="宋体"/>
          <w:color w:val="000000"/>
          <w:kern w:val="0"/>
          <w:sz w:val="32"/>
          <w:szCs w:val="32"/>
          <w:highlight w:val="none"/>
          <w:lang w:val="en-US" w:eastAsia="zh-CN"/>
        </w:rPr>
        <w:t>及</w:t>
      </w:r>
      <w:r>
        <w:rPr>
          <w:rFonts w:hint="eastAsia" w:ascii="仿宋_GB2312" w:eastAsia="仿宋_GB2312" w:cs="宋体"/>
          <w:kern w:val="0"/>
          <w:sz w:val="32"/>
          <w:szCs w:val="32"/>
          <w:highlight w:val="none"/>
          <w:lang w:val="en-US" w:eastAsia="zh-CN"/>
        </w:rPr>
        <w:t>工作人员减少，</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基本支出较</w:t>
      </w:r>
      <w:r>
        <w:rPr>
          <w:rFonts w:hint="eastAsia" w:ascii="仿宋_GB2312" w:eastAsia="仿宋_GB2312" w:cs="宋体"/>
          <w:color w:val="auto"/>
          <w:kern w:val="0"/>
          <w:sz w:val="32"/>
          <w:szCs w:val="32"/>
          <w:highlight w:val="none"/>
          <w:lang w:eastAsia="zh-CN"/>
        </w:rPr>
        <w:t>上年</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预算</w:t>
      </w:r>
      <w:r>
        <w:rPr>
          <w:rFonts w:hint="eastAsia" w:ascii="仿宋_GB2312" w:eastAsia="仿宋_GB2312" w:cs="宋体"/>
          <w:color w:val="auto"/>
          <w:kern w:val="0"/>
          <w:sz w:val="32"/>
          <w:szCs w:val="32"/>
          <w:highlight w:val="none"/>
          <w:lang w:eastAsia="zh-CN"/>
        </w:rPr>
        <w:t>减少</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w:t>
      </w:r>
    </w:p>
    <w:p>
      <w:pPr>
        <w:spacing w:line="560" w:lineRule="exact"/>
        <w:ind w:firstLine="640" w:firstLineChars="200"/>
        <w:rPr>
          <w:rFonts w:hint="eastAsia" w:ascii="仿宋_GB2312"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kern w:val="0"/>
          <w:sz w:val="32"/>
          <w:szCs w:val="32"/>
        </w:rPr>
        <w:t>事业收入</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上年度未安排事业收入预算。</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eastAsia="仿宋_GB2312" w:cs="宋体"/>
          <w:kern w:val="0"/>
          <w:sz w:val="32"/>
          <w:szCs w:val="32"/>
          <w:highlight w:val="none"/>
        </w:rPr>
      </w:pPr>
      <w:r>
        <w:rPr>
          <w:rFonts w:hint="eastAsia" w:ascii="仿宋_GB2312" w:eastAsia="仿宋_GB2312" w:cs="宋体"/>
          <w:kern w:val="0"/>
          <w:sz w:val="32"/>
          <w:szCs w:val="32"/>
          <w:highlight w:val="none"/>
        </w:rPr>
        <w:t>政府性基金预算未安排。</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w:t>
      </w:r>
      <w:r>
        <w:rPr>
          <w:rFonts w:hint="eastAsia" w:ascii="黑体" w:hAnsi="黑体" w:eastAsia="黑体"/>
          <w:kern w:val="0"/>
          <w:sz w:val="32"/>
          <w:szCs w:val="32"/>
          <w:highlight w:val="none"/>
        </w:rPr>
        <w:t>昌吉州妇幼保健计划生育服务中心</w:t>
      </w:r>
      <w:r>
        <w:rPr>
          <w:rFonts w:hint="eastAsia" w:ascii="黑体" w:hAnsi="黑体" w:eastAsia="黑体"/>
          <w:kern w:val="0"/>
          <w:sz w:val="32"/>
          <w:szCs w:val="32"/>
          <w:highlight w:val="none"/>
          <w:lang w:eastAsia="zh-CN"/>
        </w:rPr>
        <w:t>2022</w:t>
      </w:r>
      <w:r>
        <w:rPr>
          <w:rFonts w:hint="eastAsia" w:ascii="黑体" w:hAnsi="宋体" w:eastAsia="黑体" w:cs="宋体"/>
          <w:kern w:val="0"/>
          <w:sz w:val="32"/>
          <w:szCs w:val="32"/>
          <w:highlight w:val="none"/>
        </w:rPr>
        <w:t>年支出预算情况说明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昌吉州妇幼保健计划生育服务中心</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年支出预算</w:t>
      </w:r>
      <w:r>
        <w:rPr>
          <w:rFonts w:hint="eastAsia" w:ascii="仿宋_GB2312" w:hAnsi="宋体" w:eastAsia="仿宋_GB2312" w:cs="宋体"/>
          <w:kern w:val="0"/>
          <w:sz w:val="32"/>
          <w:szCs w:val="32"/>
          <w:highlight w:val="none"/>
          <w:lang w:eastAsia="zh-CN"/>
        </w:rPr>
        <w:t>463.69</w:t>
      </w:r>
      <w:r>
        <w:rPr>
          <w:rFonts w:hint="eastAsia" w:ascii="仿宋_GB2312" w:hAnsi="宋体" w:eastAsia="仿宋_GB2312" w:cs="宋体"/>
          <w:kern w:val="0"/>
          <w:sz w:val="32"/>
          <w:szCs w:val="32"/>
          <w:highlight w:val="none"/>
        </w:rPr>
        <w:t>万元，其中：</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_GB2312"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453.69</w:t>
      </w:r>
      <w:r>
        <w:rPr>
          <w:rFonts w:hint="eastAsia" w:ascii="仿宋_GB2312" w:hAnsi="宋体" w:eastAsia="仿宋_GB2312" w:cs="宋体"/>
          <w:kern w:val="0"/>
          <w:sz w:val="32"/>
          <w:szCs w:val="32"/>
          <w:highlight w:val="none"/>
        </w:rPr>
        <w:t>万元，占9</w:t>
      </w:r>
      <w:r>
        <w:rPr>
          <w:rFonts w:hint="eastAsia" w:ascii="仿宋_GB2312" w:hAnsi="宋体" w:eastAsia="仿宋_GB2312" w:cs="宋体"/>
          <w:kern w:val="0"/>
          <w:sz w:val="32"/>
          <w:szCs w:val="32"/>
          <w:highlight w:val="none"/>
          <w:lang w:val="en-US" w:eastAsia="zh-CN"/>
        </w:rPr>
        <w:t>4.78</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比上年预算数减少17.83万元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下降</w:t>
      </w:r>
      <w:r>
        <w:rPr>
          <w:rFonts w:hint="eastAsia" w:ascii="仿宋_GB2312" w:hAnsi="宋体" w:eastAsia="仿宋_GB2312" w:cs="宋体"/>
          <w:kern w:val="0"/>
          <w:sz w:val="32"/>
          <w:szCs w:val="32"/>
          <w:highlight w:val="none"/>
          <w:lang w:val="en-US" w:eastAsia="zh-CN"/>
        </w:rPr>
        <w:t>3.78%，</w:t>
      </w:r>
      <w:r>
        <w:rPr>
          <w:rFonts w:hint="eastAsia" w:ascii="仿宋_GB2312"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在职人员伙食补助费没有纳入预算</w:t>
      </w:r>
      <w:r>
        <w:rPr>
          <w:rFonts w:hint="eastAsia" w:ascii="仿宋_GB2312" w:hAnsi="宋体" w:eastAsia="仿宋_GB2312" w:cs="宋体"/>
          <w:color w:val="000000"/>
          <w:kern w:val="0"/>
          <w:sz w:val="32"/>
          <w:szCs w:val="32"/>
          <w:highlight w:val="none"/>
          <w:lang w:val="en-US" w:eastAsia="zh-CN"/>
        </w:rPr>
        <w:t>及</w:t>
      </w:r>
      <w:r>
        <w:rPr>
          <w:rFonts w:hint="eastAsia" w:ascii="仿宋_GB2312" w:eastAsia="仿宋_GB2312" w:cs="宋体"/>
          <w:kern w:val="0"/>
          <w:sz w:val="32"/>
          <w:szCs w:val="32"/>
          <w:highlight w:val="none"/>
          <w:lang w:val="en-US" w:eastAsia="zh-CN"/>
        </w:rPr>
        <w:t>工作人员减少，</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基本支出较</w:t>
      </w:r>
      <w:r>
        <w:rPr>
          <w:rFonts w:hint="eastAsia" w:ascii="仿宋_GB2312" w:eastAsia="仿宋_GB2312" w:cs="宋体"/>
          <w:color w:val="auto"/>
          <w:kern w:val="0"/>
          <w:sz w:val="32"/>
          <w:szCs w:val="32"/>
          <w:highlight w:val="none"/>
          <w:lang w:eastAsia="zh-CN"/>
        </w:rPr>
        <w:t>上年</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预算</w:t>
      </w:r>
      <w:r>
        <w:rPr>
          <w:rFonts w:hint="eastAsia" w:ascii="仿宋_GB2312" w:eastAsia="仿宋_GB2312" w:cs="宋体"/>
          <w:color w:val="auto"/>
          <w:kern w:val="0"/>
          <w:sz w:val="32"/>
          <w:szCs w:val="32"/>
          <w:highlight w:val="none"/>
          <w:lang w:eastAsia="zh-CN"/>
        </w:rPr>
        <w:t>减少</w:t>
      </w:r>
      <w:r>
        <w:rPr>
          <w:rFonts w:hint="eastAsia" w:ascii="仿宋_GB2312" w:eastAsia="仿宋_GB2312" w:cs="宋体"/>
          <w:color w:val="auto"/>
          <w:kern w:val="0"/>
          <w:sz w:val="32"/>
          <w:szCs w:val="32"/>
          <w:highlight w:val="none"/>
          <w:lang w:val="en-US" w:eastAsia="zh-CN"/>
        </w:rPr>
        <w:t>17.83万元</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5.22</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比上年预算数增加</w:t>
      </w:r>
      <w:r>
        <w:rPr>
          <w:rFonts w:hint="eastAsia" w:ascii="仿宋_GB2312" w:hAnsi="宋体" w:eastAsia="仿宋_GB2312" w:cs="宋体"/>
          <w:kern w:val="0"/>
          <w:sz w:val="32"/>
          <w:szCs w:val="32"/>
          <w:highlight w:val="none"/>
          <w:lang w:val="en-US" w:eastAsia="zh-CN"/>
        </w:rPr>
        <w:t>15</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增长</w:t>
      </w:r>
      <w:r>
        <w:rPr>
          <w:rFonts w:hint="eastAsia" w:ascii="仿宋_GB2312" w:hAnsi="宋体" w:eastAsia="仿宋_GB2312" w:cs="宋体"/>
          <w:kern w:val="0"/>
          <w:sz w:val="32"/>
          <w:szCs w:val="32"/>
          <w:highlight w:val="none"/>
          <w:lang w:val="en-US" w:eastAsia="zh-CN"/>
        </w:rPr>
        <w:t>150%，</w:t>
      </w:r>
      <w:r>
        <w:rPr>
          <w:rFonts w:hint="eastAsia" w:ascii="仿宋_GB2312" w:eastAsia="仿宋_GB2312" w:cs="宋体"/>
          <w:kern w:val="0"/>
          <w:sz w:val="32"/>
          <w:szCs w:val="32"/>
          <w:highlight w:val="none"/>
        </w:rPr>
        <w:t>主要原因是</w:t>
      </w:r>
      <w:r>
        <w:rPr>
          <w:rFonts w:hint="eastAsia" w:ascii="仿宋_GB2312" w:eastAsia="仿宋_GB2312" w:cs="宋体"/>
          <w:kern w:val="0"/>
          <w:sz w:val="32"/>
          <w:szCs w:val="32"/>
          <w:highlight w:val="none"/>
          <w:lang w:eastAsia="zh-CN"/>
        </w:rPr>
        <w:t>增加事业收入预算</w:t>
      </w:r>
      <w:r>
        <w:rPr>
          <w:rFonts w:hint="eastAsia" w:ascii="仿宋_GB2312" w:eastAsia="仿宋_GB2312" w:cs="宋体"/>
          <w:kern w:val="0"/>
          <w:sz w:val="32"/>
          <w:szCs w:val="32"/>
          <w:highlight w:val="none"/>
          <w:lang w:val="en-US" w:eastAsia="zh-CN"/>
        </w:rPr>
        <w:t>15万元</w:t>
      </w:r>
      <w:r>
        <w:rPr>
          <w:rFonts w:hint="eastAsia" w:ascii="仿宋_GB2312" w:eastAsia="仿宋_GB2312" w:cs="宋体"/>
          <w:kern w:val="0"/>
          <w:sz w:val="32"/>
          <w:szCs w:val="32"/>
          <w:highlight w:val="none"/>
          <w:lang w:eastAsia="zh-CN"/>
        </w:rPr>
        <w:t>，机构运行补助经费增加</w:t>
      </w:r>
      <w:r>
        <w:rPr>
          <w:rFonts w:hint="eastAsia" w:ascii="仿宋_GB2312" w:hAnsi="宋体" w:eastAsia="仿宋_GB2312" w:cs="宋体"/>
          <w:kern w:val="0"/>
          <w:sz w:val="32"/>
          <w:szCs w:val="32"/>
          <w:highlight w:val="none"/>
        </w:rPr>
        <w:t>。</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黑体" w:eastAsia="黑体"/>
          <w:kern w:val="0"/>
          <w:sz w:val="32"/>
          <w:szCs w:val="32"/>
          <w:highlight w:val="none"/>
        </w:rPr>
        <w:t>昌吉州妇幼保健计划生育服务中心</w:t>
      </w:r>
      <w:r>
        <w:rPr>
          <w:rFonts w:hint="eastAsia" w:ascii="黑体" w:hAnsi="黑体" w:eastAsia="黑体"/>
          <w:kern w:val="0"/>
          <w:sz w:val="32"/>
          <w:szCs w:val="32"/>
          <w:highlight w:val="none"/>
          <w:lang w:eastAsia="zh-CN"/>
        </w:rPr>
        <w:t>2022</w:t>
      </w:r>
      <w:r>
        <w:rPr>
          <w:rFonts w:hint="eastAsia" w:ascii="黑体" w:hAnsi="宋体" w:eastAsia="黑体" w:cs="宋体"/>
          <w:kern w:val="0"/>
          <w:sz w:val="32"/>
          <w:szCs w:val="32"/>
          <w:highlight w:val="none"/>
        </w:rPr>
        <w:t>年</w:t>
      </w:r>
      <w:r>
        <w:rPr>
          <w:rFonts w:hint="eastAsia" w:ascii="黑体" w:hAnsi="黑体" w:eastAsia="黑体" w:cs="宋体"/>
          <w:bCs/>
          <w:kern w:val="0"/>
          <w:sz w:val="32"/>
          <w:szCs w:val="32"/>
          <w:highlight w:val="none"/>
        </w:rPr>
        <w:t>财政拨款收支预算情况的总体说明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年财政拨款收支总预算</w:t>
      </w:r>
      <w:r>
        <w:rPr>
          <w:rFonts w:hint="eastAsia" w:ascii="仿宋_GB2312" w:hAnsi="宋体" w:eastAsia="仿宋_GB2312" w:cs="宋体"/>
          <w:kern w:val="0"/>
          <w:sz w:val="32"/>
          <w:szCs w:val="32"/>
          <w:highlight w:val="none"/>
          <w:lang w:eastAsia="zh-CN"/>
        </w:rPr>
        <w:t>463.69</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收入全部为一般公共预算拨款，无政府性基金预算和国有资本经营预算拨款。</w:t>
      </w:r>
    </w:p>
    <w:p>
      <w:pPr>
        <w:keepNext w:val="0"/>
        <w:keepLines w:val="0"/>
        <w:pageBreakBefore w:val="0"/>
        <w:kinsoku/>
        <w:wordWrap/>
        <w:overflowPunct/>
        <w:topLinePunct w:val="0"/>
        <w:autoSpaceDE/>
        <w:autoSpaceDN/>
        <w:bidi w:val="0"/>
        <w:adjustRightInd/>
        <w:spacing w:line="64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收入预算包括：一般公共预算拨款</w:t>
      </w:r>
      <w:r>
        <w:rPr>
          <w:rFonts w:hint="eastAsia" w:ascii="仿宋_GB2312" w:hAnsi="宋体" w:eastAsia="仿宋_GB2312" w:cs="宋体"/>
          <w:spacing w:val="-6"/>
          <w:kern w:val="0"/>
          <w:sz w:val="32"/>
          <w:szCs w:val="32"/>
          <w:highlight w:val="none"/>
          <w:lang w:eastAsia="zh-CN"/>
        </w:rPr>
        <w:t>463.69</w:t>
      </w:r>
      <w:r>
        <w:rPr>
          <w:rFonts w:hint="eastAsia" w:ascii="仿宋_GB2312" w:hAnsi="宋体" w:eastAsia="仿宋_GB2312" w:cs="宋体"/>
          <w:spacing w:val="-6"/>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一般公共预算支出包括：</w:t>
      </w:r>
      <w:r>
        <w:rPr>
          <w:rFonts w:hint="eastAsia" w:ascii="仿宋_GB2312" w:hAnsi="宋体" w:eastAsia="仿宋_GB2312" w:cs="宋体"/>
          <w:kern w:val="0"/>
          <w:sz w:val="32"/>
          <w:szCs w:val="32"/>
          <w:highlight w:val="none"/>
          <w:lang w:val="en-US" w:eastAsia="zh-CN"/>
        </w:rPr>
        <w:t>社会保障和就业支出44.52万元，</w:t>
      </w:r>
      <w:r>
        <w:rPr>
          <w:rFonts w:hint="eastAsia" w:ascii="仿宋_GB2312" w:hAnsi="宋体" w:eastAsia="仿宋_GB2312" w:cs="宋体"/>
          <w:color w:val="000000" w:themeColor="text1"/>
          <w:kern w:val="0"/>
          <w:sz w:val="32"/>
          <w:szCs w:val="32"/>
          <w:highlight w:val="none"/>
          <w14:textFill>
            <w14:solidFill>
              <w14:schemeClr w14:val="tx1"/>
            </w14:solidFill>
          </w14:textFill>
        </w:rPr>
        <w:t>要用于机关事业单位基本养老保险缴费</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及退休人员取暖费</w:t>
      </w:r>
      <w:r>
        <w:rPr>
          <w:rFonts w:hint="eastAsia" w:ascii="仿宋_GB2312" w:hAnsi="宋体" w:eastAsia="仿宋_GB2312" w:cs="宋体"/>
          <w:color w:val="000000" w:themeColor="text1"/>
          <w:kern w:val="0"/>
          <w:sz w:val="32"/>
          <w:szCs w:val="32"/>
          <w:highlight w:val="none"/>
          <w14:textFill>
            <w14:solidFill>
              <w14:schemeClr w14:val="tx1"/>
            </w14:solidFill>
          </w14:textFill>
        </w:rPr>
        <w:t>支出</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w:t>
      </w:r>
      <w:r>
        <w:rPr>
          <w:rFonts w:hint="eastAsia" w:ascii="仿宋_GB2312" w:hAnsi="宋体" w:eastAsia="仿宋_GB2312" w:cs="宋体"/>
          <w:spacing w:val="-6"/>
          <w:kern w:val="0"/>
          <w:sz w:val="32"/>
          <w:szCs w:val="32"/>
          <w:highlight w:val="none"/>
        </w:rPr>
        <w:t>卫生健康支出</w:t>
      </w:r>
      <w:r>
        <w:rPr>
          <w:rFonts w:hint="eastAsia" w:ascii="仿宋_GB2312" w:hAnsi="宋体" w:eastAsia="仿宋_GB2312" w:cs="宋体"/>
          <w:spacing w:val="-6"/>
          <w:kern w:val="0"/>
          <w:sz w:val="32"/>
          <w:szCs w:val="32"/>
          <w:highlight w:val="none"/>
          <w:lang w:val="en-US" w:eastAsia="zh-CN"/>
        </w:rPr>
        <w:t>380.7</w:t>
      </w:r>
      <w:r>
        <w:rPr>
          <w:rFonts w:hint="eastAsia" w:ascii="仿宋_GB2312" w:hAnsi="宋体" w:eastAsia="仿宋_GB2312" w:cs="宋体"/>
          <w:spacing w:val="-6"/>
          <w:kern w:val="0"/>
          <w:sz w:val="32"/>
          <w:szCs w:val="32"/>
          <w:highlight w:val="none"/>
        </w:rPr>
        <w:t>万元，主要用于单位妇幼保健和计划生育服务业务正常运行，提高妇幼保健医疗水平，促进区州计划生育医疗水平的均衡发展</w:t>
      </w:r>
      <w:r>
        <w:rPr>
          <w:rFonts w:hint="eastAsia" w:ascii="仿宋_GB2312" w:hAnsi="宋体" w:eastAsia="仿宋_GB2312" w:cs="宋体"/>
          <w:spacing w:val="-6"/>
          <w:kern w:val="0"/>
          <w:sz w:val="32"/>
          <w:szCs w:val="32"/>
          <w:highlight w:val="none"/>
          <w:lang w:eastAsia="zh-CN"/>
        </w:rPr>
        <w:t>支出；</w:t>
      </w:r>
      <w:r>
        <w:rPr>
          <w:rFonts w:hint="eastAsia" w:ascii="仿宋_GB2312" w:hAnsi="宋体" w:eastAsia="仿宋_GB2312" w:cs="宋体"/>
          <w:color w:val="000000" w:themeColor="text1"/>
          <w:spacing w:val="-6"/>
          <w:kern w:val="0"/>
          <w:sz w:val="32"/>
          <w:szCs w:val="32"/>
          <w:highlight w:val="none"/>
          <w:lang w:val="en-US" w:eastAsia="zh-CN"/>
          <w14:textFill>
            <w14:solidFill>
              <w14:schemeClr w14:val="tx1"/>
            </w14:solidFill>
          </w14:textFill>
        </w:rPr>
        <w:t>住房保障支出38.47万元，</w:t>
      </w:r>
      <w:r>
        <w:rPr>
          <w:rFonts w:hint="eastAsia" w:ascii="仿宋_GB2312" w:hAnsi="宋体" w:eastAsia="仿宋_GB2312" w:cs="宋体"/>
          <w:color w:val="000000" w:themeColor="text1"/>
          <w:kern w:val="0"/>
          <w:sz w:val="32"/>
          <w:szCs w:val="32"/>
          <w:highlight w:val="none"/>
          <w14:textFill>
            <w14:solidFill>
              <w14:schemeClr w14:val="tx1"/>
            </w14:solidFill>
          </w14:textFill>
        </w:rPr>
        <w:t>主要用于</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缴纳在职职工公积金。</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w:t>
      </w:r>
      <w:r>
        <w:rPr>
          <w:rFonts w:hint="eastAsia" w:ascii="黑体" w:hAnsi="黑体" w:eastAsia="黑体"/>
          <w:kern w:val="0"/>
          <w:sz w:val="32"/>
          <w:szCs w:val="32"/>
          <w:highlight w:val="none"/>
        </w:rPr>
        <w:t>昌吉州妇幼保健计划生育服务中心</w:t>
      </w:r>
      <w:r>
        <w:rPr>
          <w:rFonts w:hint="eastAsia" w:ascii="黑体" w:hAnsi="黑体" w:eastAsia="黑体"/>
          <w:kern w:val="0"/>
          <w:sz w:val="32"/>
          <w:szCs w:val="32"/>
          <w:highlight w:val="none"/>
          <w:lang w:eastAsia="zh-CN"/>
        </w:rPr>
        <w:t>2022</w:t>
      </w:r>
      <w:r>
        <w:rPr>
          <w:rFonts w:hint="eastAsia" w:ascii="黑体" w:hAnsi="宋体" w:eastAsia="黑体" w:cs="宋体"/>
          <w:kern w:val="0"/>
          <w:sz w:val="32"/>
          <w:szCs w:val="32"/>
          <w:highlight w:val="none"/>
        </w:rPr>
        <w:t>年一般公共预算当年拨款情况说明</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（一）一般公共预算当年拨款规模变化情况</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color w:val="auto"/>
          <w:kern w:val="0"/>
          <w:sz w:val="32"/>
          <w:szCs w:val="32"/>
          <w:highlight w:val="none"/>
        </w:rPr>
      </w:pPr>
      <w:r>
        <w:rPr>
          <w:rFonts w:hint="eastAsia" w:ascii="仿宋_GB2312" w:hAnsi="宋体" w:eastAsia="仿宋_GB2312" w:cs="宋体"/>
          <w:kern w:val="0"/>
          <w:sz w:val="32"/>
          <w:szCs w:val="32"/>
          <w:highlight w:val="none"/>
        </w:rPr>
        <w:t>昌吉州妇幼保健计划生育服务中心</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年一般公共预算拨款合计</w:t>
      </w:r>
      <w:r>
        <w:rPr>
          <w:rFonts w:hint="eastAsia" w:ascii="仿宋_GB2312" w:hAnsi="宋体" w:eastAsia="仿宋_GB2312" w:cs="宋体"/>
          <w:kern w:val="0"/>
          <w:sz w:val="32"/>
          <w:szCs w:val="32"/>
          <w:highlight w:val="none"/>
          <w:lang w:eastAsia="zh-CN"/>
        </w:rPr>
        <w:t>463.69</w:t>
      </w:r>
      <w:r>
        <w:rPr>
          <w:rFonts w:hint="eastAsia" w:ascii="仿宋_GB2312" w:hAnsi="宋体" w:eastAsia="仿宋_GB2312" w:cs="宋体"/>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453.69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比上年预算数减少17.83万元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下降</w:t>
      </w:r>
      <w:r>
        <w:rPr>
          <w:rFonts w:hint="eastAsia" w:ascii="仿宋_GB2312" w:hAnsi="宋体" w:eastAsia="仿宋_GB2312" w:cs="宋体"/>
          <w:kern w:val="0"/>
          <w:sz w:val="32"/>
          <w:szCs w:val="32"/>
          <w:highlight w:val="none"/>
          <w:lang w:val="en-US" w:eastAsia="zh-CN"/>
        </w:rPr>
        <w:t>3.78%，</w:t>
      </w:r>
      <w:r>
        <w:rPr>
          <w:rFonts w:hint="eastAsia" w:ascii="仿宋_GB2312"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在职人员伙食补助费没有纳入预算</w:t>
      </w:r>
      <w:r>
        <w:rPr>
          <w:rFonts w:hint="eastAsia" w:ascii="仿宋_GB2312" w:hAnsi="宋体" w:eastAsia="仿宋_GB2312" w:cs="宋体"/>
          <w:color w:val="000000"/>
          <w:kern w:val="0"/>
          <w:sz w:val="32"/>
          <w:szCs w:val="32"/>
          <w:highlight w:val="none"/>
          <w:lang w:val="en-US" w:eastAsia="zh-CN"/>
        </w:rPr>
        <w:t>及</w:t>
      </w:r>
      <w:r>
        <w:rPr>
          <w:rFonts w:hint="eastAsia" w:ascii="仿宋_GB2312" w:eastAsia="仿宋_GB2312" w:cs="宋体"/>
          <w:kern w:val="0"/>
          <w:sz w:val="32"/>
          <w:szCs w:val="32"/>
          <w:highlight w:val="none"/>
          <w:lang w:val="en-US" w:eastAsia="zh-CN"/>
        </w:rPr>
        <w:t>工作人员减少，</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基本支出较</w:t>
      </w:r>
      <w:r>
        <w:rPr>
          <w:rFonts w:hint="eastAsia" w:ascii="仿宋_GB2312" w:eastAsia="仿宋_GB2312" w:cs="宋体"/>
          <w:color w:val="auto"/>
          <w:kern w:val="0"/>
          <w:sz w:val="32"/>
          <w:szCs w:val="32"/>
          <w:highlight w:val="none"/>
          <w:lang w:eastAsia="zh-CN"/>
        </w:rPr>
        <w:t>上年</w:t>
      </w:r>
      <w:r>
        <w:rPr>
          <w:rFonts w:hint="eastAsia" w:ascii="仿宋_GB2312" w:eastAsia="仿宋_GB2312" w:cs="宋体"/>
          <w:color w:val="000000" w:themeColor="text1"/>
          <w:kern w:val="0"/>
          <w:sz w:val="32"/>
          <w:szCs w:val="32"/>
          <w:highlight w:val="none"/>
          <w:lang w:eastAsia="zh-CN"/>
          <w14:textFill>
            <w14:solidFill>
              <w14:schemeClr w14:val="tx1"/>
            </w14:solidFill>
          </w14:textFill>
        </w:rPr>
        <w:t>预算</w:t>
      </w:r>
      <w:r>
        <w:rPr>
          <w:rFonts w:hint="eastAsia" w:ascii="仿宋_GB2312" w:eastAsia="仿宋_GB2312" w:cs="宋体"/>
          <w:color w:val="auto"/>
          <w:kern w:val="0"/>
          <w:sz w:val="32"/>
          <w:szCs w:val="32"/>
          <w:highlight w:val="none"/>
          <w:lang w:eastAsia="zh-CN"/>
        </w:rPr>
        <w:t>减少。</w:t>
      </w:r>
      <w:r>
        <w:rPr>
          <w:rFonts w:hint="eastAsia" w:ascii="仿宋_GB2312" w:hAnsi="宋体" w:eastAsia="仿宋_GB2312" w:cs="宋体"/>
          <w:color w:val="auto"/>
          <w:kern w:val="0"/>
          <w:sz w:val="32"/>
          <w:szCs w:val="32"/>
          <w:highlight w:val="none"/>
        </w:rPr>
        <w:t>项目支出10万元，</w:t>
      </w:r>
      <w:r>
        <w:rPr>
          <w:rFonts w:hint="eastAsia" w:ascii="仿宋_GB2312" w:hAnsi="宋体" w:eastAsia="仿宋_GB2312" w:cs="宋体"/>
          <w:color w:val="auto"/>
          <w:kern w:val="0"/>
          <w:sz w:val="32"/>
          <w:szCs w:val="32"/>
          <w:highlight w:val="none"/>
          <w:lang w:eastAsia="zh-CN"/>
        </w:rPr>
        <w:t>比上年预算数减少</w:t>
      </w:r>
      <w:r>
        <w:rPr>
          <w:rFonts w:hint="eastAsia" w:ascii="仿宋_GB2312" w:hAnsi="宋体" w:eastAsia="仿宋_GB2312" w:cs="宋体"/>
          <w:color w:val="auto"/>
          <w:kern w:val="0"/>
          <w:sz w:val="32"/>
          <w:szCs w:val="32"/>
          <w:highlight w:val="none"/>
          <w:lang w:val="en-US" w:eastAsia="zh-CN"/>
        </w:rPr>
        <w:t>0</w:t>
      </w:r>
      <w:r>
        <w:rPr>
          <w:rFonts w:hint="eastAsia" w:ascii="仿宋_GB2312" w:hAnsi="宋体" w:eastAsia="仿宋_GB2312" w:cs="宋体"/>
          <w:color w:val="auto"/>
          <w:kern w:val="0"/>
          <w:sz w:val="32"/>
          <w:szCs w:val="32"/>
          <w:highlight w:val="none"/>
          <w:lang w:eastAsia="zh-CN"/>
        </w:rPr>
        <w:t>万元</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下降</w:t>
      </w:r>
      <w:r>
        <w:rPr>
          <w:rFonts w:hint="eastAsia" w:ascii="仿宋_GB2312" w:hAnsi="宋体" w:eastAsia="仿宋_GB2312" w:cs="宋体"/>
          <w:color w:val="auto"/>
          <w:kern w:val="0"/>
          <w:sz w:val="32"/>
          <w:szCs w:val="32"/>
          <w:highlight w:val="none"/>
          <w:lang w:val="en-US" w:eastAsia="zh-CN"/>
        </w:rPr>
        <w:t>0%，</w:t>
      </w:r>
      <w:r>
        <w:rPr>
          <w:rFonts w:hint="eastAsia" w:ascii="仿宋_GB2312" w:eastAsia="仿宋_GB2312" w:cs="宋体"/>
          <w:color w:val="auto"/>
          <w:kern w:val="0"/>
          <w:sz w:val="32"/>
          <w:szCs w:val="32"/>
          <w:highlight w:val="none"/>
        </w:rPr>
        <w:t>主要原因是</w:t>
      </w:r>
      <w:r>
        <w:rPr>
          <w:rFonts w:hint="eastAsia" w:ascii="仿宋" w:hAnsi="仿宋" w:eastAsia="仿宋" w:cs="仿宋"/>
          <w:i w:val="0"/>
          <w:color w:val="auto"/>
          <w:kern w:val="0"/>
          <w:sz w:val="32"/>
          <w:szCs w:val="32"/>
          <w:highlight w:val="none"/>
          <w:u w:val="none"/>
          <w:lang w:val="en-US" w:eastAsia="zh-CN" w:bidi="ar"/>
        </w:rPr>
        <w:t>计划生育宣传工作任务</w:t>
      </w:r>
      <w:r>
        <w:rPr>
          <w:rFonts w:hint="eastAsia" w:ascii="仿宋" w:hAnsi="仿宋" w:eastAsia="仿宋" w:cs="仿宋"/>
          <w:color w:val="auto"/>
          <w:kern w:val="0"/>
          <w:sz w:val="32"/>
          <w:szCs w:val="32"/>
          <w:highlight w:val="none"/>
        </w:rPr>
        <w:t>与</w:t>
      </w:r>
      <w:r>
        <w:rPr>
          <w:rFonts w:hint="eastAsia" w:ascii="仿宋_GB2312" w:hAnsi="宋体" w:eastAsia="仿宋_GB2312" w:cs="宋体"/>
          <w:color w:val="auto"/>
          <w:kern w:val="0"/>
          <w:sz w:val="32"/>
          <w:szCs w:val="32"/>
          <w:highlight w:val="none"/>
        </w:rPr>
        <w:t>上年持平。</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color w:val="auto"/>
          <w:kern w:val="0"/>
          <w:sz w:val="32"/>
          <w:szCs w:val="32"/>
          <w:highlight w:val="none"/>
        </w:rPr>
      </w:pPr>
      <w:r>
        <w:rPr>
          <w:rFonts w:hint="eastAsia" w:ascii="楷体_GB2312" w:hAnsi="宋体" w:eastAsia="楷体_GB2312" w:cs="宋体"/>
          <w:b/>
          <w:color w:val="auto"/>
          <w:kern w:val="0"/>
          <w:sz w:val="32"/>
          <w:szCs w:val="32"/>
          <w:highlight w:val="none"/>
        </w:rPr>
        <w:t>（二）一般公共预算当年拨款结构情况</w:t>
      </w:r>
    </w:p>
    <w:p>
      <w:pPr>
        <w:keepNext w:val="0"/>
        <w:keepLines w:val="0"/>
        <w:pageBreakBefore w:val="0"/>
        <w:kinsoku/>
        <w:wordWrap/>
        <w:overflowPunct/>
        <w:topLinePunct w:val="0"/>
        <w:autoSpaceDE/>
        <w:autoSpaceDN/>
        <w:bidi w:val="0"/>
        <w:adjustRightInd/>
        <w:spacing w:line="640" w:lineRule="exact"/>
        <w:ind w:firstLine="960" w:firstLineChars="300"/>
        <w:rPr>
          <w:rFonts w:hint="eastAsia" w:ascii="仿宋" w:hAnsi="仿宋" w:eastAsia="仿宋" w:cs="仿宋"/>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社会保障和就业支出</w:t>
      </w:r>
      <w:r>
        <w:rPr>
          <w:rFonts w:hint="eastAsia" w:ascii="仿宋" w:hAnsi="仿宋" w:eastAsia="仿宋" w:cs="仿宋"/>
          <w:color w:val="auto"/>
          <w:kern w:val="0"/>
          <w:sz w:val="32"/>
          <w:szCs w:val="32"/>
          <w:highlight w:val="none"/>
          <w:lang w:val="en-US" w:eastAsia="zh-CN"/>
        </w:rPr>
        <w:t>44.52</w:t>
      </w:r>
      <w:r>
        <w:rPr>
          <w:rFonts w:hint="eastAsia" w:ascii="仿宋" w:hAnsi="仿宋" w:eastAsia="仿宋" w:cs="仿宋"/>
          <w:color w:val="auto"/>
          <w:kern w:val="0"/>
          <w:sz w:val="32"/>
          <w:szCs w:val="32"/>
          <w:highlight w:val="none"/>
        </w:rPr>
        <w:t>万元，占</w:t>
      </w:r>
      <w:r>
        <w:rPr>
          <w:rFonts w:hint="eastAsia" w:ascii="仿宋" w:hAnsi="仿宋" w:eastAsia="仿宋" w:cs="仿宋"/>
          <w:color w:val="auto"/>
          <w:kern w:val="0"/>
          <w:sz w:val="32"/>
          <w:szCs w:val="32"/>
          <w:highlight w:val="none"/>
          <w:lang w:val="en-US" w:eastAsia="zh-CN"/>
        </w:rPr>
        <w:t>9.6</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w:t>
      </w:r>
    </w:p>
    <w:p>
      <w:pPr>
        <w:keepNext w:val="0"/>
        <w:keepLines w:val="0"/>
        <w:pageBreakBefore w:val="0"/>
        <w:kinsoku/>
        <w:wordWrap/>
        <w:overflowPunct/>
        <w:topLinePunct w:val="0"/>
        <w:autoSpaceDE/>
        <w:autoSpaceDN/>
        <w:bidi w:val="0"/>
        <w:adjustRightInd/>
        <w:spacing w:line="640" w:lineRule="exact"/>
        <w:ind w:firstLine="960" w:firstLineChars="300"/>
        <w:rPr>
          <w:rFonts w:hint="eastAsia" w:ascii="仿宋_GB2312" w:hAnsi="宋体" w:eastAsia="仿宋_GB2312" w:cs="宋体"/>
          <w:color w:val="auto"/>
          <w:kern w:val="0"/>
          <w:sz w:val="32"/>
          <w:szCs w:val="32"/>
          <w:highlight w:val="none"/>
          <w:lang w:eastAsia="zh-CN"/>
        </w:rPr>
      </w:pP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rPr>
        <w:t>卫生健康支出</w:t>
      </w:r>
      <w:r>
        <w:rPr>
          <w:rFonts w:hint="eastAsia" w:ascii="仿宋" w:hAnsi="仿宋" w:eastAsia="仿宋" w:cs="仿宋"/>
          <w:color w:val="auto"/>
          <w:kern w:val="0"/>
          <w:sz w:val="32"/>
          <w:szCs w:val="32"/>
          <w:highlight w:val="none"/>
          <w:lang w:val="en-US" w:eastAsia="zh-CN"/>
        </w:rPr>
        <w:t>380.7</w:t>
      </w:r>
      <w:r>
        <w:rPr>
          <w:rFonts w:hint="eastAsia" w:ascii="仿宋" w:hAnsi="仿宋" w:eastAsia="仿宋" w:cs="仿宋"/>
          <w:color w:val="auto"/>
          <w:kern w:val="0"/>
          <w:sz w:val="32"/>
          <w:szCs w:val="32"/>
          <w:highlight w:val="none"/>
        </w:rPr>
        <w:t>万元</w:t>
      </w:r>
      <w:r>
        <w:rPr>
          <w:rFonts w:hint="eastAsia" w:ascii="仿宋_GB2312" w:eastAsia="仿宋_GB2312"/>
          <w:color w:val="auto"/>
          <w:sz w:val="32"/>
          <w:szCs w:val="32"/>
          <w:highlight w:val="none"/>
        </w:rPr>
        <w:t>，占</w:t>
      </w:r>
      <w:r>
        <w:rPr>
          <w:rFonts w:hint="eastAsia" w:ascii="仿宋_GB2312" w:eastAsia="仿宋_GB2312"/>
          <w:color w:val="auto"/>
          <w:sz w:val="32"/>
          <w:szCs w:val="32"/>
          <w:highlight w:val="none"/>
          <w:lang w:val="en-US" w:eastAsia="zh-CN"/>
        </w:rPr>
        <w:t>82.1</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bookmarkStart w:id="0" w:name="_GoBack"/>
      <w:bookmarkEnd w:id="0"/>
    </w:p>
    <w:p>
      <w:pPr>
        <w:keepNext w:val="0"/>
        <w:keepLines w:val="0"/>
        <w:pageBreakBefore w:val="0"/>
        <w:kinsoku/>
        <w:wordWrap/>
        <w:overflowPunct/>
        <w:topLinePunct w:val="0"/>
        <w:autoSpaceDE/>
        <w:autoSpaceDN/>
        <w:bidi w:val="0"/>
        <w:adjustRightInd/>
        <w:spacing w:line="640" w:lineRule="exact"/>
        <w:ind w:firstLine="924" w:firstLineChars="300"/>
        <w:rPr>
          <w:rFonts w:hint="default" w:ascii="仿宋_GB2312" w:eastAsia="仿宋_GB2312"/>
          <w:color w:val="auto"/>
          <w:sz w:val="32"/>
          <w:szCs w:val="32"/>
          <w:highlight w:val="none"/>
          <w:lang w:val="en-US" w:eastAsia="zh-CN"/>
        </w:rPr>
      </w:pPr>
      <w:r>
        <w:rPr>
          <w:rFonts w:hint="eastAsia" w:ascii="仿宋_GB2312" w:hAnsi="宋体" w:eastAsia="仿宋_GB2312" w:cs="宋体"/>
          <w:color w:val="auto"/>
          <w:spacing w:val="-6"/>
          <w:kern w:val="0"/>
          <w:sz w:val="32"/>
          <w:szCs w:val="32"/>
          <w:highlight w:val="none"/>
          <w:lang w:val="en-US" w:eastAsia="zh-CN"/>
        </w:rPr>
        <w:t>3.住房保障支出38.47万元，占8.3%。</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color w:val="auto"/>
          <w:kern w:val="0"/>
          <w:sz w:val="32"/>
          <w:szCs w:val="32"/>
          <w:highlight w:val="none"/>
        </w:rPr>
      </w:pPr>
      <w:r>
        <w:rPr>
          <w:rFonts w:hint="eastAsia" w:ascii="楷体_GB2312" w:hAnsi="宋体" w:eastAsia="楷体_GB2312" w:cs="宋体"/>
          <w:b/>
          <w:color w:val="auto"/>
          <w:kern w:val="0"/>
          <w:sz w:val="32"/>
          <w:szCs w:val="32"/>
          <w:highlight w:val="none"/>
        </w:rPr>
        <w:t>（三）一般公共预算当年拨款具体使用情况</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color w:val="auto"/>
          <w:kern w:val="0"/>
          <w:sz w:val="32"/>
          <w:szCs w:val="32"/>
          <w:highlight w:val="none"/>
        </w:rPr>
        <w:t>1.</w:t>
      </w:r>
      <w:r>
        <w:rPr>
          <w:rFonts w:hint="eastAsia" w:ascii="仿宋" w:hAnsi="仿宋" w:eastAsia="仿宋" w:cs="仿宋"/>
          <w:color w:val="auto"/>
          <w:kern w:val="0"/>
          <w:sz w:val="32"/>
          <w:szCs w:val="32"/>
          <w:highlight w:val="none"/>
        </w:rPr>
        <w:t>社会保障和就业支出</w:t>
      </w:r>
      <w:r>
        <w:rPr>
          <w:rFonts w:hint="eastAsia" w:ascii="仿宋" w:hAnsi="仿宋" w:eastAsia="仿宋" w:cs="仿宋"/>
          <w:color w:val="auto"/>
          <w:kern w:val="0"/>
          <w:sz w:val="32"/>
          <w:szCs w:val="32"/>
          <w:highlight w:val="none"/>
          <w:lang w:eastAsia="zh-CN"/>
        </w:rPr>
        <w:t>（类）</w:t>
      </w:r>
      <w:r>
        <w:rPr>
          <w:rFonts w:hint="eastAsia" w:ascii="仿宋" w:hAnsi="仿宋" w:eastAsia="仿宋" w:cs="仿宋"/>
          <w:color w:val="auto"/>
          <w:kern w:val="0"/>
          <w:sz w:val="32"/>
          <w:szCs w:val="32"/>
          <w:highlight w:val="none"/>
        </w:rPr>
        <w:t>行政事业单位养老支出</w:t>
      </w:r>
      <w:r>
        <w:rPr>
          <w:rFonts w:hint="eastAsia" w:ascii="仿宋" w:hAnsi="仿宋" w:eastAsia="仿宋" w:cs="仿宋"/>
          <w:color w:val="auto"/>
          <w:kern w:val="0"/>
          <w:sz w:val="32"/>
          <w:szCs w:val="32"/>
          <w:highlight w:val="none"/>
          <w:lang w:eastAsia="zh-CN"/>
        </w:rPr>
        <w:t>（款）事业单位离退休</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：2022</w:t>
      </w:r>
      <w:r>
        <w:rPr>
          <w:rFonts w:hint="eastAsia" w:ascii="仿宋" w:hAnsi="仿宋" w:eastAsia="仿宋" w:cs="仿宋"/>
          <w:color w:val="auto"/>
          <w:kern w:val="0"/>
          <w:sz w:val="32"/>
          <w:szCs w:val="32"/>
          <w:highlight w:val="none"/>
        </w:rPr>
        <w:t>年预算数为</w:t>
      </w:r>
      <w:r>
        <w:rPr>
          <w:rFonts w:hint="eastAsia" w:ascii="仿宋" w:hAnsi="仿宋" w:eastAsia="仿宋" w:cs="仿宋"/>
          <w:color w:val="auto"/>
          <w:kern w:val="0"/>
          <w:sz w:val="32"/>
          <w:szCs w:val="32"/>
          <w:highlight w:val="none"/>
          <w:lang w:val="en-US" w:eastAsia="zh-CN"/>
        </w:rPr>
        <w:t>1</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比上年预算数</w:t>
      </w:r>
      <w:r>
        <w:rPr>
          <w:rFonts w:hint="eastAsia" w:ascii="仿宋" w:hAnsi="仿宋" w:eastAsia="仿宋" w:cs="仿宋"/>
          <w:color w:val="auto"/>
          <w:kern w:val="0"/>
          <w:sz w:val="32"/>
          <w:szCs w:val="32"/>
          <w:highlight w:val="none"/>
        </w:rPr>
        <w:t>增加</w:t>
      </w:r>
      <w:r>
        <w:rPr>
          <w:rFonts w:hint="eastAsia" w:ascii="仿宋" w:hAnsi="仿宋" w:eastAsia="仿宋" w:cs="仿宋"/>
          <w:color w:val="auto"/>
          <w:kern w:val="0"/>
          <w:sz w:val="32"/>
          <w:szCs w:val="32"/>
          <w:highlight w:val="none"/>
          <w:lang w:val="en-US" w:eastAsia="zh-CN"/>
        </w:rPr>
        <w:t>1</w:t>
      </w:r>
      <w:r>
        <w:rPr>
          <w:rFonts w:hint="eastAsia" w:ascii="仿宋" w:hAnsi="仿宋" w:eastAsia="仿宋" w:cs="仿宋"/>
          <w:color w:val="auto"/>
          <w:kern w:val="0"/>
          <w:sz w:val="32"/>
          <w:szCs w:val="32"/>
          <w:highlight w:val="none"/>
        </w:rPr>
        <w:t>万元，增长</w:t>
      </w:r>
      <w:r>
        <w:rPr>
          <w:rFonts w:hint="eastAsia" w:ascii="仿宋" w:hAnsi="仿宋" w:eastAsia="仿宋" w:cs="仿宋"/>
          <w:color w:val="auto"/>
          <w:kern w:val="0"/>
          <w:sz w:val="32"/>
          <w:szCs w:val="32"/>
          <w:highlight w:val="none"/>
          <w:lang w:val="en-US" w:eastAsia="zh-CN"/>
        </w:rPr>
        <w:t>100</w:t>
      </w:r>
      <w:r>
        <w:rPr>
          <w:rFonts w:hint="eastAsia" w:ascii="仿宋" w:hAnsi="仿宋" w:eastAsia="仿宋" w:cs="仿宋"/>
          <w:color w:val="auto"/>
          <w:kern w:val="0"/>
          <w:sz w:val="32"/>
          <w:szCs w:val="32"/>
          <w:highlight w:val="none"/>
        </w:rPr>
        <w:t>%，主要原因是：</w:t>
      </w:r>
      <w:r>
        <w:rPr>
          <w:rFonts w:hint="eastAsia" w:ascii="仿宋_GB2312" w:hAnsi="宋体" w:eastAsia="仿宋_GB2312" w:cs="宋体"/>
          <w:kern w:val="0"/>
          <w:sz w:val="32"/>
          <w:szCs w:val="32"/>
          <w:highlight w:val="none"/>
        </w:rPr>
        <w:t>上年度</w:t>
      </w:r>
      <w:r>
        <w:rPr>
          <w:rFonts w:hint="eastAsia" w:ascii="仿宋" w:hAnsi="仿宋" w:eastAsia="仿宋" w:cs="仿宋"/>
          <w:color w:val="auto"/>
          <w:kern w:val="0"/>
          <w:sz w:val="32"/>
          <w:szCs w:val="32"/>
          <w:highlight w:val="none"/>
          <w:lang w:eastAsia="zh-CN"/>
        </w:rPr>
        <w:t>事业单位离退休</w:t>
      </w:r>
      <w:r>
        <w:rPr>
          <w:rFonts w:hint="eastAsia" w:ascii="仿宋_GB2312" w:hAnsi="宋体" w:eastAsia="仿宋_GB2312" w:cs="宋体"/>
          <w:kern w:val="0"/>
          <w:sz w:val="32"/>
          <w:szCs w:val="32"/>
          <w:highlight w:val="none"/>
        </w:rPr>
        <w:t>未列入此</w:t>
      </w:r>
      <w:r>
        <w:rPr>
          <w:rFonts w:hint="eastAsia" w:ascii="仿宋_GB2312" w:hAnsi="宋体" w:eastAsia="仿宋_GB2312" w:cs="宋体"/>
          <w:b w:val="0"/>
          <w:bCs w:val="0"/>
          <w:color w:val="000000"/>
          <w:kern w:val="0"/>
          <w:sz w:val="32"/>
          <w:szCs w:val="32"/>
          <w:highlight w:val="none"/>
        </w:rPr>
        <w:t>功能分类科目</w:t>
      </w:r>
      <w:r>
        <w:rPr>
          <w:rFonts w:hint="eastAsia" w:ascii="仿宋_GB2312" w:hAnsi="宋体" w:eastAsia="仿宋_GB2312" w:cs="宋体"/>
          <w:b w:val="0"/>
          <w:bCs w:val="0"/>
          <w:kern w:val="0"/>
          <w:sz w:val="32"/>
          <w:szCs w:val="32"/>
          <w:highlight w:val="none"/>
        </w:rPr>
        <w:t>中</w:t>
      </w:r>
      <w:r>
        <w:rPr>
          <w:rFonts w:hint="eastAsia" w:ascii="仿宋_GB2312" w:hAnsi="宋体" w:eastAsia="仿宋_GB2312" w:cs="宋体"/>
          <w:kern w:val="0"/>
          <w:sz w:val="32"/>
          <w:szCs w:val="32"/>
          <w:highlight w:val="none"/>
        </w:rPr>
        <w:t>。</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社会保障和就业支出</w:t>
      </w:r>
      <w:r>
        <w:rPr>
          <w:rFonts w:hint="eastAsia" w:ascii="仿宋" w:hAnsi="仿宋" w:eastAsia="仿宋" w:cs="仿宋"/>
          <w:color w:val="auto"/>
          <w:kern w:val="0"/>
          <w:sz w:val="32"/>
          <w:szCs w:val="32"/>
          <w:highlight w:val="none"/>
          <w:lang w:eastAsia="zh-CN"/>
        </w:rPr>
        <w:t>（类）</w:t>
      </w:r>
      <w:r>
        <w:rPr>
          <w:rFonts w:hint="eastAsia" w:ascii="仿宋" w:hAnsi="仿宋" w:eastAsia="仿宋" w:cs="仿宋"/>
          <w:color w:val="auto"/>
          <w:kern w:val="0"/>
          <w:sz w:val="32"/>
          <w:szCs w:val="32"/>
          <w:highlight w:val="none"/>
        </w:rPr>
        <w:t>行政事业单位养老支出</w:t>
      </w:r>
      <w:r>
        <w:rPr>
          <w:rFonts w:hint="eastAsia" w:ascii="仿宋" w:hAnsi="仿宋" w:eastAsia="仿宋" w:cs="仿宋"/>
          <w:color w:val="auto"/>
          <w:kern w:val="0"/>
          <w:sz w:val="32"/>
          <w:szCs w:val="32"/>
          <w:highlight w:val="none"/>
          <w:lang w:eastAsia="zh-CN"/>
        </w:rPr>
        <w:t>（款）</w:t>
      </w:r>
      <w:r>
        <w:rPr>
          <w:rFonts w:hint="eastAsia" w:ascii="仿宋" w:hAnsi="仿宋" w:eastAsia="仿宋" w:cs="仿宋"/>
          <w:color w:val="auto"/>
          <w:kern w:val="0"/>
          <w:sz w:val="32"/>
          <w:szCs w:val="32"/>
          <w:highlight w:val="none"/>
        </w:rPr>
        <w:t>机关事业单位基本养老保险缴费支出（</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2022年</w:t>
      </w:r>
      <w:r>
        <w:rPr>
          <w:rFonts w:ascii="仿宋_GB2312" w:hAnsi="宋体" w:eastAsia="仿宋_GB2312" w:cs="宋体"/>
          <w:color w:val="auto"/>
          <w:kern w:val="0"/>
          <w:sz w:val="32"/>
          <w:szCs w:val="32"/>
          <w:highlight w:val="none"/>
        </w:rPr>
        <w:t>预算数为</w:t>
      </w:r>
      <w:r>
        <w:rPr>
          <w:rFonts w:hint="eastAsia" w:ascii="仿宋_GB2312" w:hAnsi="宋体" w:eastAsia="仿宋_GB2312" w:cs="宋体"/>
          <w:color w:val="auto"/>
          <w:kern w:val="0"/>
          <w:sz w:val="32"/>
          <w:szCs w:val="32"/>
          <w:highlight w:val="none"/>
          <w:lang w:val="en-US" w:eastAsia="zh-CN"/>
        </w:rPr>
        <w:t>43.52万元，</w:t>
      </w:r>
      <w:r>
        <w:rPr>
          <w:rFonts w:hint="eastAsia" w:ascii="仿宋_GB2312" w:hAnsi="宋体" w:eastAsia="仿宋_GB2312" w:cs="宋体"/>
          <w:color w:val="auto"/>
          <w:kern w:val="0"/>
          <w:sz w:val="32"/>
          <w:szCs w:val="32"/>
          <w:highlight w:val="none"/>
          <w:lang w:eastAsia="zh-CN"/>
        </w:rPr>
        <w:t>比上年预算数</w:t>
      </w:r>
      <w:r>
        <w:rPr>
          <w:rFonts w:hint="eastAsia" w:ascii="仿宋_GB2312" w:hAnsi="宋体" w:eastAsia="仿宋_GB2312" w:cs="宋体"/>
          <w:color w:val="auto"/>
          <w:kern w:val="0"/>
          <w:sz w:val="32"/>
          <w:szCs w:val="32"/>
          <w:highlight w:val="none"/>
          <w:lang w:val="en-US" w:eastAsia="zh-CN"/>
        </w:rPr>
        <w:t>增加0.83万元，增长1.94%，</w:t>
      </w:r>
      <w:r>
        <w:rPr>
          <w:rFonts w:hint="eastAsia" w:ascii="仿宋_GB2312" w:hAnsi="宋体" w:eastAsia="仿宋_GB2312" w:cs="宋体"/>
          <w:color w:val="auto"/>
          <w:kern w:val="0"/>
          <w:sz w:val="32"/>
          <w:szCs w:val="32"/>
          <w:highlight w:val="none"/>
        </w:rPr>
        <w:t>主要原因是：</w:t>
      </w:r>
      <w:r>
        <w:rPr>
          <w:rFonts w:hint="eastAsia" w:ascii="仿宋_GB2312" w:hAnsi="宋体" w:eastAsia="仿宋_GB2312" w:cs="宋体"/>
          <w:color w:val="auto"/>
          <w:kern w:val="0"/>
          <w:sz w:val="32"/>
          <w:szCs w:val="32"/>
          <w:highlight w:val="none"/>
          <w:lang w:eastAsia="zh-CN"/>
        </w:rPr>
        <w:t>在职职工调标增资，</w:t>
      </w:r>
      <w:r>
        <w:rPr>
          <w:rFonts w:hint="eastAsia" w:ascii="仿宋" w:hAnsi="仿宋" w:eastAsia="仿宋" w:cs="仿宋"/>
          <w:color w:val="auto"/>
          <w:kern w:val="0"/>
          <w:sz w:val="32"/>
          <w:szCs w:val="32"/>
          <w:highlight w:val="none"/>
        </w:rPr>
        <w:t>机关事业单位基本养老保险缴费支出</w:t>
      </w:r>
      <w:r>
        <w:rPr>
          <w:rFonts w:hint="eastAsia" w:ascii="仿宋" w:hAnsi="仿宋" w:eastAsia="仿宋" w:cs="仿宋"/>
          <w:color w:val="auto"/>
          <w:kern w:val="0"/>
          <w:sz w:val="32"/>
          <w:szCs w:val="32"/>
          <w:highlight w:val="none"/>
          <w:lang w:eastAsia="zh-CN"/>
        </w:rPr>
        <w:t>较上年预算增加。</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_GB2312" w:eastAsia="仿宋_GB2312" w:cs="宋体"/>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卫生健康支出</w:t>
      </w:r>
      <w:r>
        <w:rPr>
          <w:rFonts w:hint="eastAsia" w:ascii="仿宋" w:hAnsi="仿宋" w:eastAsia="仿宋" w:cs="仿宋"/>
          <w:color w:val="auto"/>
          <w:kern w:val="0"/>
          <w:sz w:val="32"/>
          <w:szCs w:val="32"/>
          <w:highlight w:val="none"/>
          <w:lang w:eastAsia="zh-CN"/>
        </w:rPr>
        <w:t>（类）</w:t>
      </w:r>
      <w:r>
        <w:rPr>
          <w:rFonts w:hint="eastAsia" w:ascii="仿宋" w:hAnsi="仿宋" w:eastAsia="仿宋" w:cs="仿宋"/>
          <w:color w:val="auto"/>
          <w:kern w:val="0"/>
          <w:sz w:val="32"/>
          <w:szCs w:val="32"/>
          <w:highlight w:val="none"/>
        </w:rPr>
        <w:t>计划生育事务</w:t>
      </w:r>
      <w:r>
        <w:rPr>
          <w:rFonts w:hint="eastAsia" w:ascii="仿宋" w:hAnsi="仿宋" w:eastAsia="仿宋" w:cs="仿宋"/>
          <w:color w:val="auto"/>
          <w:kern w:val="0"/>
          <w:sz w:val="32"/>
          <w:szCs w:val="32"/>
          <w:highlight w:val="none"/>
          <w:lang w:eastAsia="zh-CN"/>
        </w:rPr>
        <w:t>（款）</w:t>
      </w:r>
      <w:r>
        <w:rPr>
          <w:rFonts w:hint="eastAsia" w:ascii="仿宋" w:hAnsi="仿宋" w:eastAsia="仿宋" w:cs="仿宋"/>
          <w:color w:val="auto"/>
          <w:kern w:val="0"/>
          <w:sz w:val="32"/>
          <w:szCs w:val="32"/>
          <w:highlight w:val="none"/>
        </w:rPr>
        <w:t>计划生育</w:t>
      </w:r>
      <w:r>
        <w:rPr>
          <w:rFonts w:hint="eastAsia" w:ascii="仿宋" w:hAnsi="仿宋" w:eastAsia="仿宋" w:cs="仿宋"/>
          <w:color w:val="auto"/>
          <w:kern w:val="0"/>
          <w:sz w:val="32"/>
          <w:szCs w:val="32"/>
          <w:highlight w:val="none"/>
          <w:lang w:eastAsia="zh-CN"/>
        </w:rPr>
        <w:t>机构</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：2022</w:t>
      </w:r>
      <w:r>
        <w:rPr>
          <w:rFonts w:hint="eastAsia" w:ascii="仿宋" w:hAnsi="仿宋" w:eastAsia="仿宋" w:cs="仿宋"/>
          <w:color w:val="auto"/>
          <w:kern w:val="0"/>
          <w:sz w:val="32"/>
          <w:szCs w:val="32"/>
          <w:highlight w:val="none"/>
        </w:rPr>
        <w:t>年预算数为</w:t>
      </w:r>
      <w:r>
        <w:rPr>
          <w:rFonts w:hint="eastAsia" w:ascii="仿宋" w:hAnsi="仿宋" w:eastAsia="仿宋" w:cs="仿宋"/>
          <w:color w:val="auto"/>
          <w:kern w:val="0"/>
          <w:sz w:val="32"/>
          <w:szCs w:val="32"/>
          <w:highlight w:val="none"/>
          <w:lang w:val="en-US" w:eastAsia="zh-CN"/>
        </w:rPr>
        <w:t>346.48</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比上年预算数减少</w:t>
      </w:r>
      <w:r>
        <w:rPr>
          <w:rFonts w:hint="eastAsia" w:ascii="仿宋" w:hAnsi="仿宋" w:eastAsia="仿宋" w:cs="仿宋"/>
          <w:color w:val="auto"/>
          <w:kern w:val="0"/>
          <w:sz w:val="32"/>
          <w:szCs w:val="32"/>
          <w:highlight w:val="none"/>
          <w:lang w:val="en-US" w:eastAsia="zh-CN"/>
        </w:rPr>
        <w:t>50.52</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下降</w:t>
      </w:r>
      <w:r>
        <w:rPr>
          <w:rFonts w:hint="eastAsia" w:ascii="仿宋" w:hAnsi="仿宋" w:eastAsia="仿宋" w:cs="仿宋"/>
          <w:color w:val="auto"/>
          <w:kern w:val="0"/>
          <w:sz w:val="32"/>
          <w:szCs w:val="32"/>
          <w:highlight w:val="none"/>
          <w:lang w:val="en-US" w:eastAsia="zh-CN"/>
        </w:rPr>
        <w:t>12.73</w:t>
      </w:r>
      <w:r>
        <w:rPr>
          <w:rFonts w:hint="eastAsia" w:ascii="仿宋" w:hAnsi="仿宋" w:eastAsia="仿宋" w:cs="仿宋"/>
          <w:color w:val="auto"/>
          <w:kern w:val="0"/>
          <w:sz w:val="32"/>
          <w:szCs w:val="32"/>
          <w:highlight w:val="none"/>
        </w:rPr>
        <w:t>%，主要原因是：</w:t>
      </w:r>
      <w:r>
        <w:rPr>
          <w:rFonts w:hint="eastAsia" w:ascii="仿宋_GB2312" w:hAnsi="宋体" w:eastAsia="仿宋_GB2312" w:cs="宋体"/>
          <w:color w:val="auto"/>
          <w:kern w:val="0"/>
          <w:sz w:val="32"/>
          <w:szCs w:val="32"/>
          <w:highlight w:val="none"/>
          <w:lang w:val="en-US" w:eastAsia="zh-CN"/>
        </w:rPr>
        <w:t>在职人员伙食补助费没有纳入预算及</w:t>
      </w:r>
      <w:r>
        <w:rPr>
          <w:rFonts w:hint="eastAsia" w:ascii="仿宋_GB2312" w:eastAsia="仿宋_GB2312" w:cs="宋体"/>
          <w:color w:val="auto"/>
          <w:kern w:val="0"/>
          <w:sz w:val="32"/>
          <w:szCs w:val="32"/>
          <w:highlight w:val="none"/>
          <w:lang w:val="en-US" w:eastAsia="zh-CN"/>
        </w:rPr>
        <w:t>工作人员减少，</w:t>
      </w:r>
      <w:r>
        <w:rPr>
          <w:rFonts w:hint="eastAsia" w:ascii="仿宋_GB2312" w:eastAsia="仿宋_GB2312" w:cs="宋体"/>
          <w:color w:val="auto"/>
          <w:kern w:val="0"/>
          <w:sz w:val="32"/>
          <w:szCs w:val="32"/>
          <w:highlight w:val="none"/>
          <w:lang w:eastAsia="zh-CN"/>
        </w:rPr>
        <w:t>基本支出预算较上年减少。</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4.</w:t>
      </w:r>
      <w:r>
        <w:rPr>
          <w:rFonts w:hint="eastAsia" w:ascii="仿宋" w:hAnsi="仿宋" w:eastAsia="仿宋" w:cs="仿宋"/>
          <w:color w:val="auto"/>
          <w:kern w:val="0"/>
          <w:sz w:val="32"/>
          <w:szCs w:val="32"/>
          <w:highlight w:val="none"/>
        </w:rPr>
        <w:t>卫生健康支出</w:t>
      </w:r>
      <w:r>
        <w:rPr>
          <w:rFonts w:hint="eastAsia" w:ascii="仿宋" w:hAnsi="仿宋" w:eastAsia="仿宋" w:cs="仿宋"/>
          <w:color w:val="auto"/>
          <w:kern w:val="0"/>
          <w:sz w:val="32"/>
          <w:szCs w:val="32"/>
          <w:highlight w:val="none"/>
          <w:lang w:eastAsia="zh-CN"/>
        </w:rPr>
        <w:t>（类）</w:t>
      </w:r>
      <w:r>
        <w:rPr>
          <w:rFonts w:hint="eastAsia" w:ascii="仿宋" w:hAnsi="仿宋" w:eastAsia="仿宋" w:cs="仿宋"/>
          <w:color w:val="auto"/>
          <w:kern w:val="0"/>
          <w:sz w:val="32"/>
          <w:szCs w:val="32"/>
          <w:highlight w:val="none"/>
        </w:rPr>
        <w:t>行政事业单位医疗</w:t>
      </w:r>
      <w:r>
        <w:rPr>
          <w:rFonts w:hint="eastAsia" w:ascii="仿宋" w:hAnsi="仿宋" w:eastAsia="仿宋" w:cs="仿宋"/>
          <w:color w:val="auto"/>
          <w:kern w:val="0"/>
          <w:sz w:val="32"/>
          <w:szCs w:val="32"/>
          <w:highlight w:val="none"/>
          <w:lang w:eastAsia="zh-CN"/>
        </w:rPr>
        <w:t>（款）</w:t>
      </w:r>
      <w:r>
        <w:rPr>
          <w:rFonts w:hint="eastAsia" w:ascii="仿宋" w:hAnsi="仿宋" w:eastAsia="仿宋" w:cs="仿宋"/>
          <w:color w:val="auto"/>
          <w:kern w:val="0"/>
          <w:sz w:val="32"/>
          <w:szCs w:val="32"/>
          <w:highlight w:val="none"/>
        </w:rPr>
        <w:t>事业单位医疗（</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：2022</w:t>
      </w:r>
      <w:r>
        <w:rPr>
          <w:rFonts w:hint="eastAsia" w:ascii="仿宋" w:hAnsi="仿宋" w:eastAsia="仿宋" w:cs="仿宋"/>
          <w:color w:val="auto"/>
          <w:kern w:val="0"/>
          <w:sz w:val="32"/>
          <w:szCs w:val="32"/>
          <w:highlight w:val="none"/>
        </w:rPr>
        <w:t>年预算数为</w:t>
      </w:r>
      <w:r>
        <w:rPr>
          <w:rFonts w:hint="eastAsia" w:ascii="仿宋" w:hAnsi="仿宋" w:eastAsia="仿宋" w:cs="仿宋"/>
          <w:color w:val="auto"/>
          <w:kern w:val="0"/>
          <w:sz w:val="32"/>
          <w:szCs w:val="32"/>
          <w:highlight w:val="none"/>
          <w:lang w:val="en-US" w:eastAsia="zh-CN"/>
        </w:rPr>
        <w:t>25.84</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比上年预算数减少</w:t>
      </w:r>
      <w:r>
        <w:rPr>
          <w:rFonts w:hint="eastAsia" w:ascii="仿宋" w:hAnsi="仿宋" w:eastAsia="仿宋" w:cs="仿宋"/>
          <w:color w:val="auto"/>
          <w:kern w:val="0"/>
          <w:sz w:val="32"/>
          <w:szCs w:val="32"/>
          <w:highlight w:val="none"/>
          <w:lang w:val="en-US" w:eastAsia="zh-CN"/>
        </w:rPr>
        <w:t>5.28</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下降</w:t>
      </w:r>
      <w:r>
        <w:rPr>
          <w:rFonts w:hint="eastAsia" w:ascii="仿宋" w:hAnsi="仿宋" w:eastAsia="仿宋" w:cs="仿宋"/>
          <w:color w:val="auto"/>
          <w:kern w:val="0"/>
          <w:sz w:val="32"/>
          <w:szCs w:val="32"/>
          <w:highlight w:val="none"/>
          <w:lang w:val="en-US" w:eastAsia="zh-CN"/>
        </w:rPr>
        <w:t>16.97</w:t>
      </w:r>
      <w:r>
        <w:rPr>
          <w:rFonts w:hint="eastAsia" w:ascii="仿宋" w:hAnsi="仿宋" w:eastAsia="仿宋" w:cs="仿宋"/>
          <w:color w:val="auto"/>
          <w:kern w:val="0"/>
          <w:sz w:val="32"/>
          <w:szCs w:val="32"/>
          <w:highlight w:val="none"/>
        </w:rPr>
        <w:t>%，主要原因是：</w:t>
      </w:r>
      <w:r>
        <w:rPr>
          <w:rFonts w:hint="eastAsia" w:ascii="仿宋" w:hAnsi="仿宋" w:eastAsia="仿宋" w:cs="仿宋"/>
          <w:color w:val="auto"/>
          <w:kern w:val="0"/>
          <w:sz w:val="32"/>
          <w:szCs w:val="32"/>
          <w:highlight w:val="none"/>
          <w:lang w:eastAsia="zh-CN"/>
        </w:rPr>
        <w:t>社保缴费基数调整</w:t>
      </w:r>
      <w:r>
        <w:rPr>
          <w:rFonts w:hint="eastAsia" w:ascii="仿宋" w:hAnsi="仿宋" w:eastAsia="仿宋" w:cs="仿宋"/>
          <w:color w:val="auto"/>
          <w:kern w:val="0"/>
          <w:sz w:val="32"/>
          <w:szCs w:val="32"/>
          <w:highlight w:val="none"/>
        </w:rPr>
        <w:t>。</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lang w:val="en-US" w:eastAsia="zh-CN"/>
        </w:rPr>
        <w:t>5.</w:t>
      </w:r>
      <w:r>
        <w:rPr>
          <w:rFonts w:hint="eastAsia" w:ascii="仿宋" w:hAnsi="仿宋" w:eastAsia="仿宋" w:cs="仿宋"/>
          <w:color w:val="auto"/>
          <w:kern w:val="0"/>
          <w:sz w:val="32"/>
          <w:szCs w:val="32"/>
          <w:highlight w:val="none"/>
        </w:rPr>
        <w:t>卫生健康支出</w:t>
      </w:r>
      <w:r>
        <w:rPr>
          <w:rFonts w:hint="eastAsia" w:ascii="仿宋" w:hAnsi="仿宋" w:eastAsia="仿宋" w:cs="仿宋"/>
          <w:color w:val="auto"/>
          <w:kern w:val="0"/>
          <w:sz w:val="32"/>
          <w:szCs w:val="32"/>
          <w:highlight w:val="none"/>
          <w:lang w:eastAsia="zh-CN"/>
        </w:rPr>
        <w:t>（类）</w:t>
      </w:r>
      <w:r>
        <w:rPr>
          <w:rFonts w:hint="eastAsia" w:ascii="仿宋" w:hAnsi="仿宋" w:eastAsia="仿宋" w:cs="仿宋"/>
          <w:color w:val="auto"/>
          <w:kern w:val="0"/>
          <w:sz w:val="32"/>
          <w:szCs w:val="32"/>
          <w:highlight w:val="none"/>
        </w:rPr>
        <w:t>行政事业单位医疗</w:t>
      </w:r>
      <w:r>
        <w:rPr>
          <w:rFonts w:hint="eastAsia" w:ascii="仿宋" w:hAnsi="仿宋" w:eastAsia="仿宋" w:cs="仿宋"/>
          <w:color w:val="auto"/>
          <w:kern w:val="0"/>
          <w:sz w:val="32"/>
          <w:szCs w:val="32"/>
          <w:highlight w:val="none"/>
          <w:lang w:eastAsia="zh-CN"/>
        </w:rPr>
        <w:t>（款）</w:t>
      </w:r>
      <w:r>
        <w:rPr>
          <w:rFonts w:hint="eastAsia" w:ascii="仿宋" w:hAnsi="仿宋" w:eastAsia="仿宋" w:cs="仿宋"/>
          <w:color w:val="auto"/>
          <w:kern w:val="0"/>
          <w:sz w:val="32"/>
          <w:szCs w:val="32"/>
          <w:highlight w:val="none"/>
        </w:rPr>
        <w:t>公务员医疗补助（</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：2022</w:t>
      </w:r>
      <w:r>
        <w:rPr>
          <w:rFonts w:hint="eastAsia" w:ascii="仿宋" w:hAnsi="仿宋" w:eastAsia="仿宋" w:cs="仿宋"/>
          <w:color w:val="auto"/>
          <w:kern w:val="0"/>
          <w:sz w:val="32"/>
          <w:szCs w:val="32"/>
          <w:highlight w:val="none"/>
        </w:rPr>
        <w:t>年预算数为</w:t>
      </w:r>
      <w:r>
        <w:rPr>
          <w:rFonts w:hint="eastAsia" w:ascii="仿宋" w:hAnsi="仿宋" w:eastAsia="仿宋" w:cs="仿宋"/>
          <w:color w:val="auto"/>
          <w:kern w:val="0"/>
          <w:sz w:val="32"/>
          <w:szCs w:val="32"/>
          <w:highlight w:val="none"/>
          <w:lang w:val="en-US" w:eastAsia="zh-CN"/>
        </w:rPr>
        <w:t>8.16</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比上年预算数减少</w:t>
      </w:r>
      <w:r>
        <w:rPr>
          <w:rFonts w:hint="eastAsia" w:ascii="仿宋" w:hAnsi="仿宋" w:eastAsia="仿宋" w:cs="仿宋"/>
          <w:color w:val="auto"/>
          <w:kern w:val="0"/>
          <w:sz w:val="32"/>
          <w:szCs w:val="32"/>
          <w:highlight w:val="none"/>
          <w:lang w:val="en-US" w:eastAsia="zh-CN"/>
        </w:rPr>
        <w:t>1.77</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下降</w:t>
      </w:r>
      <w:r>
        <w:rPr>
          <w:rFonts w:hint="eastAsia" w:ascii="仿宋" w:hAnsi="仿宋" w:eastAsia="仿宋" w:cs="仿宋"/>
          <w:color w:val="auto"/>
          <w:kern w:val="0"/>
          <w:sz w:val="32"/>
          <w:szCs w:val="32"/>
          <w:highlight w:val="none"/>
          <w:lang w:val="en-US" w:eastAsia="zh-CN"/>
        </w:rPr>
        <w:t>17.82</w:t>
      </w:r>
      <w:r>
        <w:rPr>
          <w:rFonts w:hint="eastAsia" w:ascii="仿宋" w:hAnsi="仿宋" w:eastAsia="仿宋" w:cs="仿宋"/>
          <w:color w:val="auto"/>
          <w:kern w:val="0"/>
          <w:sz w:val="32"/>
          <w:szCs w:val="32"/>
          <w:highlight w:val="none"/>
        </w:rPr>
        <w:t>%，主要原因是：</w:t>
      </w:r>
      <w:r>
        <w:rPr>
          <w:rFonts w:hint="eastAsia" w:ascii="仿宋" w:hAnsi="仿宋" w:eastAsia="仿宋" w:cs="仿宋"/>
          <w:color w:val="auto"/>
          <w:kern w:val="0"/>
          <w:sz w:val="32"/>
          <w:szCs w:val="32"/>
          <w:highlight w:val="none"/>
          <w:lang w:eastAsia="zh-CN"/>
        </w:rPr>
        <w:t>社保缴费基数调整</w:t>
      </w:r>
      <w:r>
        <w:rPr>
          <w:rFonts w:hint="eastAsia" w:ascii="仿宋" w:hAnsi="仿宋" w:eastAsia="仿宋" w:cs="仿宋"/>
          <w:color w:val="auto"/>
          <w:kern w:val="0"/>
          <w:sz w:val="32"/>
          <w:szCs w:val="32"/>
          <w:highlight w:val="none"/>
        </w:rPr>
        <w:t>。</w:t>
      </w:r>
    </w:p>
    <w:p>
      <w:pPr>
        <w:keepNext w:val="0"/>
        <w:keepLines w:val="0"/>
        <w:pageBreakBefore w:val="0"/>
        <w:kinsoku/>
        <w:wordWrap/>
        <w:overflowPunct/>
        <w:topLinePunct w:val="0"/>
        <w:autoSpaceDE/>
        <w:autoSpaceDN/>
        <w:bidi w:val="0"/>
        <w:adjustRightInd/>
        <w:spacing w:line="640" w:lineRule="exact"/>
        <w:ind w:firstLine="640" w:firstLineChars="200"/>
        <w:rPr>
          <w:rFonts w:hint="default"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6</w:t>
      </w:r>
      <w:r>
        <w:rPr>
          <w:rFonts w:hint="eastAsia" w:ascii="仿宋" w:hAnsi="仿宋" w:eastAsia="仿宋" w:cs="仿宋"/>
          <w:color w:val="auto"/>
          <w:kern w:val="0"/>
          <w:sz w:val="32"/>
          <w:szCs w:val="32"/>
          <w:highlight w:val="none"/>
        </w:rPr>
        <w:t>.卫生健康支出</w:t>
      </w:r>
      <w:r>
        <w:rPr>
          <w:rFonts w:hint="eastAsia" w:ascii="仿宋" w:hAnsi="仿宋" w:eastAsia="仿宋" w:cs="仿宋"/>
          <w:color w:val="auto"/>
          <w:kern w:val="0"/>
          <w:sz w:val="32"/>
          <w:szCs w:val="32"/>
          <w:highlight w:val="none"/>
          <w:lang w:eastAsia="zh-CN"/>
        </w:rPr>
        <w:t>（类）</w:t>
      </w:r>
      <w:r>
        <w:rPr>
          <w:rFonts w:hint="eastAsia" w:ascii="仿宋" w:hAnsi="仿宋" w:eastAsia="仿宋" w:cs="仿宋"/>
          <w:color w:val="auto"/>
          <w:kern w:val="0"/>
          <w:sz w:val="32"/>
          <w:szCs w:val="32"/>
          <w:highlight w:val="none"/>
        </w:rPr>
        <w:t>行政事业单位医疗</w:t>
      </w:r>
      <w:r>
        <w:rPr>
          <w:rFonts w:hint="eastAsia" w:ascii="仿宋" w:hAnsi="仿宋" w:eastAsia="仿宋" w:cs="仿宋"/>
          <w:color w:val="auto"/>
          <w:kern w:val="0"/>
          <w:sz w:val="32"/>
          <w:szCs w:val="32"/>
          <w:highlight w:val="none"/>
          <w:lang w:eastAsia="zh-CN"/>
        </w:rPr>
        <w:t>（款）</w:t>
      </w:r>
      <w:r>
        <w:rPr>
          <w:rFonts w:hint="eastAsia" w:ascii="仿宋" w:hAnsi="仿宋" w:eastAsia="仿宋" w:cs="仿宋"/>
          <w:color w:val="auto"/>
          <w:kern w:val="0"/>
          <w:sz w:val="32"/>
          <w:szCs w:val="32"/>
          <w:highlight w:val="none"/>
        </w:rPr>
        <w:t>其他行政事业单位医疗补助（</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2</w:t>
      </w:r>
      <w:r>
        <w:rPr>
          <w:rFonts w:hint="eastAsia" w:ascii="仿宋" w:hAnsi="仿宋" w:eastAsia="仿宋" w:cs="仿宋"/>
          <w:color w:val="auto"/>
          <w:kern w:val="0"/>
          <w:sz w:val="32"/>
          <w:szCs w:val="32"/>
          <w:highlight w:val="none"/>
          <w:lang w:val="en-US" w:eastAsia="zh-CN"/>
        </w:rPr>
        <w:t>0</w:t>
      </w:r>
      <w:r>
        <w:rPr>
          <w:rFonts w:hint="eastAsia" w:ascii="仿宋" w:hAnsi="仿宋" w:eastAsia="仿宋" w:cs="仿宋"/>
          <w:color w:val="auto"/>
          <w:kern w:val="0"/>
          <w:sz w:val="32"/>
          <w:szCs w:val="32"/>
          <w:highlight w:val="none"/>
        </w:rPr>
        <w:t>2</w:t>
      </w: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年预算数为</w:t>
      </w:r>
      <w:r>
        <w:rPr>
          <w:rFonts w:hint="eastAsia" w:ascii="仿宋" w:hAnsi="仿宋" w:eastAsia="仿宋" w:cs="仿宋"/>
          <w:color w:val="auto"/>
          <w:kern w:val="0"/>
          <w:sz w:val="32"/>
          <w:szCs w:val="32"/>
          <w:highlight w:val="none"/>
          <w:lang w:val="en-US" w:eastAsia="zh-CN"/>
        </w:rPr>
        <w:t>0.22</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比上年预算数</w:t>
      </w:r>
      <w:r>
        <w:rPr>
          <w:rFonts w:hint="eastAsia" w:ascii="仿宋" w:hAnsi="仿宋" w:eastAsia="仿宋" w:cs="仿宋"/>
          <w:color w:val="auto"/>
          <w:kern w:val="0"/>
          <w:sz w:val="32"/>
          <w:szCs w:val="32"/>
          <w:highlight w:val="none"/>
        </w:rPr>
        <w:t>增加0.</w:t>
      </w:r>
      <w:r>
        <w:rPr>
          <w:rFonts w:hint="eastAsia" w:ascii="仿宋" w:hAnsi="仿宋" w:eastAsia="仿宋" w:cs="仿宋"/>
          <w:color w:val="auto"/>
          <w:kern w:val="0"/>
          <w:sz w:val="32"/>
          <w:szCs w:val="32"/>
          <w:highlight w:val="none"/>
          <w:lang w:val="en-US" w:eastAsia="zh-CN"/>
        </w:rPr>
        <w:t>07</w:t>
      </w:r>
      <w:r>
        <w:rPr>
          <w:rFonts w:hint="eastAsia" w:ascii="仿宋" w:hAnsi="仿宋" w:eastAsia="仿宋" w:cs="仿宋"/>
          <w:color w:val="auto"/>
          <w:kern w:val="0"/>
          <w:sz w:val="32"/>
          <w:szCs w:val="32"/>
          <w:highlight w:val="none"/>
        </w:rPr>
        <w:t>万元，增长</w:t>
      </w:r>
      <w:r>
        <w:rPr>
          <w:rFonts w:hint="eastAsia" w:ascii="仿宋" w:hAnsi="仿宋" w:eastAsia="仿宋" w:cs="仿宋"/>
          <w:color w:val="auto"/>
          <w:kern w:val="0"/>
          <w:sz w:val="32"/>
          <w:szCs w:val="32"/>
          <w:highlight w:val="none"/>
          <w:lang w:val="en-US" w:eastAsia="zh-CN"/>
        </w:rPr>
        <w:t>46.67</w:t>
      </w:r>
      <w:r>
        <w:rPr>
          <w:rFonts w:hint="eastAsia" w:ascii="仿宋" w:hAnsi="仿宋" w:eastAsia="仿宋" w:cs="仿宋"/>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在职职工调标增资，</w:t>
      </w:r>
      <w:r>
        <w:rPr>
          <w:rFonts w:hint="eastAsia" w:ascii="仿宋" w:hAnsi="仿宋" w:eastAsia="仿宋" w:cs="仿宋"/>
          <w:color w:val="auto"/>
          <w:kern w:val="0"/>
          <w:sz w:val="32"/>
          <w:szCs w:val="32"/>
          <w:highlight w:val="none"/>
        </w:rPr>
        <w:t>其他行政事业单位医疗补助支出</w:t>
      </w:r>
      <w:r>
        <w:rPr>
          <w:rFonts w:hint="eastAsia" w:ascii="仿宋" w:hAnsi="仿宋" w:eastAsia="仿宋" w:cs="仿宋"/>
          <w:color w:val="auto"/>
          <w:kern w:val="0"/>
          <w:sz w:val="32"/>
          <w:szCs w:val="32"/>
          <w:highlight w:val="none"/>
          <w:lang w:eastAsia="zh-CN"/>
        </w:rPr>
        <w:t>较上年预算增加</w:t>
      </w:r>
      <w:r>
        <w:rPr>
          <w:rFonts w:hint="eastAsia" w:ascii="仿宋" w:hAnsi="仿宋" w:eastAsia="仿宋" w:cs="仿宋"/>
          <w:color w:val="auto"/>
          <w:kern w:val="0"/>
          <w:sz w:val="32"/>
          <w:szCs w:val="32"/>
          <w:highlight w:val="none"/>
          <w:lang w:val="en-US" w:eastAsia="zh-CN"/>
        </w:rPr>
        <w:t>。</w:t>
      </w:r>
    </w:p>
    <w:p>
      <w:pPr>
        <w:keepNext w:val="0"/>
        <w:keepLines w:val="0"/>
        <w:pageBreakBefore w:val="0"/>
        <w:kinsoku/>
        <w:wordWrap/>
        <w:overflowPunct/>
        <w:topLinePunct w:val="0"/>
        <w:autoSpaceDE/>
        <w:autoSpaceDN/>
        <w:bidi w:val="0"/>
        <w:adjustRightInd/>
        <w:spacing w:line="640" w:lineRule="exact"/>
        <w:ind w:firstLine="640" w:firstLineChars="200"/>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val="en-US" w:eastAsia="zh-CN"/>
        </w:rPr>
        <w:t>7.住房保障支出（类）住房改革支出（款）住房公积金</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项</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2</w:t>
      </w:r>
      <w:r>
        <w:rPr>
          <w:rFonts w:hint="eastAsia" w:ascii="仿宋" w:hAnsi="仿宋" w:eastAsia="仿宋" w:cs="仿宋"/>
          <w:color w:val="auto"/>
          <w:kern w:val="0"/>
          <w:sz w:val="32"/>
          <w:szCs w:val="32"/>
          <w:highlight w:val="none"/>
          <w:lang w:val="en-US" w:eastAsia="zh-CN"/>
        </w:rPr>
        <w:t>0</w:t>
      </w:r>
      <w:r>
        <w:rPr>
          <w:rFonts w:hint="eastAsia" w:ascii="仿宋" w:hAnsi="仿宋" w:eastAsia="仿宋" w:cs="仿宋"/>
          <w:color w:val="auto"/>
          <w:kern w:val="0"/>
          <w:sz w:val="32"/>
          <w:szCs w:val="32"/>
          <w:highlight w:val="none"/>
        </w:rPr>
        <w:t>2</w:t>
      </w: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年预算数为</w:t>
      </w:r>
      <w:r>
        <w:rPr>
          <w:rFonts w:hint="eastAsia" w:ascii="仿宋" w:hAnsi="仿宋" w:eastAsia="仿宋" w:cs="仿宋"/>
          <w:color w:val="auto"/>
          <w:kern w:val="0"/>
          <w:sz w:val="32"/>
          <w:szCs w:val="32"/>
          <w:highlight w:val="none"/>
          <w:lang w:val="en-US" w:eastAsia="zh-CN"/>
        </w:rPr>
        <w:t>38.47</w:t>
      </w:r>
      <w:r>
        <w:rPr>
          <w:rFonts w:hint="eastAsia" w:ascii="仿宋" w:hAnsi="仿宋" w:eastAsia="仿宋" w:cs="仿宋"/>
          <w:color w:val="auto"/>
          <w:kern w:val="0"/>
          <w:sz w:val="32"/>
          <w:szCs w:val="32"/>
          <w:highlight w:val="none"/>
        </w:rPr>
        <w:t>万元</w:t>
      </w:r>
      <w:r>
        <w:rPr>
          <w:rFonts w:hint="eastAsia" w:ascii="仿宋" w:hAnsi="仿宋" w:eastAsia="仿宋" w:cs="仿宋"/>
          <w:color w:val="auto"/>
          <w:kern w:val="0"/>
          <w:sz w:val="32"/>
          <w:szCs w:val="32"/>
          <w:highlight w:val="none"/>
          <w:lang w:eastAsia="zh-CN"/>
        </w:rPr>
        <w:t>，</w:t>
      </w:r>
      <w:r>
        <w:rPr>
          <w:rFonts w:hint="eastAsia" w:ascii="仿宋_GB2312" w:eastAsia="仿宋_GB2312"/>
          <w:color w:val="auto"/>
          <w:sz w:val="32"/>
          <w:szCs w:val="32"/>
          <w:highlight w:val="none"/>
          <w:lang w:eastAsia="zh-CN"/>
        </w:rPr>
        <w:t>比上年预算数</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38.47</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 w:hAnsi="仿宋" w:eastAsia="仿宋" w:cs="仿宋"/>
          <w:color w:val="auto"/>
          <w:kern w:val="0"/>
          <w:sz w:val="32"/>
          <w:szCs w:val="32"/>
          <w:highlight w:val="none"/>
        </w:rPr>
        <w:t>增长</w:t>
      </w:r>
      <w:r>
        <w:rPr>
          <w:rFonts w:hint="eastAsia" w:ascii="仿宋" w:hAnsi="仿宋" w:eastAsia="仿宋" w:cs="仿宋"/>
          <w:color w:val="auto"/>
          <w:kern w:val="0"/>
          <w:sz w:val="32"/>
          <w:szCs w:val="32"/>
          <w:highlight w:val="none"/>
          <w:lang w:val="en-US" w:eastAsia="zh-CN"/>
        </w:rPr>
        <w:t>100</w:t>
      </w:r>
      <w:r>
        <w:rPr>
          <w:rFonts w:hint="eastAsia" w:ascii="仿宋" w:hAnsi="仿宋" w:eastAsia="仿宋" w:cs="仿宋"/>
          <w:color w:val="auto"/>
          <w:kern w:val="0"/>
          <w:sz w:val="32"/>
          <w:szCs w:val="32"/>
          <w:highlight w:val="none"/>
        </w:rPr>
        <w:t>%，主要原因是：</w:t>
      </w:r>
      <w:r>
        <w:rPr>
          <w:rFonts w:hint="eastAsia" w:ascii="仿宋" w:hAnsi="仿宋" w:eastAsia="仿宋" w:cs="仿宋"/>
          <w:color w:val="auto"/>
          <w:kern w:val="0"/>
          <w:sz w:val="32"/>
          <w:szCs w:val="32"/>
          <w:highlight w:val="none"/>
          <w:lang w:eastAsia="zh-CN"/>
        </w:rPr>
        <w:t>调整预算功能分类科目。</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w:t>
      </w:r>
      <w:r>
        <w:rPr>
          <w:rFonts w:hint="eastAsia" w:ascii="黑体" w:hAnsi="黑体" w:eastAsia="黑体"/>
          <w:kern w:val="0"/>
          <w:sz w:val="32"/>
          <w:szCs w:val="32"/>
          <w:highlight w:val="none"/>
        </w:rPr>
        <w:t>昌吉州妇幼保健计划生育服务中心</w:t>
      </w:r>
      <w:r>
        <w:rPr>
          <w:rFonts w:hint="eastAsia" w:ascii="黑体" w:hAnsi="黑体" w:eastAsia="黑体"/>
          <w:kern w:val="0"/>
          <w:sz w:val="32"/>
          <w:szCs w:val="32"/>
          <w:highlight w:val="none"/>
          <w:lang w:eastAsia="zh-CN"/>
        </w:rPr>
        <w:t>2022</w:t>
      </w:r>
      <w:r>
        <w:rPr>
          <w:rFonts w:hint="eastAsia" w:ascii="黑体" w:hAnsi="宋体" w:eastAsia="黑体" w:cs="宋体"/>
          <w:kern w:val="0"/>
          <w:sz w:val="32"/>
          <w:szCs w:val="32"/>
          <w:highlight w:val="none"/>
        </w:rPr>
        <w:t>年一般公共预算基本支出情况说明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昌吉州妇幼保健计划生育服务中心</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年一般公共预算基本支出</w:t>
      </w:r>
      <w:r>
        <w:rPr>
          <w:rFonts w:hint="eastAsia" w:ascii="仿宋_GB2312" w:hAnsi="宋体" w:eastAsia="仿宋_GB2312" w:cs="宋体"/>
          <w:kern w:val="0"/>
          <w:sz w:val="32"/>
          <w:szCs w:val="32"/>
          <w:highlight w:val="none"/>
          <w:lang w:val="en-US" w:eastAsia="zh-CN"/>
        </w:rPr>
        <w:t>453.69</w:t>
      </w:r>
      <w:r>
        <w:rPr>
          <w:rFonts w:hint="eastAsia" w:ascii="仿宋_GB2312" w:hAnsi="宋体" w:eastAsia="仿宋_GB2312" w:cs="宋体"/>
          <w:kern w:val="0"/>
          <w:sz w:val="32"/>
          <w:szCs w:val="32"/>
          <w:highlight w:val="none"/>
        </w:rPr>
        <w:t>万元， 其中：</w:t>
      </w:r>
    </w:p>
    <w:p>
      <w:pPr>
        <w:keepNext w:val="0"/>
        <w:keepLines w:val="0"/>
        <w:pageBreakBefore w:val="0"/>
        <w:widowControl/>
        <w:kinsoku/>
        <w:wordWrap/>
        <w:overflowPunct/>
        <w:topLinePunct w:val="0"/>
        <w:autoSpaceDE/>
        <w:autoSpaceDN/>
        <w:bidi w:val="0"/>
        <w:adjustRightInd/>
        <w:snapToGrid w:val="0"/>
        <w:spacing w:line="640" w:lineRule="exact"/>
        <w:ind w:firstLine="640"/>
        <w:jc w:val="left"/>
        <w:textAlignment w:val="baseline"/>
        <w:rPr>
          <w:rFonts w:hint="eastAsia" w:ascii="仿宋" w:hAnsi="仿宋" w:eastAsia="仿宋" w:cs="仿宋"/>
          <w:i w:val="0"/>
          <w:iCs w:val="0"/>
          <w:color w:val="000000"/>
          <w:kern w:val="0"/>
          <w:sz w:val="32"/>
          <w:szCs w:val="32"/>
          <w:highlight w:val="none"/>
          <w:u w:val="none"/>
          <w:lang w:val="en-US" w:eastAsia="zh-CN" w:bidi="ar"/>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404.61</w:t>
      </w:r>
      <w:r>
        <w:rPr>
          <w:rFonts w:hint="eastAsia" w:ascii="仿宋_GB2312" w:hAnsi="宋体" w:eastAsia="仿宋_GB2312" w:cs="宋体"/>
          <w:kern w:val="0"/>
          <w:sz w:val="32"/>
          <w:szCs w:val="32"/>
          <w:highlight w:val="none"/>
        </w:rPr>
        <w:t>万元，主要包括：</w:t>
      </w:r>
      <w:r>
        <w:rPr>
          <w:rFonts w:hint="eastAsia" w:ascii="仿宋" w:hAnsi="仿宋" w:eastAsia="仿宋" w:cs="仿宋"/>
          <w:i w:val="0"/>
          <w:iCs w:val="0"/>
          <w:color w:val="000000"/>
          <w:kern w:val="0"/>
          <w:sz w:val="32"/>
          <w:szCs w:val="32"/>
          <w:highlight w:val="none"/>
          <w:u w:val="none"/>
          <w:lang w:val="en-US" w:eastAsia="zh-CN" w:bidi="ar"/>
        </w:rPr>
        <w:t>基本工资、津贴补贴、奖金、绩效工资、机关事业单位基本养老保险缴费、城镇职工基本医疗保险缴费、公务员医疗补助缴费、其他社会保障缴费、住房公积金、离休费、医疗费补助、奖励金。</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49.07</w:t>
      </w:r>
      <w:r>
        <w:rPr>
          <w:rFonts w:hint="eastAsia" w:ascii="仿宋_GB2312" w:hAnsi="宋体" w:eastAsia="仿宋_GB2312" w:cs="宋体"/>
          <w:kern w:val="0"/>
          <w:sz w:val="32"/>
          <w:szCs w:val="32"/>
          <w:highlight w:val="none"/>
        </w:rPr>
        <w:t>万元，主要包括：</w:t>
      </w:r>
      <w:r>
        <w:rPr>
          <w:rFonts w:hint="eastAsia" w:ascii="仿宋_GB2312" w:eastAsia="仿宋_GB2312" w:cs="宋体"/>
          <w:kern w:val="0"/>
          <w:sz w:val="32"/>
          <w:szCs w:val="32"/>
          <w:highlight w:val="none"/>
        </w:rPr>
        <w:t>办公费、</w:t>
      </w:r>
      <w:r>
        <w:rPr>
          <w:rFonts w:hint="eastAsia" w:ascii="仿宋_GB2312" w:eastAsia="仿宋_GB2312" w:cs="宋体"/>
          <w:kern w:val="0"/>
          <w:sz w:val="32"/>
          <w:szCs w:val="32"/>
          <w:highlight w:val="none"/>
          <w:lang w:eastAsia="zh-CN"/>
        </w:rPr>
        <w:t>印刷费、</w:t>
      </w:r>
      <w:r>
        <w:rPr>
          <w:rFonts w:hint="eastAsia" w:ascii="仿宋_GB2312" w:eastAsia="仿宋_GB2312" w:cs="宋体"/>
          <w:kern w:val="0"/>
          <w:sz w:val="32"/>
          <w:szCs w:val="32"/>
          <w:highlight w:val="none"/>
        </w:rPr>
        <w:t>水费、电费、邮电费、取暖费、</w:t>
      </w:r>
      <w:r>
        <w:rPr>
          <w:rFonts w:hint="eastAsia" w:ascii="仿宋_GB2312" w:eastAsia="仿宋_GB2312" w:cs="宋体"/>
          <w:kern w:val="0"/>
          <w:sz w:val="32"/>
          <w:szCs w:val="32"/>
          <w:highlight w:val="none"/>
          <w:lang w:eastAsia="zh-CN"/>
        </w:rPr>
        <w:t>物业费、差旅费、</w:t>
      </w:r>
      <w:r>
        <w:rPr>
          <w:rFonts w:hint="eastAsia" w:ascii="仿宋_GB2312" w:eastAsia="仿宋_GB2312" w:cs="宋体"/>
          <w:kern w:val="0"/>
          <w:sz w:val="32"/>
          <w:szCs w:val="32"/>
          <w:highlight w:val="none"/>
        </w:rPr>
        <w:t>维修（护）费、</w:t>
      </w:r>
      <w:r>
        <w:rPr>
          <w:rFonts w:hint="eastAsia" w:ascii="仿宋_GB2312" w:eastAsia="仿宋_GB2312" w:cs="宋体"/>
          <w:kern w:val="0"/>
          <w:sz w:val="32"/>
          <w:szCs w:val="32"/>
          <w:highlight w:val="none"/>
          <w:lang w:eastAsia="zh-CN"/>
        </w:rPr>
        <w:t>劳务费、</w:t>
      </w:r>
      <w:r>
        <w:rPr>
          <w:rFonts w:hint="eastAsia" w:ascii="仿宋_GB2312" w:eastAsia="仿宋_GB2312" w:cs="宋体"/>
          <w:kern w:val="0"/>
          <w:sz w:val="32"/>
          <w:szCs w:val="32"/>
          <w:highlight w:val="none"/>
        </w:rPr>
        <w:t>工会经费、福利费、公务用车运行维护费、其他商品和服务支出。</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七、关于昌吉州</w:t>
      </w:r>
      <w:r>
        <w:rPr>
          <w:rFonts w:hint="eastAsia" w:ascii="黑体" w:hAnsi="黑体" w:eastAsia="黑体"/>
          <w:kern w:val="0"/>
          <w:sz w:val="32"/>
          <w:szCs w:val="32"/>
          <w:highlight w:val="none"/>
        </w:rPr>
        <w:t>妇幼保健计划生育服务中心</w:t>
      </w:r>
      <w:r>
        <w:rPr>
          <w:rFonts w:hint="eastAsia" w:ascii="黑体" w:hAnsi="宋体" w:eastAsia="黑体" w:cs="宋体"/>
          <w:kern w:val="0"/>
          <w:sz w:val="32"/>
          <w:szCs w:val="32"/>
          <w:highlight w:val="none"/>
          <w:lang w:eastAsia="zh-CN"/>
        </w:rPr>
        <w:t>2022</w:t>
      </w:r>
      <w:r>
        <w:rPr>
          <w:rFonts w:hint="eastAsia" w:ascii="黑体" w:hAnsi="宋体" w:eastAsia="黑体" w:cs="宋体"/>
          <w:kern w:val="0"/>
          <w:sz w:val="32"/>
          <w:szCs w:val="32"/>
          <w:highlight w:val="none"/>
        </w:rPr>
        <w:t>年一般公共预算项目支出情况说明</w:t>
      </w:r>
    </w:p>
    <w:p>
      <w:pPr>
        <w:keepNext w:val="0"/>
        <w:keepLines w:val="0"/>
        <w:pageBreakBefore w:val="0"/>
        <w:widowControl/>
        <w:kinsoku/>
        <w:wordWrap/>
        <w:overflowPunct/>
        <w:topLinePunct w:val="0"/>
        <w:autoSpaceDE/>
        <w:autoSpaceDN/>
        <w:bidi w:val="0"/>
        <w:adjustRightInd/>
        <w:spacing w:line="640" w:lineRule="exact"/>
        <w:ind w:firstLine="640"/>
        <w:jc w:val="left"/>
        <w:rPr>
          <w:rFonts w:ascii="仿宋_GB2312" w:hAnsi="黑体" w:eastAsia="仿宋_GB2312"/>
          <w:b/>
          <w:bCs/>
          <w:sz w:val="32"/>
          <w:szCs w:val="32"/>
          <w:highlight w:val="none"/>
        </w:rPr>
      </w:pPr>
      <w:r>
        <w:rPr>
          <w:rFonts w:hint="eastAsia" w:ascii="仿宋_GB2312" w:hAnsi="黑体" w:eastAsia="仿宋_GB2312"/>
          <w:b/>
          <w:bCs/>
          <w:sz w:val="32"/>
          <w:szCs w:val="32"/>
          <w:highlight w:val="none"/>
        </w:rPr>
        <w:t>项目</w:t>
      </w:r>
      <w:r>
        <w:rPr>
          <w:rFonts w:ascii="仿宋_GB2312" w:hAnsi="黑体" w:eastAsia="仿宋_GB2312"/>
          <w:b/>
          <w:bCs/>
          <w:sz w:val="32"/>
          <w:szCs w:val="32"/>
          <w:highlight w:val="none"/>
        </w:rPr>
        <w:t>名称</w:t>
      </w:r>
      <w:r>
        <w:rPr>
          <w:rFonts w:hint="eastAsia" w:ascii="仿宋_GB2312" w:hAnsi="黑体" w:eastAsia="仿宋_GB2312"/>
          <w:b/>
          <w:bCs/>
          <w:sz w:val="32"/>
          <w:szCs w:val="32"/>
          <w:highlight w:val="none"/>
        </w:rPr>
        <w:t>：妇幼保健与计划生育宣传业务经费</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根据国家的政策及州党委政府的工作安排，对全州的妇幼保健和计划生育宣传工作由我单位组织实施，进行政策的宣传及到各县市去检查指导工作，加强妇幼健康计划生育服务工作的宣传。</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州妇幼保健计划生育服务中心</w:t>
      </w:r>
    </w:p>
    <w:p>
      <w:pPr>
        <w:keepNext w:val="0"/>
        <w:keepLines w:val="0"/>
        <w:pageBreakBefore w:val="0"/>
        <w:kinsoku/>
        <w:wordWrap/>
        <w:overflowPunct/>
        <w:topLinePunct w:val="0"/>
        <w:autoSpaceDE/>
        <w:autoSpaceDN/>
        <w:bidi w:val="0"/>
        <w:adjustRightInd/>
        <w:spacing w:line="64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支付</w:t>
      </w:r>
      <w:r>
        <w:rPr>
          <w:rFonts w:hint="eastAsia" w:ascii="仿宋_GB2312" w:hAnsi="宋体" w:eastAsia="仿宋_GB2312" w:cs="宋体"/>
          <w:kern w:val="0"/>
          <w:sz w:val="32"/>
          <w:szCs w:val="32"/>
          <w:highlight w:val="none"/>
        </w:rPr>
        <w:t>商品服务支出</w:t>
      </w:r>
      <w:r>
        <w:rPr>
          <w:rFonts w:hint="eastAsia" w:ascii="仿宋_GB2312" w:hAnsi="宋体" w:eastAsia="仿宋_GB2312" w:cs="宋体"/>
          <w:kern w:val="0"/>
          <w:sz w:val="32"/>
          <w:szCs w:val="32"/>
          <w:highlight w:val="none"/>
          <w:lang w:val="en-US" w:eastAsia="zh-CN"/>
        </w:rPr>
        <w:t>10万元，其中：印制计划生育宣传资料7.7万元，开展计划生育知识培训3.3万元。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年1月-12月</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八、关于昌吉州</w:t>
      </w:r>
      <w:r>
        <w:rPr>
          <w:rFonts w:hint="eastAsia" w:ascii="黑体" w:hAnsi="黑体" w:eastAsia="黑体"/>
          <w:kern w:val="0"/>
          <w:sz w:val="32"/>
          <w:szCs w:val="32"/>
          <w:highlight w:val="none"/>
        </w:rPr>
        <w:t>妇幼保健计划生育服务中心</w:t>
      </w:r>
      <w:r>
        <w:rPr>
          <w:rFonts w:hint="eastAsia" w:ascii="黑体" w:hAnsi="宋体" w:eastAsia="黑体" w:cs="宋体"/>
          <w:kern w:val="0"/>
          <w:sz w:val="32"/>
          <w:szCs w:val="32"/>
          <w:highlight w:val="none"/>
          <w:lang w:eastAsia="zh-CN"/>
        </w:rPr>
        <w:t>2022</w:t>
      </w:r>
      <w:r>
        <w:rPr>
          <w:rFonts w:hint="eastAsia" w:ascii="黑体" w:hAnsi="宋体" w:eastAsia="黑体" w:cs="宋体"/>
          <w:kern w:val="0"/>
          <w:sz w:val="32"/>
          <w:szCs w:val="32"/>
          <w:highlight w:val="none"/>
        </w:rPr>
        <w:t>年一般公共预算“三公”经费预算情况说明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昌吉州妇幼保健计划生育服务中心</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年一般公共预算“三公”经费数为</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元，公务用车运行费</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2022年一般公共预算“三公”经费比上年增加</w:t>
      </w:r>
      <w:r>
        <w:rPr>
          <w:rFonts w:hint="eastAsia" w:ascii="仿宋_GB2312" w:hAnsi="宋体" w:eastAsia="仿宋_GB2312" w:cs="宋体"/>
          <w:kern w:val="0"/>
          <w:sz w:val="32"/>
          <w:szCs w:val="32"/>
          <w:highlight w:val="none"/>
          <w:lang w:val="en-US" w:eastAsia="zh-CN"/>
        </w:rPr>
        <w:t>4.45</w:t>
      </w:r>
      <w:r>
        <w:rPr>
          <w:rFonts w:hint="eastAsia" w:ascii="仿宋_GB2312" w:hAnsi="宋体" w:eastAsia="仿宋_GB2312" w:cs="宋体"/>
          <w:kern w:val="0"/>
          <w:sz w:val="32"/>
          <w:szCs w:val="32"/>
          <w:highlight w:val="none"/>
        </w:rPr>
        <w:t xml:space="preserve"> 万元，增长</w:t>
      </w:r>
      <w:r>
        <w:rPr>
          <w:rFonts w:hint="eastAsia" w:ascii="仿宋_GB2312" w:hAnsi="宋体" w:eastAsia="仿宋_GB2312" w:cs="宋体"/>
          <w:kern w:val="0"/>
          <w:sz w:val="32"/>
          <w:szCs w:val="32"/>
          <w:highlight w:val="none"/>
          <w:lang w:val="en-US" w:eastAsia="zh-CN"/>
        </w:rPr>
        <w:t>287.1</w:t>
      </w:r>
      <w:r>
        <w:rPr>
          <w:rFonts w:hint="eastAsia" w:ascii="仿宋_GB2312" w:hAnsi="宋体" w:eastAsia="仿宋_GB2312" w:cs="宋体"/>
          <w:kern w:val="0"/>
          <w:sz w:val="32"/>
          <w:szCs w:val="32"/>
          <w:highlight w:val="none"/>
        </w:rPr>
        <w:t>%，因公出国（境）费增加</w:t>
      </w:r>
      <w:r>
        <w:rPr>
          <w:rFonts w:hint="eastAsia" w:ascii="仿宋_GB2312" w:hAnsi="宋体" w:eastAsia="仿宋_GB2312" w:cs="宋体"/>
          <w:kern w:val="0"/>
          <w:sz w:val="32"/>
          <w:szCs w:val="32"/>
          <w:highlight w:val="none"/>
          <w:lang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严格执行八项规定，</w:t>
      </w:r>
      <w:r>
        <w:rPr>
          <w:rFonts w:hint="eastAsia" w:ascii="仿宋_GB2312" w:hAnsi="宋体" w:eastAsia="仿宋_GB2312" w:cs="宋体"/>
          <w:kern w:val="0"/>
          <w:sz w:val="32"/>
          <w:szCs w:val="32"/>
          <w:highlight w:val="none"/>
          <w:lang w:val="en-US" w:eastAsia="zh-CN"/>
        </w:rPr>
        <w:t>2022年没有安排</w:t>
      </w:r>
      <w:r>
        <w:rPr>
          <w:rFonts w:hint="eastAsia" w:ascii="仿宋_GB2312" w:hAnsi="宋体" w:eastAsia="仿宋_GB2312" w:cs="宋体"/>
          <w:kern w:val="0"/>
          <w:sz w:val="32"/>
          <w:szCs w:val="32"/>
          <w:highlight w:val="none"/>
        </w:rPr>
        <w:t>因公出国（境）费</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；公务用车购置费增加</w:t>
      </w:r>
      <w:r>
        <w:rPr>
          <w:rFonts w:hint="eastAsia" w:ascii="仿宋_GB2312" w:hAnsi="宋体" w:eastAsia="仿宋_GB2312" w:cs="宋体"/>
          <w:kern w:val="0"/>
          <w:sz w:val="32"/>
          <w:szCs w:val="32"/>
          <w:highlight w:val="none"/>
          <w:lang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eastAsia="zh-CN"/>
        </w:rPr>
        <w:t>0</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严格执行八项规定，厉行节约，</w:t>
      </w:r>
      <w:r>
        <w:rPr>
          <w:rFonts w:hint="eastAsia" w:ascii="仿宋_GB2312" w:hAnsi="宋体" w:eastAsia="仿宋_GB2312" w:cs="宋体"/>
          <w:kern w:val="0"/>
          <w:sz w:val="32"/>
          <w:szCs w:val="32"/>
          <w:highlight w:val="none"/>
          <w:lang w:val="en-US" w:eastAsia="zh-CN"/>
        </w:rPr>
        <w:t>2022年没有安排</w:t>
      </w:r>
      <w:r>
        <w:rPr>
          <w:rFonts w:hint="eastAsia" w:ascii="仿宋_GB2312" w:hAnsi="宋体" w:eastAsia="仿宋_GB2312" w:cs="宋体"/>
          <w:kern w:val="0"/>
          <w:sz w:val="32"/>
          <w:szCs w:val="32"/>
          <w:highlight w:val="none"/>
        </w:rPr>
        <w:t>公务用车购置费</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；公务用车运行费增加</w:t>
      </w:r>
      <w:r>
        <w:rPr>
          <w:rFonts w:hint="eastAsia" w:ascii="仿宋_GB2312" w:hAnsi="宋体" w:eastAsia="仿宋_GB2312" w:cs="宋体"/>
          <w:kern w:val="0"/>
          <w:sz w:val="32"/>
          <w:szCs w:val="32"/>
          <w:highlight w:val="none"/>
          <w:lang w:val="en-US" w:eastAsia="zh-CN"/>
        </w:rPr>
        <w:t>4.45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287.1</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严格执行八项规定，加强车辆管理，</w:t>
      </w:r>
      <w:r>
        <w:rPr>
          <w:rFonts w:hint="eastAsia" w:ascii="仿宋_GB2312" w:hAnsi="宋体" w:eastAsia="仿宋_GB2312" w:cs="宋体"/>
          <w:kern w:val="0"/>
          <w:sz w:val="32"/>
          <w:szCs w:val="32"/>
          <w:highlight w:val="none"/>
          <w:lang w:val="en-US" w:eastAsia="zh-CN"/>
        </w:rPr>
        <w:t>2021年我单位接收捐赠工作业务用车，</w:t>
      </w:r>
      <w:r>
        <w:rPr>
          <w:rFonts w:hint="eastAsia" w:ascii="仿宋_GB2312" w:hAnsi="宋体" w:eastAsia="仿宋_GB2312" w:cs="宋体"/>
          <w:kern w:val="0"/>
          <w:sz w:val="32"/>
          <w:szCs w:val="32"/>
          <w:highlight w:val="none"/>
        </w:rPr>
        <w:t>公务用车运行费</w:t>
      </w:r>
      <w:r>
        <w:rPr>
          <w:rFonts w:hint="eastAsia" w:ascii="仿宋_GB2312" w:hAnsi="宋体" w:eastAsia="仿宋_GB2312" w:cs="宋体"/>
          <w:kern w:val="0"/>
          <w:sz w:val="32"/>
          <w:szCs w:val="32"/>
          <w:highlight w:val="none"/>
          <w:lang w:eastAsia="zh-CN"/>
        </w:rPr>
        <w:t>较上年预算增加</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严格执行八项规定，厉行节约，</w:t>
      </w:r>
      <w:r>
        <w:rPr>
          <w:rFonts w:hint="eastAsia" w:ascii="仿宋_GB2312" w:hAnsi="宋体" w:eastAsia="仿宋_GB2312" w:cs="宋体"/>
          <w:kern w:val="0"/>
          <w:sz w:val="32"/>
          <w:szCs w:val="32"/>
          <w:highlight w:val="none"/>
          <w:lang w:val="en-US" w:eastAsia="zh-CN"/>
        </w:rPr>
        <w:t>2022年没有安排公务接待费预算。</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九、关于昌吉州</w:t>
      </w:r>
      <w:r>
        <w:rPr>
          <w:rFonts w:hint="eastAsia" w:ascii="黑体" w:hAnsi="黑体" w:eastAsia="黑体"/>
          <w:kern w:val="0"/>
          <w:sz w:val="32"/>
          <w:szCs w:val="32"/>
          <w:highlight w:val="none"/>
        </w:rPr>
        <w:t>妇幼保健计划生育服务中心</w:t>
      </w:r>
      <w:r>
        <w:rPr>
          <w:rFonts w:hint="eastAsia" w:ascii="黑体" w:hAnsi="宋体" w:eastAsia="黑体" w:cs="宋体"/>
          <w:kern w:val="0"/>
          <w:sz w:val="32"/>
          <w:szCs w:val="32"/>
          <w:highlight w:val="none"/>
          <w:lang w:eastAsia="zh-CN"/>
        </w:rPr>
        <w:t>2022</w:t>
      </w:r>
      <w:r>
        <w:rPr>
          <w:rFonts w:hint="eastAsia" w:ascii="黑体" w:hAnsi="宋体" w:eastAsia="黑体" w:cs="宋体"/>
          <w:kern w:val="0"/>
          <w:sz w:val="32"/>
          <w:szCs w:val="32"/>
          <w:highlight w:val="none"/>
        </w:rPr>
        <w:t>年政府性基金预算拨款情况说明</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昌吉州妇幼保健计划生育服务中心</w:t>
      </w: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pacing w:line="640" w:lineRule="exact"/>
        <w:ind w:firstLine="640" w:firstLineChars="200"/>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年，昌吉州妇幼保健计划生育服务中心的机关运行经费财政拨款预算</w:t>
      </w:r>
      <w:r>
        <w:rPr>
          <w:rFonts w:hint="eastAsia" w:ascii="仿宋_GB2312" w:hAnsi="宋体" w:eastAsia="仿宋_GB2312" w:cs="宋体"/>
          <w:kern w:val="0"/>
          <w:sz w:val="32"/>
          <w:szCs w:val="32"/>
          <w:highlight w:val="none"/>
          <w:lang w:val="en-US" w:eastAsia="zh-CN"/>
        </w:rPr>
        <w:t>49.07</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比上年预算数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val="en-US" w:eastAsia="zh-CN"/>
        </w:rPr>
        <w:t>5.79</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13.38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工作任务增加，业务经费支出增加</w:t>
      </w:r>
      <w:r>
        <w:rPr>
          <w:rFonts w:hint="eastAsia" w:ascii="仿宋_GB2312" w:hAnsi="宋体" w:eastAsia="仿宋_GB2312" w:cs="宋体"/>
          <w:kern w:val="0"/>
          <w:sz w:val="32"/>
          <w:szCs w:val="32"/>
          <w:highlight w:val="none"/>
        </w:rPr>
        <w:t>。</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年，昌吉州妇幼保健计划生育服务中心政府采购预算</w:t>
      </w:r>
      <w:r>
        <w:rPr>
          <w:rFonts w:hint="eastAsia" w:ascii="仿宋_GB2312" w:hAnsi="宋体" w:eastAsia="仿宋_GB2312" w:cs="宋体"/>
          <w:kern w:val="0"/>
          <w:sz w:val="32"/>
          <w:szCs w:val="32"/>
          <w:highlight w:val="none"/>
          <w:lang w:val="en-US" w:eastAsia="zh-CN"/>
        </w:rPr>
        <w:t>50.67</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21.48</w:t>
      </w:r>
      <w:r>
        <w:rPr>
          <w:rFonts w:hint="eastAsia" w:ascii="仿宋_GB2312" w:hAnsi="宋体" w:eastAsia="仿宋_GB2312" w:cs="宋体"/>
          <w:kern w:val="0"/>
          <w:sz w:val="32"/>
          <w:szCs w:val="32"/>
          <w:highlight w:val="none"/>
        </w:rPr>
        <w:t>万元，政府采购工程预算</w:t>
      </w:r>
      <w:r>
        <w:rPr>
          <w:rFonts w:hint="eastAsia" w:ascii="仿宋_GB2312" w:hAnsi="宋体" w:eastAsia="仿宋_GB2312" w:cs="宋体"/>
          <w:kern w:val="0"/>
          <w:sz w:val="32"/>
          <w:szCs w:val="32"/>
          <w:highlight w:val="none"/>
          <w:lang w:val="en-US" w:eastAsia="zh-CN"/>
        </w:rPr>
        <w:t>3.1</w:t>
      </w:r>
      <w:r>
        <w:rPr>
          <w:rFonts w:hint="eastAsia" w:ascii="仿宋_GB2312" w:hAnsi="宋体" w:eastAsia="仿宋_GB2312" w:cs="宋体"/>
          <w:kern w:val="0"/>
          <w:sz w:val="32"/>
          <w:szCs w:val="32"/>
          <w:highlight w:val="none"/>
        </w:rPr>
        <w:t>万元，政府采购服务预算</w:t>
      </w:r>
      <w:r>
        <w:rPr>
          <w:rFonts w:hint="eastAsia" w:ascii="仿宋_GB2312" w:hAnsi="宋体" w:eastAsia="仿宋_GB2312" w:cs="宋体"/>
          <w:kern w:val="0"/>
          <w:sz w:val="32"/>
          <w:szCs w:val="32"/>
          <w:highlight w:val="none"/>
          <w:lang w:val="en-US" w:eastAsia="zh-CN"/>
        </w:rPr>
        <w:t>26.09</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sz w:val="32"/>
          <w:highlight w:val="none"/>
          <w:lang w:eastAsia="zh-CN"/>
        </w:rPr>
        <w:t>2022</w:t>
      </w:r>
      <w:r>
        <w:rPr>
          <w:rFonts w:hint="eastAsia" w:ascii="仿宋_GB2312" w:hAnsi="仿宋_GB2312" w:eastAsia="仿宋_GB2312"/>
          <w:sz w:val="32"/>
          <w:highlight w:val="none"/>
        </w:rPr>
        <w:t>年度本</w:t>
      </w:r>
      <w:r>
        <w:rPr>
          <w:rFonts w:hint="eastAsia" w:ascii="仿宋_GB2312" w:hAnsi="仿宋_GB2312" w:eastAsia="仿宋_GB2312"/>
          <w:sz w:val="32"/>
          <w:highlight w:val="none"/>
          <w:lang w:eastAsia="zh-CN"/>
        </w:rPr>
        <w:t>部门</w:t>
      </w:r>
      <w:r>
        <w:rPr>
          <w:rFonts w:hint="eastAsia" w:ascii="仿宋_GB2312" w:hAnsi="仿宋_GB2312" w:eastAsia="仿宋_GB2312"/>
          <w:sz w:val="32"/>
          <w:highlight w:val="none"/>
        </w:rPr>
        <w:t>面向中小企业预留政府采购项目预算金额0万元，其中：面向小微企业预留政府采购项目预算金额0万元。</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hint="eastAsia" w:ascii="仿宋_GB2312" w:hAnsi="宋体" w:eastAsia="仿宋_GB2312" w:cs="宋体"/>
          <w:kern w:val="0"/>
          <w:sz w:val="32"/>
          <w:szCs w:val="32"/>
          <w:highlight w:val="none"/>
          <w:lang w:eastAsia="zh-CN"/>
        </w:rPr>
        <w:t>202</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年底，昌吉州妇幼保健计划生育服务中心占用使用国有资产总体情况为</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w:t>
      </w:r>
      <w:r>
        <w:rPr>
          <w:rFonts w:ascii="仿宋_GB2312" w:hAnsi="宋体" w:eastAsia="仿宋_GB2312" w:cs="宋体"/>
          <w:kern w:val="0"/>
          <w:sz w:val="32"/>
          <w:szCs w:val="32"/>
          <w:highlight w:val="none"/>
        </w:rPr>
        <w:t>1264</w:t>
      </w:r>
      <w:r>
        <w:rPr>
          <w:rFonts w:hint="eastAsia" w:ascii="仿宋_GB2312" w:hAnsi="宋体" w:eastAsia="仿宋_GB2312" w:cs="宋体"/>
          <w:kern w:val="0"/>
          <w:sz w:val="32"/>
          <w:szCs w:val="32"/>
          <w:highlight w:val="none"/>
        </w:rPr>
        <w:t>平方米，价值</w:t>
      </w:r>
      <w:r>
        <w:rPr>
          <w:rFonts w:ascii="仿宋_GB2312" w:hAnsi="宋体" w:eastAsia="仿宋_GB2312" w:cs="宋体"/>
          <w:kern w:val="0"/>
          <w:sz w:val="32"/>
          <w:szCs w:val="32"/>
          <w:highlight w:val="none"/>
        </w:rPr>
        <w:t>44.94</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69.4</w:t>
      </w:r>
      <w:r>
        <w:rPr>
          <w:rFonts w:hint="eastAsia" w:ascii="仿宋_GB2312" w:hAnsi="宋体" w:eastAsia="仿宋_GB2312" w:cs="宋体"/>
          <w:kern w:val="0"/>
          <w:sz w:val="32"/>
          <w:szCs w:val="32"/>
          <w:highlight w:val="none"/>
        </w:rPr>
        <w:t>万元；其中：一般公务用车3辆，价值58.42万元；执法执勤用车0辆，价值0万元；其他车辆</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10.98</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3.办公家具价值11.4万元。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301.37</w:t>
      </w:r>
      <w:r>
        <w:rPr>
          <w:rFonts w:hint="eastAsia" w:ascii="仿宋_GB2312" w:hAnsi="宋体" w:eastAsia="仿宋_GB2312" w:cs="宋体"/>
          <w:kern w:val="0"/>
          <w:sz w:val="32"/>
          <w:szCs w:val="32"/>
          <w:highlight w:val="none"/>
        </w:rPr>
        <w:t>万元。</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单位价值50万元以上大型设备0台（套），单位价值100万元以上大型设备0台（套）。</w:t>
      </w:r>
    </w:p>
    <w:p>
      <w:pPr>
        <w:keepNext w:val="0"/>
        <w:keepLines w:val="0"/>
        <w:pageBreakBefore w:val="0"/>
        <w:kinsoku/>
        <w:wordWrap/>
        <w:overflowPunct/>
        <w:topLinePunct w:val="0"/>
        <w:autoSpaceDE/>
        <w:autoSpaceDN/>
        <w:bidi w:val="0"/>
        <w:adjustRightInd/>
        <w:spacing w:line="64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eastAsia="zh-CN"/>
        </w:rPr>
        <w:t>部门</w:t>
      </w:r>
      <w:r>
        <w:rPr>
          <w:rFonts w:hint="eastAsia" w:ascii="仿宋_GB2312" w:hAnsi="仿宋_GB2312" w:eastAsia="仿宋_GB2312" w:cs="仿宋_GB2312"/>
          <w:kern w:val="0"/>
          <w:sz w:val="32"/>
          <w:szCs w:val="32"/>
          <w:highlight w:val="none"/>
        </w:rPr>
        <w:t>预算未安排购置车辆经费，安排购置50万元以上大型设备0台（套），单位价值100万元以上大型设备0台（套）。</w:t>
      </w:r>
    </w:p>
    <w:p>
      <w:pPr>
        <w:keepNext w:val="0"/>
        <w:keepLines w:val="0"/>
        <w:pageBreakBefore w:val="0"/>
        <w:kinsoku/>
        <w:wordWrap/>
        <w:overflowPunct/>
        <w:topLinePunct w:val="0"/>
        <w:autoSpaceDE/>
        <w:autoSpaceDN/>
        <w:bidi w:val="0"/>
        <w:adjustRightInd/>
        <w:spacing w:line="64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keepNext w:val="0"/>
        <w:keepLines w:val="0"/>
        <w:pageBreakBefore w:val="0"/>
        <w:widowControl/>
        <w:kinsoku/>
        <w:wordWrap/>
        <w:overflowPunct/>
        <w:topLinePunct w:val="0"/>
        <w:autoSpaceDE/>
        <w:autoSpaceDN/>
        <w:bidi w:val="0"/>
        <w:adjustRightInd/>
        <w:spacing w:line="64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年度，</w:t>
      </w:r>
      <w:r>
        <w:rPr>
          <w:rFonts w:hint="eastAsia" w:ascii="仿宋_GB2312" w:hAnsi="仿宋_GB2312" w:eastAsia="仿宋_GB2312" w:cs="仿宋_GB2312"/>
          <w:kern w:val="0"/>
          <w:sz w:val="32"/>
          <w:szCs w:val="32"/>
          <w:highlight w:val="none"/>
        </w:rPr>
        <w:t>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个，涉及预算金额</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万元。具体情况见下表：</w:t>
      </w:r>
    </w:p>
    <w:p>
      <w:pPr>
        <w:widowControl/>
        <w:spacing w:line="480" w:lineRule="exact"/>
        <w:ind w:firstLine="320" w:firstLineChars="100"/>
        <w:jc w:val="left"/>
        <w:rPr>
          <w:rFonts w:hint="eastAsia" w:ascii="仿宋_GB2312" w:hAnsi="宋体" w:eastAsia="仿宋_GB2312" w:cs="宋体"/>
          <w:kern w:val="0"/>
          <w:sz w:val="32"/>
          <w:szCs w:val="32"/>
          <w:highlight w:val="none"/>
        </w:rPr>
      </w:pPr>
    </w:p>
    <w:p>
      <w:pPr>
        <w:widowControl/>
        <w:spacing w:line="480" w:lineRule="exact"/>
        <w:ind w:firstLine="320" w:firstLineChars="100"/>
        <w:jc w:val="left"/>
        <w:rPr>
          <w:rFonts w:hint="eastAsia" w:ascii="仿宋_GB2312" w:hAnsi="宋体" w:eastAsia="仿宋_GB2312" w:cs="宋体"/>
          <w:kern w:val="0"/>
          <w:sz w:val="32"/>
          <w:szCs w:val="32"/>
          <w:highlight w:val="none"/>
        </w:rPr>
      </w:pPr>
    </w:p>
    <w:p>
      <w:pPr>
        <w:widowControl/>
        <w:spacing w:line="480" w:lineRule="exact"/>
        <w:ind w:firstLine="320" w:firstLineChars="100"/>
        <w:jc w:val="left"/>
        <w:rPr>
          <w:rFonts w:hint="eastAsia" w:ascii="仿宋_GB2312" w:hAnsi="宋体" w:eastAsia="仿宋_GB2312" w:cs="宋体"/>
          <w:kern w:val="0"/>
          <w:sz w:val="32"/>
          <w:szCs w:val="32"/>
          <w:highlight w:val="none"/>
        </w:rPr>
      </w:pPr>
    </w:p>
    <w:p>
      <w:pPr>
        <w:widowControl/>
        <w:spacing w:line="480" w:lineRule="exact"/>
        <w:ind w:firstLine="320" w:firstLineChars="100"/>
        <w:jc w:val="left"/>
        <w:rPr>
          <w:rFonts w:hint="eastAsia" w:ascii="仿宋_GB2312" w:hAnsi="宋体" w:eastAsia="仿宋_GB2312" w:cs="宋体"/>
          <w:kern w:val="0"/>
          <w:sz w:val="32"/>
          <w:szCs w:val="32"/>
          <w:highlight w:val="none"/>
        </w:rPr>
      </w:pPr>
    </w:p>
    <w:p>
      <w:pPr>
        <w:widowControl/>
        <w:spacing w:line="480" w:lineRule="exact"/>
        <w:ind w:firstLine="320" w:firstLineChars="100"/>
        <w:jc w:val="left"/>
        <w:rPr>
          <w:rFonts w:hint="eastAsia" w:ascii="仿宋_GB2312" w:hAnsi="宋体" w:eastAsia="仿宋_GB2312" w:cs="宋体"/>
          <w:kern w:val="0"/>
          <w:sz w:val="32"/>
          <w:szCs w:val="32"/>
          <w:highlight w:val="none"/>
        </w:rPr>
      </w:pPr>
    </w:p>
    <w:p>
      <w:pPr>
        <w:widowControl/>
        <w:spacing w:line="480" w:lineRule="exact"/>
        <w:ind w:firstLine="320" w:firstLineChars="100"/>
        <w:jc w:val="left"/>
        <w:rPr>
          <w:rFonts w:hint="eastAsia" w:ascii="仿宋_GB2312" w:hAnsi="宋体" w:eastAsia="仿宋_GB2312" w:cs="宋体"/>
          <w:kern w:val="0"/>
          <w:sz w:val="32"/>
          <w:szCs w:val="32"/>
          <w:highlight w:val="none"/>
        </w:rPr>
      </w:pPr>
    </w:p>
    <w:p>
      <w:pPr>
        <w:widowControl/>
        <w:spacing w:line="480" w:lineRule="exact"/>
        <w:ind w:firstLine="320" w:firstLineChars="100"/>
        <w:jc w:val="left"/>
        <w:rPr>
          <w:rFonts w:hint="eastAsia" w:ascii="仿宋_GB2312" w:hAnsi="宋体" w:eastAsia="仿宋_GB2312" w:cs="宋体"/>
          <w:kern w:val="0"/>
          <w:sz w:val="32"/>
          <w:szCs w:val="32"/>
          <w:highlight w:val="none"/>
        </w:rPr>
      </w:pPr>
    </w:p>
    <w:tbl>
      <w:tblPr>
        <w:tblStyle w:val="6"/>
        <w:tblW w:w="8960" w:type="dxa"/>
        <w:tblInd w:w="0" w:type="dxa"/>
        <w:shd w:val="clear" w:color="auto" w:fill="auto"/>
        <w:tblLayout w:type="fixed"/>
        <w:tblCellMar>
          <w:top w:w="0" w:type="dxa"/>
          <w:left w:w="0" w:type="dxa"/>
          <w:bottom w:w="0" w:type="dxa"/>
          <w:right w:w="0" w:type="dxa"/>
        </w:tblCellMar>
      </w:tblPr>
      <w:tblGrid>
        <w:gridCol w:w="813"/>
        <w:gridCol w:w="1510"/>
        <w:gridCol w:w="117"/>
        <w:gridCol w:w="813"/>
        <w:gridCol w:w="1631"/>
        <w:gridCol w:w="813"/>
        <w:gridCol w:w="626"/>
        <w:gridCol w:w="1001"/>
        <w:gridCol w:w="1636"/>
      </w:tblGrid>
      <w:tr>
        <w:tblPrEx>
          <w:shd w:val="clear" w:color="auto" w:fill="auto"/>
          <w:tblCellMar>
            <w:top w:w="0" w:type="dxa"/>
            <w:left w:w="0" w:type="dxa"/>
            <w:bottom w:w="0" w:type="dxa"/>
            <w:right w:w="0" w:type="dxa"/>
          </w:tblCellMar>
        </w:tblPrEx>
        <w:trPr>
          <w:trHeight w:val="693" w:hRule="atLeast"/>
        </w:trPr>
        <w:tc>
          <w:tcPr>
            <w:tcW w:w="896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CellMar>
            <w:top w:w="0" w:type="dxa"/>
            <w:left w:w="0" w:type="dxa"/>
            <w:bottom w:w="0" w:type="dxa"/>
            <w:right w:w="0" w:type="dxa"/>
          </w:tblCellMar>
        </w:tblPrEx>
        <w:trPr>
          <w:trHeight w:val="693" w:hRule="atLeast"/>
        </w:trPr>
        <w:tc>
          <w:tcPr>
            <w:tcW w:w="8960"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CellMar>
            <w:top w:w="0" w:type="dxa"/>
            <w:left w:w="0" w:type="dxa"/>
            <w:bottom w:w="0" w:type="dxa"/>
            <w:right w:w="0" w:type="dxa"/>
          </w:tblCellMar>
        </w:tblPrEx>
        <w:trPr>
          <w:trHeight w:val="383"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昌吉回族自治州妇幼保健计划生育服务中心</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26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计划生育宣传经费项目</w:t>
            </w:r>
          </w:p>
        </w:tc>
      </w:tr>
      <w:tr>
        <w:tblPrEx>
          <w:tblCellMar>
            <w:top w:w="0" w:type="dxa"/>
            <w:left w:w="0" w:type="dxa"/>
            <w:bottom w:w="0" w:type="dxa"/>
            <w:right w:w="0" w:type="dxa"/>
          </w:tblCellMar>
        </w:tblPrEx>
        <w:trPr>
          <w:trHeight w:val="715"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16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CellMar>
            <w:top w:w="0" w:type="dxa"/>
            <w:left w:w="0" w:type="dxa"/>
            <w:bottom w:w="0" w:type="dxa"/>
            <w:right w:w="0" w:type="dxa"/>
          </w:tblCellMar>
        </w:tblPrEx>
        <w:trPr>
          <w:trHeight w:val="2705"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814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单位职能：昌吉州妇幼保健计划生育服务中心承担辖区内妇幼保健、妇女儿童常见病防治、围产保健、助产技术服务、计划生育技术服务、出生缺陷综合防治、妇幼保健计划生育信息管理、服务质量监测等工作，对下级服务机构进行技术指导与培训，接受下级转诊。项目目标：根据国家的政策及州党委政府的工作安排，财政每年安排计划生育宣传经费10万元，由我单位组织实施，进行政策的宣传及到各县市去检查指导工作，加强妇幼健康计划生育服务工作的宣传，提高群众对人口与计划生育的知晓率。昌吉州妇幼保健计划生育服务中心进行政策的宣传及到各县市去指导工作，加强妇幼健康计划生育服务工作的宣传，促进生育文明文化建设。我单位计划年内组织培训班大于2次，组织宣传活动大于8次，组织培训班人次大于500人，编印计划生育宣传材料大于500本。</w:t>
            </w:r>
          </w:p>
        </w:tc>
      </w:tr>
      <w:tr>
        <w:tblPrEx>
          <w:shd w:val="clear" w:color="auto" w:fill="auto"/>
          <w:tblCellMar>
            <w:top w:w="0" w:type="dxa"/>
            <w:left w:w="0" w:type="dxa"/>
            <w:bottom w:w="0" w:type="dxa"/>
            <w:right w:w="0" w:type="dxa"/>
          </w:tblCellMar>
        </w:tblPrEx>
        <w:trPr>
          <w:trHeight w:val="383"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CellMar>
            <w:top w:w="0" w:type="dxa"/>
            <w:left w:w="0" w:type="dxa"/>
            <w:bottom w:w="0" w:type="dxa"/>
            <w:right w:w="0" w:type="dxa"/>
          </w:tblCellMar>
        </w:tblPrEx>
        <w:trPr>
          <w:trHeight w:val="390" w:hRule="atLeast"/>
        </w:trPr>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年内组织培训班次数</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&gt;=2次</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年内组织宣传活动次数</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&gt;=8次</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组织培训班学习人次</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&gt;=500人</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编印计划生育宣传材料</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&gt;=500本</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培训合格率</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宣传活动所需时间</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截止12月31日前</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宣传活动开展及时率</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印制计划生育宣传资料成本</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&lt;=7.7万元</w:t>
            </w:r>
          </w:p>
        </w:tc>
      </w:tr>
      <w:tr>
        <w:tblPrEx>
          <w:tblCellMar>
            <w:top w:w="0" w:type="dxa"/>
            <w:left w:w="0" w:type="dxa"/>
            <w:bottom w:w="0" w:type="dxa"/>
            <w:right w:w="0" w:type="dxa"/>
          </w:tblCellMar>
        </w:tblPrEx>
        <w:trPr>
          <w:trHeight w:val="390"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开展计划生育知识培训成本</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&lt;=2.30万元</w:t>
            </w:r>
          </w:p>
        </w:tc>
      </w:tr>
      <w:tr>
        <w:tblPrEx>
          <w:tblCellMar>
            <w:top w:w="0" w:type="dxa"/>
            <w:left w:w="0" w:type="dxa"/>
            <w:bottom w:w="0" w:type="dxa"/>
            <w:right w:w="0" w:type="dxa"/>
          </w:tblCellMar>
        </w:tblPrEx>
        <w:trPr>
          <w:trHeight w:val="715" w:hRule="atLeast"/>
        </w:trPr>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CellMar>
            <w:top w:w="0" w:type="dxa"/>
            <w:left w:w="0" w:type="dxa"/>
            <w:bottom w:w="0" w:type="dxa"/>
            <w:right w:w="0" w:type="dxa"/>
          </w:tblCellMar>
        </w:tblPrEx>
        <w:trPr>
          <w:trHeight w:val="715"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提高群众对人口与计划生育的知晓率</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CellMar>
            <w:top w:w="0" w:type="dxa"/>
            <w:left w:w="0" w:type="dxa"/>
            <w:bottom w:w="0" w:type="dxa"/>
            <w:right w:w="0" w:type="dxa"/>
          </w:tblCellMar>
        </w:tblPrEx>
        <w:trPr>
          <w:trHeight w:val="715"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CellMar>
            <w:top w:w="0" w:type="dxa"/>
            <w:left w:w="0" w:type="dxa"/>
            <w:bottom w:w="0" w:type="dxa"/>
            <w:right w:w="0" w:type="dxa"/>
          </w:tblCellMar>
        </w:tblPrEx>
        <w:trPr>
          <w:trHeight w:val="715" w:hRule="atLeast"/>
        </w:trPr>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加强宣传，促进生育文明文化建设</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CellMar>
            <w:top w:w="0" w:type="dxa"/>
            <w:left w:w="0" w:type="dxa"/>
            <w:bottom w:w="0" w:type="dxa"/>
            <w:right w:w="0" w:type="dxa"/>
          </w:tblCellMar>
        </w:tblPrEx>
        <w:trPr>
          <w:trHeight w:val="735" w:hRule="atLeast"/>
        </w:trPr>
        <w:tc>
          <w:tcPr>
            <w:tcW w:w="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0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市民满意度</w:t>
            </w: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bl>
    <w:p>
      <w:pPr>
        <w:widowControl/>
        <w:spacing w:line="480" w:lineRule="exact"/>
        <w:ind w:firstLine="321" w:firstLineChars="100"/>
        <w:jc w:val="left"/>
        <w:rPr>
          <w:rFonts w:hint="eastAsia" w:ascii="楷体_GB2312" w:hAnsi="宋体" w:eastAsia="楷体_GB2312" w:cs="宋体"/>
          <w:b/>
          <w:kern w:val="0"/>
          <w:sz w:val="32"/>
          <w:szCs w:val="32"/>
          <w:highlight w:val="none"/>
        </w:rPr>
      </w:pPr>
    </w:p>
    <w:tbl>
      <w:tblPr>
        <w:tblStyle w:val="6"/>
        <w:tblW w:w="8420" w:type="dxa"/>
        <w:tblInd w:w="0" w:type="dxa"/>
        <w:shd w:val="clear" w:color="auto" w:fill="auto"/>
        <w:tblLayout w:type="autofit"/>
        <w:tblCellMar>
          <w:top w:w="0" w:type="dxa"/>
          <w:left w:w="0" w:type="dxa"/>
          <w:bottom w:w="0" w:type="dxa"/>
          <w:right w:w="0" w:type="dxa"/>
        </w:tblCellMar>
      </w:tblPr>
      <w:tblGrid>
        <w:gridCol w:w="671"/>
        <w:gridCol w:w="671"/>
        <w:gridCol w:w="1269"/>
        <w:gridCol w:w="3096"/>
        <w:gridCol w:w="2641"/>
        <w:gridCol w:w="36"/>
        <w:gridCol w:w="36"/>
      </w:tblGrid>
      <w:tr>
        <w:tblPrEx>
          <w:shd w:val="clear" w:color="auto" w:fill="auto"/>
          <w:tblCellMar>
            <w:top w:w="0" w:type="dxa"/>
            <w:left w:w="0" w:type="dxa"/>
            <w:bottom w:w="0" w:type="dxa"/>
            <w:right w:w="0" w:type="dxa"/>
          </w:tblCellMar>
        </w:tblPrEx>
        <w:trPr>
          <w:trHeight w:val="776" w:hRule="atLeast"/>
        </w:trPr>
        <w:tc>
          <w:tcPr>
            <w:tcW w:w="8420"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w:hAnsi="Arial" w:cs="Arial"/>
                <w:b/>
                <w:bCs/>
                <w:i w:val="0"/>
                <w:color w:val="000000"/>
                <w:sz w:val="28"/>
                <w:szCs w:val="28"/>
                <w:highlight w:val="none"/>
                <w:u w:val="none"/>
              </w:rPr>
            </w:pPr>
            <w:r>
              <w:rPr>
                <w:rFonts w:hint="eastAsia" w:ascii="仿宋" w:hAnsi="仿宋" w:eastAsia="仿宋" w:cs="仿宋"/>
                <w:b/>
                <w:bCs/>
                <w:i w:val="0"/>
                <w:color w:val="000000"/>
                <w:kern w:val="0"/>
                <w:sz w:val="32"/>
                <w:szCs w:val="32"/>
                <w:highlight w:val="none"/>
                <w:u w:val="none"/>
                <w:lang w:val="en-US" w:eastAsia="zh-CN" w:bidi="ar"/>
              </w:rPr>
              <w:t>昌吉州妇幼保健计划生育服务中心部门预算项目支出                   绩效目标申报表</w:t>
            </w:r>
          </w:p>
        </w:tc>
      </w:tr>
      <w:tr>
        <w:tblPrEx>
          <w:tblCellMar>
            <w:top w:w="0" w:type="dxa"/>
            <w:left w:w="0" w:type="dxa"/>
            <w:bottom w:w="0" w:type="dxa"/>
            <w:right w:w="0" w:type="dxa"/>
          </w:tblCellMar>
        </w:tblPrEx>
        <w:trPr>
          <w:trHeight w:val="527" w:hRule="atLeast"/>
        </w:trPr>
        <w:tc>
          <w:tcPr>
            <w:tcW w:w="8420" w:type="dxa"/>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b/>
                <w:bCs/>
                <w:i w:val="0"/>
                <w:color w:val="000000"/>
                <w:sz w:val="28"/>
                <w:szCs w:val="28"/>
                <w:highlight w:val="none"/>
                <w:u w:val="none"/>
              </w:rPr>
            </w:pPr>
            <w:r>
              <w:rPr>
                <w:rFonts w:hint="default" w:ascii="Arial" w:hAnsi="Arial" w:eastAsia="宋体" w:cs="Arial"/>
                <w:b/>
                <w:bCs/>
                <w:i w:val="0"/>
                <w:color w:val="000000"/>
                <w:kern w:val="0"/>
                <w:sz w:val="28"/>
                <w:szCs w:val="28"/>
                <w:highlight w:val="none"/>
                <w:u w:val="none"/>
                <w:lang w:val="en-US" w:eastAsia="zh-CN" w:bidi="ar"/>
              </w:rPr>
              <w:t>（2022年度）</w:t>
            </w:r>
          </w:p>
        </w:tc>
      </w:tr>
      <w:tr>
        <w:tblPrEx>
          <w:tblCellMar>
            <w:top w:w="0" w:type="dxa"/>
            <w:left w:w="0" w:type="dxa"/>
            <w:bottom w:w="0" w:type="dxa"/>
            <w:right w:w="0" w:type="dxa"/>
          </w:tblCellMar>
        </w:tblPrEx>
        <w:trPr>
          <w:trHeight w:val="90" w:hRule="atLeast"/>
        </w:trPr>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309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264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c>
          <w:tcPr>
            <w:tcW w:w="0" w:type="auto"/>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cs="Arial"/>
                <w:i w:val="0"/>
                <w:color w:val="000000"/>
                <w:sz w:val="20"/>
                <w:szCs w:val="20"/>
                <w:highlight w:val="none"/>
                <w:u w:val="none"/>
              </w:rPr>
            </w:pPr>
          </w:p>
        </w:tc>
      </w:tr>
      <w:tr>
        <w:tblPrEx>
          <w:tblCellMar>
            <w:top w:w="0" w:type="dxa"/>
            <w:left w:w="0" w:type="dxa"/>
            <w:bottom w:w="0" w:type="dxa"/>
            <w:right w:w="0" w:type="dxa"/>
          </w:tblCellMar>
        </w:tblPrEx>
        <w:trPr>
          <w:trHeight w:val="577" w:hRule="atLeast"/>
        </w:trPr>
        <w:tc>
          <w:tcPr>
            <w:tcW w:w="26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项目名称</w:t>
            </w:r>
          </w:p>
        </w:tc>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机构运行补助经费</w:t>
            </w:r>
          </w:p>
        </w:tc>
      </w:tr>
      <w:tr>
        <w:tblPrEx>
          <w:tblCellMar>
            <w:top w:w="0" w:type="dxa"/>
            <w:left w:w="0" w:type="dxa"/>
            <w:bottom w:w="0" w:type="dxa"/>
            <w:right w:w="0" w:type="dxa"/>
          </w:tblCellMar>
        </w:tblPrEx>
        <w:trPr>
          <w:trHeight w:val="577" w:hRule="atLeast"/>
        </w:trPr>
        <w:tc>
          <w:tcPr>
            <w:tcW w:w="26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预算单位</w:t>
            </w:r>
          </w:p>
        </w:tc>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昌吉回族自治州妇幼保健计划生育服务中心</w:t>
            </w:r>
          </w:p>
        </w:tc>
      </w:tr>
      <w:tr>
        <w:tblPrEx>
          <w:tblCellMar>
            <w:top w:w="0" w:type="dxa"/>
            <w:left w:w="0" w:type="dxa"/>
            <w:bottom w:w="0" w:type="dxa"/>
            <w:right w:w="0" w:type="dxa"/>
          </w:tblCellMar>
        </w:tblPrEx>
        <w:trPr>
          <w:trHeight w:val="457" w:hRule="atLeast"/>
        </w:trPr>
        <w:tc>
          <w:tcPr>
            <w:tcW w:w="26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项目资金</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（万元）</w:t>
            </w:r>
          </w:p>
        </w:tc>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年度资金总额：15</w:t>
            </w:r>
          </w:p>
        </w:tc>
      </w:tr>
      <w:tr>
        <w:tblPrEx>
          <w:tblCellMar>
            <w:top w:w="0" w:type="dxa"/>
            <w:left w:w="0" w:type="dxa"/>
            <w:bottom w:w="0" w:type="dxa"/>
            <w:right w:w="0" w:type="dxa"/>
          </w:tblCellMar>
        </w:tblPrEx>
        <w:trPr>
          <w:trHeight w:val="368" w:hRule="atLeast"/>
        </w:trPr>
        <w:tc>
          <w:tcPr>
            <w:tcW w:w="26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  0</w:t>
            </w:r>
          </w:p>
        </w:tc>
      </w:tr>
      <w:tr>
        <w:tblPrEx>
          <w:tblCellMar>
            <w:top w:w="0" w:type="dxa"/>
            <w:left w:w="0" w:type="dxa"/>
            <w:bottom w:w="0" w:type="dxa"/>
            <w:right w:w="0" w:type="dxa"/>
          </w:tblCellMar>
        </w:tblPrEx>
        <w:trPr>
          <w:trHeight w:val="457" w:hRule="atLeast"/>
        </w:trPr>
        <w:tc>
          <w:tcPr>
            <w:tcW w:w="26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  15</w:t>
            </w:r>
          </w:p>
        </w:tc>
      </w:tr>
      <w:tr>
        <w:tblPrEx>
          <w:tblCellMar>
            <w:top w:w="0" w:type="dxa"/>
            <w:left w:w="0" w:type="dxa"/>
            <w:bottom w:w="0" w:type="dxa"/>
            <w:right w:w="0" w:type="dxa"/>
          </w:tblCellMar>
        </w:tblPrEx>
        <w:trPr>
          <w:trHeight w:val="474" w:hRule="atLeast"/>
        </w:trPr>
        <w:tc>
          <w:tcPr>
            <w:tcW w:w="6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总</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体</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目</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标</w:t>
            </w:r>
          </w:p>
        </w:tc>
        <w:tc>
          <w:tcPr>
            <w:tcW w:w="77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年度目标</w:t>
            </w:r>
          </w:p>
        </w:tc>
      </w:tr>
      <w:tr>
        <w:tblPrEx>
          <w:tblCellMar>
            <w:top w:w="0" w:type="dxa"/>
            <w:left w:w="0" w:type="dxa"/>
            <w:bottom w:w="0" w:type="dxa"/>
            <w:right w:w="0" w:type="dxa"/>
          </w:tblCellMar>
        </w:tblPrEx>
        <w:trPr>
          <w:trHeight w:val="1723"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774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单位职能：昌吉州妇幼保健计划生育服务中心承担辖区内妇幼保健、妇女儿童常见病防治、围产保健、助产技术服务、计划生育技术服务、出生缺陷综合防治、妇幼保健计划生育信息管理、服务质量监测等工作，对下级服务机构进行技术指导与培训，接受下级转诊。项目目标：提升妇幼健康计划生育服务的工作能力，进行妇女乳腺、妇科检查，提高妇女患病治疗率，促进生育文明文化建设。</w:t>
            </w:r>
          </w:p>
        </w:tc>
      </w:tr>
      <w:tr>
        <w:tblPrEx>
          <w:tblCellMar>
            <w:top w:w="0" w:type="dxa"/>
            <w:left w:w="0" w:type="dxa"/>
            <w:bottom w:w="0" w:type="dxa"/>
            <w:right w:w="0" w:type="dxa"/>
          </w:tblCellMar>
        </w:tblPrEx>
        <w:trPr>
          <w:trHeight w:val="1089" w:hRule="atLeast"/>
        </w:trPr>
        <w:tc>
          <w:tcPr>
            <w:tcW w:w="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Arial" w:hAnsi="Arial" w:cs="Arial"/>
                <w:b/>
                <w:bCs/>
                <w:i w:val="0"/>
                <w:color w:val="000000"/>
                <w:sz w:val="18"/>
                <w:szCs w:val="18"/>
                <w:highlight w:val="none"/>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b/>
                <w:bCs/>
                <w:i w:val="0"/>
                <w:color w:val="000000"/>
                <w:sz w:val="18"/>
                <w:szCs w:val="18"/>
                <w:highlight w:val="none"/>
                <w:u w:val="none"/>
              </w:rPr>
            </w:pPr>
            <w:r>
              <w:rPr>
                <w:rFonts w:hint="default" w:ascii="Arial" w:hAnsi="Arial" w:eastAsia="宋体" w:cs="Arial"/>
                <w:b/>
                <w:bCs/>
                <w:i w:val="0"/>
                <w:color w:val="000000"/>
                <w:kern w:val="0"/>
                <w:sz w:val="18"/>
                <w:szCs w:val="18"/>
                <w:highlight w:val="none"/>
                <w:u w:val="none"/>
                <w:lang w:val="en-US" w:eastAsia="zh-CN" w:bidi="ar"/>
              </w:rPr>
              <w:t>一级</w:t>
            </w:r>
            <w:r>
              <w:rPr>
                <w:rFonts w:hint="default" w:ascii="Arial" w:hAnsi="Arial" w:eastAsia="宋体" w:cs="Arial"/>
                <w:b/>
                <w:bCs/>
                <w:i w:val="0"/>
                <w:color w:val="000000"/>
                <w:kern w:val="0"/>
                <w:sz w:val="18"/>
                <w:szCs w:val="18"/>
                <w:highlight w:val="none"/>
                <w:u w:val="none"/>
                <w:lang w:val="en-US" w:eastAsia="zh-CN" w:bidi="ar"/>
              </w:rPr>
              <w:br w:type="textWrapping"/>
            </w:r>
            <w:r>
              <w:rPr>
                <w:rFonts w:hint="default" w:ascii="Arial" w:hAnsi="Arial" w:eastAsia="宋体" w:cs="Arial"/>
                <w:b/>
                <w:bCs/>
                <w:i w:val="0"/>
                <w:color w:val="000000"/>
                <w:kern w:val="0"/>
                <w:sz w:val="18"/>
                <w:szCs w:val="18"/>
                <w:highlight w:val="none"/>
                <w:u w:val="none"/>
                <w:lang w:val="en-US" w:eastAsia="zh-CN" w:bidi="ar"/>
              </w:rPr>
              <w:t>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b/>
                <w:bCs/>
                <w:i w:val="0"/>
                <w:color w:val="000000"/>
                <w:sz w:val="18"/>
                <w:szCs w:val="18"/>
                <w:highlight w:val="none"/>
                <w:u w:val="none"/>
              </w:rPr>
            </w:pPr>
            <w:r>
              <w:rPr>
                <w:rFonts w:hint="default" w:ascii="Arial" w:hAnsi="Arial" w:eastAsia="宋体" w:cs="Arial"/>
                <w:b/>
                <w:bCs/>
                <w:i w:val="0"/>
                <w:color w:val="000000"/>
                <w:kern w:val="0"/>
                <w:sz w:val="18"/>
                <w:szCs w:val="18"/>
                <w:highlight w:val="none"/>
                <w:u w:val="none"/>
                <w:lang w:val="en-US" w:eastAsia="zh-CN" w:bidi="ar"/>
              </w:rPr>
              <w:t>二级指标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b/>
                <w:bCs/>
                <w:i w:val="0"/>
                <w:color w:val="000000"/>
                <w:sz w:val="18"/>
                <w:szCs w:val="18"/>
                <w:highlight w:val="none"/>
                <w:u w:val="none"/>
              </w:rPr>
            </w:pPr>
            <w:r>
              <w:rPr>
                <w:rFonts w:hint="default" w:ascii="Arial" w:hAnsi="Arial" w:eastAsia="宋体" w:cs="Arial"/>
                <w:b/>
                <w:bCs/>
                <w:i w:val="0"/>
                <w:color w:val="000000"/>
                <w:kern w:val="0"/>
                <w:sz w:val="18"/>
                <w:szCs w:val="18"/>
                <w:highlight w:val="none"/>
                <w:u w:val="none"/>
                <w:lang w:val="en-US" w:eastAsia="zh-CN" w:bidi="ar"/>
              </w:rPr>
              <w:t>三级指标</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18"/>
                <w:szCs w:val="18"/>
                <w:highlight w:val="none"/>
                <w:u w:val="none"/>
              </w:rPr>
            </w:pPr>
            <w:r>
              <w:rPr>
                <w:rFonts w:hint="eastAsia" w:ascii="宋体" w:hAnsi="宋体" w:eastAsia="宋体" w:cs="宋体"/>
                <w:b/>
                <w:bCs/>
                <w:i w:val="0"/>
                <w:color w:val="000000"/>
                <w:kern w:val="0"/>
                <w:sz w:val="18"/>
                <w:szCs w:val="18"/>
                <w:highlight w:val="none"/>
                <w:u w:val="none"/>
                <w:lang w:val="en-US" w:eastAsia="zh-CN" w:bidi="ar"/>
              </w:rPr>
              <w:t>指标值（包含数字及文字描述）</w:t>
            </w:r>
          </w:p>
        </w:tc>
      </w:tr>
      <w:tr>
        <w:tblPrEx>
          <w:tblCellMar>
            <w:top w:w="0" w:type="dxa"/>
            <w:left w:w="0" w:type="dxa"/>
            <w:bottom w:w="0" w:type="dxa"/>
            <w:right w:w="0" w:type="dxa"/>
          </w:tblCellMar>
        </w:tblPrEx>
        <w:trPr>
          <w:trHeight w:val="577" w:hRule="atLeast"/>
        </w:trPr>
        <w:tc>
          <w:tcPr>
            <w:tcW w:w="6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绩</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效</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指</w:t>
            </w:r>
            <w:r>
              <w:rPr>
                <w:rFonts w:hint="eastAsia" w:ascii="宋体" w:hAnsi="宋体" w:eastAsia="宋体" w:cs="宋体"/>
                <w:i w:val="0"/>
                <w:color w:val="000000"/>
                <w:kern w:val="0"/>
                <w:sz w:val="18"/>
                <w:szCs w:val="18"/>
                <w:highlight w:val="none"/>
                <w:u w:val="none"/>
                <w:lang w:val="en-US" w:eastAsia="zh-CN" w:bidi="ar"/>
              </w:rPr>
              <w:br w:type="textWrapping"/>
            </w:r>
            <w:r>
              <w:rPr>
                <w:rFonts w:hint="eastAsia" w:ascii="宋体" w:hAnsi="宋体" w:eastAsia="宋体" w:cs="宋体"/>
                <w:i w:val="0"/>
                <w:color w:val="000000"/>
                <w:kern w:val="0"/>
                <w:sz w:val="18"/>
                <w:szCs w:val="18"/>
                <w:highlight w:val="none"/>
                <w:u w:val="none"/>
                <w:lang w:val="en-US" w:eastAsia="zh-CN" w:bidi="ar"/>
              </w:rPr>
              <w:t>标</w:t>
            </w:r>
          </w:p>
        </w:tc>
        <w:tc>
          <w:tcPr>
            <w:tcW w:w="6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项目完成指标</w:t>
            </w:r>
          </w:p>
        </w:tc>
        <w:tc>
          <w:tcPr>
            <w:tcW w:w="126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妇女乳腺妇科检查人数</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≥100人</w:t>
            </w:r>
          </w:p>
        </w:tc>
      </w:tr>
      <w:tr>
        <w:tblPrEx>
          <w:tblCellMar>
            <w:top w:w="0" w:type="dxa"/>
            <w:left w:w="0" w:type="dxa"/>
            <w:bottom w:w="0" w:type="dxa"/>
            <w:right w:w="0" w:type="dxa"/>
          </w:tblCellMar>
        </w:tblPrEx>
        <w:trPr>
          <w:trHeight w:val="577"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质量指标</w:t>
            </w:r>
          </w:p>
        </w:tc>
        <w:tc>
          <w:tcPr>
            <w:tcW w:w="309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妇女患病治疗率</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577"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26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时效指标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完成检查时间</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=12月</w:t>
            </w:r>
          </w:p>
        </w:tc>
      </w:tr>
      <w:tr>
        <w:tblPrEx>
          <w:tblCellMar>
            <w:top w:w="0" w:type="dxa"/>
            <w:left w:w="0" w:type="dxa"/>
            <w:bottom w:w="0" w:type="dxa"/>
            <w:right w:w="0" w:type="dxa"/>
          </w:tblCellMar>
        </w:tblPrEx>
        <w:trPr>
          <w:trHeight w:val="577"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成本指标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检查成本</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≤15万元</w:t>
            </w:r>
          </w:p>
        </w:tc>
      </w:tr>
      <w:tr>
        <w:tblPrEx>
          <w:tblCellMar>
            <w:top w:w="0" w:type="dxa"/>
            <w:left w:w="0" w:type="dxa"/>
            <w:bottom w:w="0" w:type="dxa"/>
            <w:right w:w="0" w:type="dxa"/>
          </w:tblCellMar>
        </w:tblPrEx>
        <w:trPr>
          <w:trHeight w:val="594"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6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项目效益指标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社会效益指标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提升妇女保健服务能力</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提升</w:t>
            </w:r>
          </w:p>
        </w:tc>
      </w:tr>
      <w:tr>
        <w:tblPrEx>
          <w:tblCellMar>
            <w:top w:w="0" w:type="dxa"/>
            <w:left w:w="0" w:type="dxa"/>
            <w:bottom w:w="0" w:type="dxa"/>
            <w:right w:w="0" w:type="dxa"/>
          </w:tblCellMar>
        </w:tblPrEx>
        <w:trPr>
          <w:trHeight w:val="684"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可持续影响指标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提升妇女病筛查</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w:t>
            </w:r>
          </w:p>
        </w:tc>
      </w:tr>
      <w:tr>
        <w:tblPrEx>
          <w:tblCellMar>
            <w:top w:w="0" w:type="dxa"/>
            <w:left w:w="0" w:type="dxa"/>
            <w:bottom w:w="0" w:type="dxa"/>
            <w:right w:w="0" w:type="dxa"/>
          </w:tblCellMar>
        </w:tblPrEx>
        <w:trPr>
          <w:trHeight w:val="1115" w:hRule="atLeast"/>
        </w:trPr>
        <w:tc>
          <w:tcPr>
            <w:tcW w:w="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满意度指标</w:t>
            </w:r>
          </w:p>
        </w:tc>
        <w:tc>
          <w:tcPr>
            <w:tcW w:w="12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服务对象满意度指标</w:t>
            </w:r>
          </w:p>
        </w:tc>
        <w:tc>
          <w:tcPr>
            <w:tcW w:w="30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w:hAnsi="Arial" w:cs="Arial"/>
                <w:i w:val="0"/>
                <w:color w:val="000000"/>
                <w:sz w:val="18"/>
                <w:szCs w:val="18"/>
                <w:highlight w:val="none"/>
                <w:u w:val="none"/>
              </w:rPr>
            </w:pPr>
            <w:r>
              <w:rPr>
                <w:rFonts w:hint="default" w:ascii="Arial" w:hAnsi="Arial" w:eastAsia="宋体" w:cs="Arial"/>
                <w:i w:val="0"/>
                <w:color w:val="000000"/>
                <w:kern w:val="0"/>
                <w:sz w:val="18"/>
                <w:szCs w:val="18"/>
                <w:highlight w:val="none"/>
                <w:u w:val="none"/>
                <w:lang w:val="en-US" w:eastAsia="zh-CN" w:bidi="ar"/>
              </w:rPr>
              <w:t>妇女就诊满意度</w:t>
            </w:r>
          </w:p>
        </w:tc>
        <w:tc>
          <w:tcPr>
            <w:tcW w:w="271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≥90%</w:t>
            </w:r>
          </w:p>
        </w:tc>
      </w:tr>
    </w:tbl>
    <w:p>
      <w:pPr>
        <w:widowControl/>
        <w:spacing w:line="480" w:lineRule="exact"/>
        <w:ind w:firstLine="321" w:firstLineChars="100"/>
        <w:jc w:val="left"/>
        <w:rPr>
          <w:rFonts w:hint="eastAsia" w:ascii="楷体_GB2312" w:hAnsi="宋体" w:eastAsia="楷体_GB2312" w:cs="宋体"/>
          <w:b/>
          <w:kern w:val="0"/>
          <w:sz w:val="32"/>
          <w:szCs w:val="32"/>
          <w:highlight w:val="none"/>
        </w:rPr>
      </w:pPr>
    </w:p>
    <w:p>
      <w:pPr>
        <w:widowControl/>
        <w:spacing w:line="480" w:lineRule="exact"/>
        <w:ind w:firstLine="321" w:firstLineChars="100"/>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2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widowControl/>
        <w:spacing w:line="520" w:lineRule="exact"/>
        <w:jc w:val="left"/>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rPr>
        <w:t>支出预算的组成部分，是自治区本级</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rPr>
        <w:t>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指自治区本级</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w:t>
      </w:r>
      <w:r>
        <w:rPr>
          <w:rFonts w:hint="eastAsia" w:ascii="仿宋_GB2312" w:eastAsia="仿宋_GB2312"/>
          <w:sz w:val="32"/>
          <w:szCs w:val="32"/>
          <w:highlight w:val="none"/>
          <w:lang w:eastAsia="zh-CN"/>
        </w:rPr>
        <w:t>部门</w:t>
      </w:r>
      <w:r>
        <w:rPr>
          <w:rFonts w:hint="eastAsia" w:ascii="仿宋_GB2312" w:eastAsia="仿宋_GB2312"/>
          <w:sz w:val="32"/>
          <w:szCs w:val="32"/>
          <w:highlight w:val="none"/>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昌吉州妇幼保健计划生育服务中心</w:t>
      </w:r>
    </w:p>
    <w:p>
      <w:pPr>
        <w:widowControl/>
        <w:spacing w:line="52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eastAsia="zh-CN"/>
        </w:rPr>
        <w:t>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日</w:t>
      </w:r>
    </w:p>
    <w:p>
      <w:pPr>
        <w:rPr>
          <w:highlight w:val="none"/>
        </w:rPr>
      </w:pPr>
    </w:p>
    <w:sectPr>
      <w:footerReference r:id="rId5" w:type="default"/>
      <w:pgSz w:w="11906" w:h="16838"/>
      <w:pgMar w:top="1440" w:right="1800" w:bottom="1440" w:left="1800" w:header="851" w:footer="992" w:gutter="0"/>
      <w:pgNumType w:start="1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FE6899"/>
    <w:multiLevelType w:val="singleLevel"/>
    <w:tmpl w:val="EEFE6899"/>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C533B"/>
    <w:rsid w:val="002E7530"/>
    <w:rsid w:val="00321E8A"/>
    <w:rsid w:val="003679D2"/>
    <w:rsid w:val="00452A86"/>
    <w:rsid w:val="005320EE"/>
    <w:rsid w:val="005602EA"/>
    <w:rsid w:val="00567073"/>
    <w:rsid w:val="0059125F"/>
    <w:rsid w:val="006E145A"/>
    <w:rsid w:val="00733B07"/>
    <w:rsid w:val="00760458"/>
    <w:rsid w:val="007D7119"/>
    <w:rsid w:val="007E5ACA"/>
    <w:rsid w:val="008910BE"/>
    <w:rsid w:val="008A4B03"/>
    <w:rsid w:val="008E4F9E"/>
    <w:rsid w:val="00944B81"/>
    <w:rsid w:val="00951A65"/>
    <w:rsid w:val="00977253"/>
    <w:rsid w:val="00997CE4"/>
    <w:rsid w:val="009B654C"/>
    <w:rsid w:val="009B6FA3"/>
    <w:rsid w:val="00A13D75"/>
    <w:rsid w:val="00A43CB5"/>
    <w:rsid w:val="00A57575"/>
    <w:rsid w:val="00AB1984"/>
    <w:rsid w:val="00B668BE"/>
    <w:rsid w:val="00B94A73"/>
    <w:rsid w:val="00D85033"/>
    <w:rsid w:val="00DA2829"/>
    <w:rsid w:val="00E51C21"/>
    <w:rsid w:val="00F105A9"/>
    <w:rsid w:val="013F1E62"/>
    <w:rsid w:val="01FE69E4"/>
    <w:rsid w:val="02252FC3"/>
    <w:rsid w:val="06652037"/>
    <w:rsid w:val="09271D83"/>
    <w:rsid w:val="0CDB4ABA"/>
    <w:rsid w:val="0E16732D"/>
    <w:rsid w:val="11DE3017"/>
    <w:rsid w:val="123E3FFF"/>
    <w:rsid w:val="12B158D6"/>
    <w:rsid w:val="130236B2"/>
    <w:rsid w:val="132B1AC0"/>
    <w:rsid w:val="133D1FF3"/>
    <w:rsid w:val="13A03449"/>
    <w:rsid w:val="14776471"/>
    <w:rsid w:val="15653E84"/>
    <w:rsid w:val="162D1198"/>
    <w:rsid w:val="162D4157"/>
    <w:rsid w:val="16A2210D"/>
    <w:rsid w:val="16F966D9"/>
    <w:rsid w:val="176C4084"/>
    <w:rsid w:val="17D64A30"/>
    <w:rsid w:val="1AE72A2A"/>
    <w:rsid w:val="1C0705D3"/>
    <w:rsid w:val="1C4867F4"/>
    <w:rsid w:val="1C9D24EE"/>
    <w:rsid w:val="21F25C83"/>
    <w:rsid w:val="24FF6D43"/>
    <w:rsid w:val="2D300BB7"/>
    <w:rsid w:val="2D594759"/>
    <w:rsid w:val="30AE3948"/>
    <w:rsid w:val="30F65133"/>
    <w:rsid w:val="314A1445"/>
    <w:rsid w:val="318518E1"/>
    <w:rsid w:val="31E21461"/>
    <w:rsid w:val="320F647C"/>
    <w:rsid w:val="340E7B8C"/>
    <w:rsid w:val="361A576F"/>
    <w:rsid w:val="37083364"/>
    <w:rsid w:val="38872395"/>
    <w:rsid w:val="3A0D3B1A"/>
    <w:rsid w:val="3C843051"/>
    <w:rsid w:val="3D6B016D"/>
    <w:rsid w:val="3D9A2598"/>
    <w:rsid w:val="3EDD20A9"/>
    <w:rsid w:val="412A216F"/>
    <w:rsid w:val="41847C5F"/>
    <w:rsid w:val="41DF6561"/>
    <w:rsid w:val="42CE3AC0"/>
    <w:rsid w:val="45D977E7"/>
    <w:rsid w:val="46973FBA"/>
    <w:rsid w:val="469779BA"/>
    <w:rsid w:val="47890DD3"/>
    <w:rsid w:val="48434A74"/>
    <w:rsid w:val="486E2CCE"/>
    <w:rsid w:val="4870321D"/>
    <w:rsid w:val="4D541F37"/>
    <w:rsid w:val="54942393"/>
    <w:rsid w:val="551B4504"/>
    <w:rsid w:val="59023E0B"/>
    <w:rsid w:val="5A6F6838"/>
    <w:rsid w:val="5A9B1265"/>
    <w:rsid w:val="5AB554B7"/>
    <w:rsid w:val="5B090803"/>
    <w:rsid w:val="5C632416"/>
    <w:rsid w:val="5D523084"/>
    <w:rsid w:val="5E537DC5"/>
    <w:rsid w:val="604E3BB4"/>
    <w:rsid w:val="62254B08"/>
    <w:rsid w:val="65225B84"/>
    <w:rsid w:val="668E1445"/>
    <w:rsid w:val="683B7A31"/>
    <w:rsid w:val="68B26E02"/>
    <w:rsid w:val="6DE562AD"/>
    <w:rsid w:val="6FBA69E4"/>
    <w:rsid w:val="734438E3"/>
    <w:rsid w:val="757A3B95"/>
    <w:rsid w:val="76D37F24"/>
    <w:rsid w:val="779F496C"/>
    <w:rsid w:val="799408C9"/>
    <w:rsid w:val="79A879C7"/>
    <w:rsid w:val="7E0C72E1"/>
    <w:rsid w:val="7E8E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2F344-5FBD-49C5-84A0-57279EB52AF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7487</Words>
  <Characters>9043</Characters>
  <Lines>68</Lines>
  <Paragraphs>19</Paragraphs>
  <TotalTime>18</TotalTime>
  <ScaleCrop>false</ScaleCrop>
  <LinksUpToDate>false</LinksUpToDate>
  <CharactersWithSpaces>9755</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2021-04-08T05:48:00Z</cp:lastPrinted>
  <dcterms:modified xsi:type="dcterms:W3CDTF">2022-05-10T09:44:04Z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05BD9881EE8D479A99CFBD74388A8AA5</vt:lpwstr>
  </property>
</Properties>
</file>