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80" w:firstLineChars="200"/>
        <w:rPr>
          <w:rFonts w:ascii="微软雅黑" w:hAnsi="微软雅黑" w:eastAsia="微软雅黑"/>
          <w:b/>
          <w:bCs/>
          <w:sz w:val="44"/>
          <w:szCs w:val="44"/>
          <w:shd w:val="clear" w:color="auto" w:fill="FFFFFF"/>
        </w:rPr>
      </w:pPr>
      <w:r>
        <w:rPr>
          <w:rFonts w:hint="eastAsia" w:ascii="微软雅黑" w:hAnsi="微软雅黑" w:eastAsia="微软雅黑"/>
          <w:b/>
          <w:bCs/>
          <w:sz w:val="44"/>
          <w:szCs w:val="44"/>
          <w:shd w:val="clear" w:color="auto" w:fill="FFFFFF"/>
        </w:rPr>
        <w:t>昌吉州水利局优化营商环境承诺</w:t>
      </w:r>
    </w:p>
    <w:p>
      <w:pPr>
        <w:rPr>
          <w:rFonts w:ascii="微软雅黑" w:hAnsi="微软雅黑" w:eastAsia="微软雅黑"/>
          <w:b/>
          <w:bCs/>
          <w:color w:val="D15B47"/>
          <w:sz w:val="36"/>
          <w:szCs w:val="36"/>
          <w:shd w:val="clear" w:color="auto" w:fill="FFFFFF"/>
        </w:rPr>
      </w:pP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为进一步优化营商环境，更好服务经济社会发展，树立诚信政府形象，根据《昌吉州优化营商环境二十条措施》，结合本单位工作职责，现公开承诺如下：</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1、进一步推进政务服务“一窗受理”，按照应</w:t>
      </w:r>
      <w:r>
        <w:rPr>
          <w:rFonts w:hint="eastAsia" w:ascii="仿宋" w:hAnsi="仿宋" w:eastAsia="仿宋"/>
          <w:color w:val="2B2B2B"/>
          <w:sz w:val="32"/>
          <w:szCs w:val="32"/>
          <w:lang w:eastAsia="zh-CN"/>
        </w:rPr>
        <w:t>进</w:t>
      </w:r>
      <w:r>
        <w:rPr>
          <w:rFonts w:hint="eastAsia" w:ascii="仿宋" w:hAnsi="仿宋" w:eastAsia="仿宋"/>
          <w:color w:val="2B2B2B"/>
          <w:sz w:val="32"/>
          <w:szCs w:val="32"/>
        </w:rPr>
        <w:t>必进原则，将权限内水资源论证许可、水土保持方案审批、洪水影响评价、重点项目竣工验收等水行政许可事项在州、县市政务服务大厅实行统一办理，限时审批承诺制，实现政务服务现场办理“最多跑一次”。</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牵头科室：局办公室</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责任科室（单位）：水资源管理科、工程建设科、水安全中心、重建中心，各县市水利局。</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2、建立重点水利项目领导包联制度，对列入计划开工建设的2022年重点水利项目由州水利局和直属单位县级领导包联，相关科室要从项目前期、招标投标、工程建设、竣工验收各个环节实现全程领办，跟踪服务。加快推进2022年自治州40个重大项目的水资源论证、水土保持方案、洪水影响评价等前期工作落实，坚持新引进招商投资项目无差别化服务。</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牵头科室：规划计划监督科</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责任科室（单位）：工程建设科、水资源管理科、水安全中心、各直属单位，各县市水利局。</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3、树牢文明执法理念，在开展水资源管理、工程建设、水土保持监管、河湖清“四乱”等执法活动中，落实轻微违法行为免罚、从轻处罚、减轻处罚三张清单制度，有效杜绝对各类生产经营单位作出停产停业停工等影响正常施工和生产经营行为。</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牵头科室：水政执法支队</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责任科室（单位）：水资源管理科、工程建设科、水安全中心、河湖管理科、水资源管理中心、重建中心，各县市水利局。</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4、逐步建立和完善联合执法制度，在昌吉州推进政府职能转变和“放管服”改革协调领导小组办公室指导下，配合相关责任部门对同一个执法对象尽可能进行多个领域联合执法，坚决杜绝多头执法，最大限度减少对企业正常生产活动的干扰。</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牵头科室：水政执法支队</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责任科室（单位）：水资源管理科、工程建设科、水安全中心、河湖管理科、水资源管理中心、重建中心，各县市水利局。</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5、加强对水利建筑市场招标投标活动事中、事后监管，维护公平竞争的水利市场秩序，依法、平等、及时、全面保护市场主体合法权益，通过信用惩戒途径严厉惩处谋求非法特殊利益、不正当竞争等破坏水利市场环境的行为。</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牵头科室：工程建设科</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责任科室（单位）：州水利局各科室、各直属单位，各县市水利局。</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6、建立水利系统拖欠企业工程款清欠线索投诉举报电话0994-2330722（规划计划监督科），明确受理科室和程序，协调县市及州直部门妥善解决，对重大清欠问题线索由昌吉州水利局建立挂牌督办制度，将清欠工作纳入县市（园区）综合绩效考核，稳妥解决好拖欠企业工程款问题。</w:t>
      </w:r>
    </w:p>
    <w:p>
      <w:pPr>
        <w:pStyle w:val="2"/>
        <w:shd w:val="clear" w:color="auto" w:fill="FFFFFF"/>
        <w:spacing w:before="0" w:beforeAutospacing="0" w:after="0" w:afterAutospacing="0"/>
        <w:ind w:firstLine="480"/>
        <w:jc w:val="both"/>
        <w:rPr>
          <w:rFonts w:hint="eastAsia" w:ascii="仿宋" w:hAnsi="仿宋" w:eastAsia="仿宋"/>
          <w:color w:val="2B2B2B"/>
          <w:sz w:val="32"/>
          <w:szCs w:val="32"/>
        </w:rPr>
      </w:pPr>
      <w:r>
        <w:rPr>
          <w:rFonts w:hint="eastAsia" w:ascii="仿宋" w:hAnsi="仿宋" w:eastAsia="仿宋"/>
          <w:color w:val="2B2B2B"/>
          <w:sz w:val="32"/>
          <w:szCs w:val="32"/>
        </w:rPr>
        <w:t>牵头科室：规划计划监督科</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责任科室（单位）：工程建设科、各直属单位，各县市水利局。</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7、州水利局要依据《昌吉州优化营商环境二十条措施》，结合行业特点，研究出台切实可行的优化营商环境服务承诺，向社会公开，自觉接受监督。各县市水行政主管部门也要制定服务承诺，向社会公开，接受监督。</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牵头科室：重建中心</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责任科室（单位）：州水利局各科室、各直属单位，各县市水利局。</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8、配合州工信局建立信息定期发布机制，在每年召开的政企联系会议上，及时通报水利行业最新的惠企重大政策调整变化情况，听取企业意见和建议，增强服务意识。</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牵头科室：重建中心</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责任科室（单位）：州水利局各科室，各直属单位。</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9、主动靠前服务，进一步规范服务行为，坚决杜绝违规对企业进行乱检查、乱摊派、乱收费、乱罚款、乱募捐，服务过程中不准“吃拿卡要”、慢作为、不作为、乱作为，切实改进工作作风。</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牵头科室：纪检委员</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责任科室（单位）：州水利局各科室、各直属单位，各县市水利局。</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10、按照《昌吉州营商环境监测工作实施方案》，配合昌吉州推进政府职能转变和“放管服”改革协调领导小组办公室建立监测站、监测点，聘请义务监督员。对州域内水利行业优化营商环境开展监督评价，及时收集、反馈服务对象对落实优化营商环境工作措施过程中的意见和建议。</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牵头科室：局办公室</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责任科室（单位）：规划计划监督科、工程建设科、重建中心，各县市水利局。</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11、将优化营商环境工作纳入州水利局对各科室、各直属单位及县市水利局绩效考核指标，定期跟进，推动落实，将落实情况作为对各科室、直属单位年终绩效考核定等重要依据。</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牵头科室：</w:t>
      </w:r>
      <w:r>
        <w:rPr>
          <w:rFonts w:hint="eastAsia" w:ascii="仿宋" w:hAnsi="仿宋" w:eastAsia="仿宋"/>
          <w:color w:val="2B2B2B"/>
          <w:sz w:val="32"/>
          <w:szCs w:val="32"/>
          <w:lang w:eastAsia="zh-CN"/>
        </w:rPr>
        <w:t>局</w:t>
      </w:r>
      <w:bookmarkStart w:id="0" w:name="_GoBack"/>
      <w:bookmarkEnd w:id="0"/>
      <w:r>
        <w:rPr>
          <w:rFonts w:hint="eastAsia" w:ascii="仿宋" w:hAnsi="仿宋" w:eastAsia="仿宋"/>
          <w:color w:val="2B2B2B"/>
          <w:sz w:val="32"/>
          <w:szCs w:val="32"/>
        </w:rPr>
        <w:t>办公室</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责任科室（单位）：水利局各科室、各直属单位。</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12、对违反上述措施，对自治州水利系统优化营商环境造成不利影响的单位或个人依规依纪予以追责问责，重要问题线索移交纪委监委依规依纪依法处理。</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牵头科室：纪检委员</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责任科室（单位）：水利局各科室、各直属单位，各县市水利局。</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以上承诺，已经于2022年3月18日在昌吉回族自治州水利局信息网站进行公示，链接网址：（http://www.cj.gov.cn/info/nlndex.jsp?node-id=GKcjzslj&amp;cat-id=13382）。</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r>
        <w:rPr>
          <w:rFonts w:hint="eastAsia" w:ascii="仿宋" w:hAnsi="仿宋" w:eastAsia="仿宋"/>
          <w:color w:val="2B2B2B"/>
          <w:sz w:val="32"/>
          <w:szCs w:val="32"/>
        </w:rPr>
        <w:t>敬请社会各界和广大群众监督。</w:t>
      </w:r>
    </w:p>
    <w:p>
      <w:pPr>
        <w:pStyle w:val="2"/>
        <w:shd w:val="clear" w:color="auto" w:fill="FFFFFF"/>
        <w:spacing w:before="0" w:beforeAutospacing="0" w:after="0" w:afterAutospacing="0"/>
        <w:ind w:firstLine="480"/>
        <w:jc w:val="both"/>
        <w:rPr>
          <w:rFonts w:ascii="仿宋" w:hAnsi="仿宋" w:eastAsia="仿宋"/>
          <w:color w:val="2B2B2B"/>
          <w:sz w:val="32"/>
          <w:szCs w:val="32"/>
        </w:rPr>
      </w:pPr>
      <w:r>
        <w:rPr>
          <w:rFonts w:hint="eastAsia" w:ascii="仿宋" w:hAnsi="仿宋" w:eastAsia="仿宋"/>
          <w:color w:val="2B2B2B"/>
          <w:sz w:val="32"/>
          <w:szCs w:val="32"/>
        </w:rPr>
        <w:t>监督电话：0994-2366338</w:t>
      </w:r>
    </w:p>
    <w:p>
      <w:pPr>
        <w:pStyle w:val="2"/>
        <w:shd w:val="clear" w:color="auto" w:fill="FFFFFF"/>
        <w:spacing w:before="0" w:beforeAutospacing="0" w:after="0" w:afterAutospacing="0"/>
        <w:ind w:firstLine="480"/>
        <w:jc w:val="both"/>
        <w:rPr>
          <w:rFonts w:ascii="微软雅黑" w:hAnsi="微软雅黑" w:eastAsia="微软雅黑"/>
          <w:color w:val="2B2B2B"/>
          <w:sz w:val="21"/>
          <w:szCs w:val="21"/>
        </w:rPr>
      </w:pPr>
    </w:p>
    <w:p>
      <w:pPr>
        <w:pStyle w:val="2"/>
        <w:shd w:val="clear" w:color="auto" w:fill="FFFFFF"/>
        <w:spacing w:before="0" w:beforeAutospacing="0" w:after="0" w:afterAutospacing="0"/>
        <w:ind w:firstLine="480"/>
        <w:jc w:val="right"/>
        <w:rPr>
          <w:rFonts w:ascii="Calibri" w:hAnsi="Calibri" w:eastAsia="仿宋" w:cs="Calibri"/>
          <w:color w:val="2B2B2B"/>
          <w:sz w:val="32"/>
          <w:szCs w:val="32"/>
        </w:rPr>
      </w:pPr>
      <w:r>
        <w:rPr>
          <w:rFonts w:ascii="Calibri" w:hAnsi="Calibri" w:eastAsia="仿宋" w:cs="Calibri"/>
          <w:color w:val="2B2B2B"/>
          <w:sz w:val="32"/>
          <w:szCs w:val="32"/>
        </w:rPr>
        <w:t> </w:t>
      </w:r>
      <w:r>
        <w:rPr>
          <w:rFonts w:hint="eastAsia" w:ascii="仿宋" w:hAnsi="仿宋" w:eastAsia="仿宋"/>
          <w:color w:val="2B2B2B"/>
          <w:sz w:val="32"/>
          <w:szCs w:val="32"/>
        </w:rPr>
        <w:t xml:space="preserve"> </w:t>
      </w:r>
      <w:r>
        <w:rPr>
          <w:rFonts w:ascii="Calibri" w:hAnsi="Calibri" w:eastAsia="仿宋" w:cs="Calibri"/>
          <w:color w:val="2B2B2B"/>
          <w:sz w:val="32"/>
          <w:szCs w:val="32"/>
        </w:rPr>
        <w:t> </w:t>
      </w:r>
      <w:r>
        <w:rPr>
          <w:rFonts w:hint="eastAsia" w:ascii="仿宋" w:hAnsi="仿宋" w:eastAsia="仿宋"/>
          <w:color w:val="2B2B2B"/>
          <w:sz w:val="32"/>
          <w:szCs w:val="32"/>
        </w:rPr>
        <w:t xml:space="preserve"> </w:t>
      </w:r>
      <w:r>
        <w:rPr>
          <w:rFonts w:ascii="Calibri" w:hAnsi="Calibri" w:eastAsia="仿宋" w:cs="Calibri"/>
          <w:color w:val="2B2B2B"/>
          <w:sz w:val="32"/>
          <w:szCs w:val="32"/>
        </w:rPr>
        <w:t> </w:t>
      </w:r>
      <w:r>
        <w:rPr>
          <w:rFonts w:hint="eastAsia" w:ascii="仿宋" w:hAnsi="仿宋" w:eastAsia="仿宋"/>
          <w:color w:val="2B2B2B"/>
          <w:sz w:val="32"/>
          <w:szCs w:val="32"/>
        </w:rPr>
        <w:t xml:space="preserve"> </w:t>
      </w:r>
      <w:r>
        <w:rPr>
          <w:rFonts w:ascii="Calibri" w:hAnsi="Calibri" w:eastAsia="仿宋" w:cs="Calibri"/>
          <w:color w:val="2B2B2B"/>
          <w:sz w:val="32"/>
          <w:szCs w:val="32"/>
        </w:rPr>
        <w:t> </w:t>
      </w:r>
      <w:r>
        <w:rPr>
          <w:rFonts w:hint="eastAsia" w:ascii="仿宋" w:hAnsi="仿宋" w:eastAsia="仿宋"/>
          <w:color w:val="2B2B2B"/>
          <w:sz w:val="32"/>
          <w:szCs w:val="32"/>
        </w:rPr>
        <w:t xml:space="preserve"> </w:t>
      </w:r>
      <w:r>
        <w:rPr>
          <w:rFonts w:ascii="Calibri" w:hAnsi="Calibri" w:eastAsia="仿宋" w:cs="Calibri"/>
          <w:color w:val="2B2B2B"/>
          <w:sz w:val="32"/>
          <w:szCs w:val="32"/>
        </w:rPr>
        <w:t> </w:t>
      </w:r>
      <w:r>
        <w:rPr>
          <w:rFonts w:hint="eastAsia" w:ascii="仿宋" w:hAnsi="仿宋" w:eastAsia="仿宋"/>
          <w:color w:val="2B2B2B"/>
          <w:sz w:val="32"/>
          <w:szCs w:val="32"/>
        </w:rPr>
        <w:t xml:space="preserve"> </w:t>
      </w:r>
      <w:r>
        <w:rPr>
          <w:rFonts w:ascii="Calibri" w:hAnsi="Calibri" w:eastAsia="仿宋" w:cs="Calibri"/>
          <w:color w:val="2B2B2B"/>
          <w:sz w:val="32"/>
          <w:szCs w:val="32"/>
        </w:rPr>
        <w:t> </w:t>
      </w:r>
      <w:r>
        <w:rPr>
          <w:rFonts w:hint="eastAsia" w:ascii="仿宋" w:hAnsi="仿宋" w:eastAsia="仿宋"/>
          <w:color w:val="2B2B2B"/>
          <w:sz w:val="32"/>
          <w:szCs w:val="32"/>
        </w:rPr>
        <w:t xml:space="preserve"> </w:t>
      </w:r>
      <w:r>
        <w:rPr>
          <w:rFonts w:ascii="Calibri" w:hAnsi="Calibri" w:eastAsia="仿宋" w:cs="Calibri"/>
          <w:color w:val="2B2B2B"/>
          <w:sz w:val="32"/>
          <w:szCs w:val="32"/>
        </w:rPr>
        <w:t> </w:t>
      </w:r>
      <w:r>
        <w:rPr>
          <w:rFonts w:hint="eastAsia" w:ascii="仿宋" w:hAnsi="仿宋" w:eastAsia="仿宋"/>
          <w:color w:val="2B2B2B"/>
          <w:sz w:val="32"/>
          <w:szCs w:val="32"/>
        </w:rPr>
        <w:t xml:space="preserve"> </w:t>
      </w:r>
      <w:r>
        <w:rPr>
          <w:rFonts w:ascii="Calibri" w:hAnsi="Calibri" w:eastAsia="仿宋" w:cs="Calibri"/>
          <w:color w:val="2B2B2B"/>
          <w:sz w:val="32"/>
          <w:szCs w:val="32"/>
        </w:rPr>
        <w:t> </w:t>
      </w:r>
      <w:r>
        <w:rPr>
          <w:rFonts w:hint="eastAsia" w:ascii="仿宋" w:hAnsi="仿宋" w:eastAsia="仿宋"/>
          <w:color w:val="2B2B2B"/>
          <w:sz w:val="32"/>
          <w:szCs w:val="32"/>
        </w:rPr>
        <w:t xml:space="preserve"> </w:t>
      </w:r>
      <w:r>
        <w:rPr>
          <w:rFonts w:ascii="Calibri" w:hAnsi="Calibri" w:eastAsia="仿宋" w:cs="Calibri"/>
          <w:color w:val="2B2B2B"/>
          <w:sz w:val="32"/>
          <w:szCs w:val="32"/>
        </w:rPr>
        <w:t> </w:t>
      </w:r>
      <w:r>
        <w:rPr>
          <w:rFonts w:hint="eastAsia" w:ascii="仿宋" w:hAnsi="仿宋" w:eastAsia="仿宋"/>
          <w:color w:val="2B2B2B"/>
          <w:sz w:val="32"/>
          <w:szCs w:val="32"/>
        </w:rPr>
        <w:t xml:space="preserve"> </w:t>
      </w:r>
      <w:r>
        <w:rPr>
          <w:rFonts w:ascii="Calibri" w:hAnsi="Calibri" w:eastAsia="仿宋" w:cs="Calibri"/>
          <w:color w:val="2B2B2B"/>
          <w:sz w:val="32"/>
          <w:szCs w:val="32"/>
        </w:rPr>
        <w:t> </w:t>
      </w:r>
      <w:r>
        <w:rPr>
          <w:rFonts w:hint="eastAsia" w:ascii="仿宋" w:hAnsi="仿宋" w:eastAsia="仿宋"/>
          <w:color w:val="2B2B2B"/>
          <w:sz w:val="32"/>
          <w:szCs w:val="32"/>
        </w:rPr>
        <w:t xml:space="preserve"> </w:t>
      </w:r>
      <w:r>
        <w:rPr>
          <w:rFonts w:ascii="Calibri" w:hAnsi="Calibri" w:eastAsia="仿宋" w:cs="Calibri"/>
          <w:color w:val="2B2B2B"/>
          <w:sz w:val="32"/>
          <w:szCs w:val="32"/>
        </w:rPr>
        <w:t> </w:t>
      </w:r>
      <w:r>
        <w:rPr>
          <w:rFonts w:hint="eastAsia" w:ascii="仿宋" w:hAnsi="仿宋" w:eastAsia="仿宋"/>
          <w:color w:val="2B2B2B"/>
          <w:sz w:val="32"/>
          <w:szCs w:val="32"/>
        </w:rPr>
        <w:t xml:space="preserve"> </w:t>
      </w:r>
      <w:r>
        <w:rPr>
          <w:rFonts w:ascii="Calibri" w:hAnsi="Calibri" w:eastAsia="仿宋" w:cs="Calibri"/>
          <w:color w:val="2B2B2B"/>
          <w:sz w:val="32"/>
          <w:szCs w:val="32"/>
        </w:rPr>
        <w:t> </w:t>
      </w:r>
      <w:r>
        <w:rPr>
          <w:rFonts w:hint="eastAsia" w:ascii="仿宋" w:hAnsi="仿宋" w:eastAsia="仿宋"/>
          <w:color w:val="2B2B2B"/>
          <w:sz w:val="32"/>
          <w:szCs w:val="32"/>
        </w:rPr>
        <w:t xml:space="preserve"> </w:t>
      </w:r>
      <w:r>
        <w:rPr>
          <w:rFonts w:ascii="Calibri" w:hAnsi="Calibri" w:eastAsia="仿宋" w:cs="Calibri"/>
          <w:color w:val="2B2B2B"/>
          <w:sz w:val="32"/>
          <w:szCs w:val="32"/>
        </w:rPr>
        <w:t> </w:t>
      </w:r>
      <w:r>
        <w:rPr>
          <w:rFonts w:hint="eastAsia" w:ascii="仿宋" w:hAnsi="仿宋" w:eastAsia="仿宋"/>
          <w:color w:val="2B2B2B"/>
          <w:sz w:val="32"/>
          <w:szCs w:val="32"/>
        </w:rPr>
        <w:t xml:space="preserve"> </w:t>
      </w:r>
      <w:r>
        <w:rPr>
          <w:rFonts w:ascii="Calibri" w:hAnsi="Calibri" w:eastAsia="仿宋" w:cs="Calibri"/>
          <w:color w:val="2B2B2B"/>
          <w:sz w:val="32"/>
          <w:szCs w:val="32"/>
        </w:rPr>
        <w:t> </w:t>
      </w:r>
      <w:r>
        <w:rPr>
          <w:rFonts w:hint="eastAsia" w:ascii="仿宋" w:hAnsi="仿宋" w:eastAsia="仿宋"/>
          <w:color w:val="2B2B2B"/>
          <w:sz w:val="32"/>
          <w:szCs w:val="32"/>
        </w:rPr>
        <w:t xml:space="preserve"> </w:t>
      </w:r>
      <w:r>
        <w:rPr>
          <w:rFonts w:ascii="Calibri" w:hAnsi="Calibri" w:eastAsia="仿宋" w:cs="Calibri"/>
          <w:color w:val="2B2B2B"/>
          <w:sz w:val="32"/>
          <w:szCs w:val="32"/>
        </w:rPr>
        <w:t> </w:t>
      </w:r>
      <w:r>
        <w:rPr>
          <w:rFonts w:hint="eastAsia" w:ascii="仿宋" w:hAnsi="仿宋" w:eastAsia="仿宋"/>
          <w:color w:val="2B2B2B"/>
          <w:sz w:val="32"/>
          <w:szCs w:val="32"/>
        </w:rPr>
        <w:t xml:space="preserve"> </w:t>
      </w:r>
      <w:r>
        <w:rPr>
          <w:rFonts w:ascii="Calibri" w:hAnsi="Calibri" w:eastAsia="仿宋" w:cs="Calibri"/>
          <w:color w:val="2B2B2B"/>
          <w:sz w:val="32"/>
          <w:szCs w:val="32"/>
        </w:rPr>
        <w:t> </w:t>
      </w:r>
      <w:r>
        <w:rPr>
          <w:rFonts w:hint="eastAsia" w:ascii="仿宋" w:hAnsi="仿宋" w:eastAsia="仿宋"/>
          <w:color w:val="2B2B2B"/>
          <w:sz w:val="32"/>
          <w:szCs w:val="32"/>
        </w:rPr>
        <w:t xml:space="preserve"> </w:t>
      </w:r>
      <w:r>
        <w:rPr>
          <w:rFonts w:ascii="Calibri" w:hAnsi="Calibri" w:eastAsia="仿宋" w:cs="Calibri"/>
          <w:color w:val="2B2B2B"/>
          <w:sz w:val="32"/>
          <w:szCs w:val="32"/>
        </w:rPr>
        <w:t> </w:t>
      </w:r>
      <w:r>
        <w:rPr>
          <w:rFonts w:hint="eastAsia" w:ascii="仿宋" w:hAnsi="仿宋" w:eastAsia="仿宋"/>
          <w:color w:val="2B2B2B"/>
          <w:sz w:val="32"/>
          <w:szCs w:val="32"/>
        </w:rPr>
        <w:t xml:space="preserve"> </w:t>
      </w:r>
      <w:r>
        <w:rPr>
          <w:rFonts w:ascii="Calibri" w:hAnsi="Calibri" w:eastAsia="仿宋" w:cs="Calibri"/>
          <w:color w:val="2B2B2B"/>
          <w:sz w:val="32"/>
          <w:szCs w:val="32"/>
        </w:rPr>
        <w:t> </w:t>
      </w:r>
    </w:p>
    <w:p>
      <w:pPr>
        <w:pStyle w:val="2"/>
        <w:shd w:val="clear" w:color="auto" w:fill="FFFFFF"/>
        <w:spacing w:before="0" w:beforeAutospacing="0" w:after="0" w:afterAutospacing="0"/>
        <w:ind w:firstLine="480"/>
        <w:jc w:val="right"/>
        <w:rPr>
          <w:rFonts w:ascii="Calibri" w:hAnsi="Calibri" w:eastAsia="仿宋" w:cs="Calibri"/>
          <w:color w:val="2B2B2B"/>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0CF"/>
    <w:rsid w:val="001E1ED8"/>
    <w:rsid w:val="00591BF5"/>
    <w:rsid w:val="0077588C"/>
    <w:rsid w:val="008F69A2"/>
    <w:rsid w:val="00C13BD6"/>
    <w:rsid w:val="00CC20CF"/>
    <w:rsid w:val="1B760BC2"/>
    <w:rsid w:val="56172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312</Words>
  <Characters>1780</Characters>
  <Lines>14</Lines>
  <Paragraphs>4</Paragraphs>
  <TotalTime>2</TotalTime>
  <ScaleCrop>false</ScaleCrop>
  <LinksUpToDate>false</LinksUpToDate>
  <CharactersWithSpaces>2088</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2022-05-13T04:08:00Z</dcterms:created>
  <dc:creator>lenovo</dc:creator>
  <cp:lastModifiedBy>Administrator</cp:lastModifiedBy>
  <dcterms:modified xsi:type="dcterms:W3CDTF">2022-05-19T12:14:41Z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