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100" w:beforeAutospacing="1" w:after="100" w:afterAutospacing="1"/>
        <w:jc w:val="center"/>
        <w:outlineLvl w:val="1"/>
        <w:rPr>
          <w:rFonts w:ascii="方正小标宋_GBK" w:hAnsi="宋体" w:eastAsia="方正小标宋_GBK"/>
          <w:kern w:val="0"/>
          <w:sz w:val="44"/>
          <w:szCs w:val="44"/>
        </w:rPr>
      </w:pPr>
      <w:bookmarkStart w:id="0" w:name="_GoBack"/>
      <w:bookmarkEnd w:id="0"/>
    </w:p>
    <w:p>
      <w:pPr>
        <w:widowControl/>
        <w:spacing w:before="100" w:beforeAutospacing="1" w:after="100" w:afterAutospacing="1"/>
        <w:jc w:val="both"/>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昌吉州科技局2022年</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both"/>
        <w:outlineLvl w:val="1"/>
        <w:sectPr>
          <w:footerReference r:id="rId4" w:type="default"/>
          <w:pgSz w:w="11906" w:h="16838"/>
          <w:pgMar w:top="2098" w:right="1418" w:bottom="1928" w:left="1588" w:header="851" w:footer="992" w:gutter="0"/>
          <w:pgNumType w:fmt="numberInDash" w:start="53"/>
          <w:cols w:space="720" w:num="1"/>
          <w:docGrid w:linePitch="312"/>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 xml:space="preserve">目 </w:t>
      </w:r>
      <w:r>
        <w:rPr>
          <w:rFonts w:hint="eastAsia" w:ascii="黑体" w:hAnsi="黑体" w:eastAsia="黑体" w:cs="黑体"/>
          <w:kern w:val="0"/>
          <w:sz w:val="32"/>
          <w:szCs w:val="32"/>
          <w:lang w:val="en-US" w:eastAsia="zh-CN"/>
        </w:rPr>
        <w:t xml:space="preserve">  </w:t>
      </w:r>
      <w:r>
        <w:rPr>
          <w:rFonts w:hint="eastAsia" w:ascii="黑体" w:hAnsi="黑体" w:eastAsia="黑体" w:cs="黑体"/>
          <w:kern w:val="0"/>
          <w:sz w:val="32"/>
          <w:szCs w:val="32"/>
        </w:rPr>
        <w:t>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val="en-US" w:eastAsia="zh-CN"/>
        </w:rPr>
        <w:t>昌吉州科技局单位</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eastAsia="zh-CN"/>
        </w:rPr>
        <w:t>单位</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宋体" w:eastAsia="仿宋_GB2312"/>
          <w:kern w:val="0"/>
          <w:sz w:val="32"/>
          <w:szCs w:val="32"/>
          <w:lang w:eastAsia="zh-CN"/>
        </w:rPr>
        <w:t>单位</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宋体" w:eastAsia="仿宋_GB2312"/>
          <w:kern w:val="0"/>
          <w:sz w:val="32"/>
          <w:szCs w:val="32"/>
          <w:lang w:eastAsia="zh-CN"/>
        </w:rPr>
        <w:t>单位</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宋体" w:eastAsia="仿宋_GB2312"/>
          <w:kern w:val="0"/>
          <w:sz w:val="32"/>
          <w:szCs w:val="32"/>
          <w:lang w:eastAsia="zh-CN"/>
        </w:rPr>
        <w:t>单位</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仿宋_GB2312" w:eastAsia="仿宋_GB2312" w:cs="仿宋_GB2312"/>
          <w:b/>
          <w:kern w:val="0"/>
          <w:sz w:val="32"/>
          <w:szCs w:val="32"/>
          <w:lang w:eastAsia="zh-CN"/>
        </w:rPr>
        <w:t>单位</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昌吉州科技局</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昌吉州科技局</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昌吉州科技局</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昌吉州科技局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昌吉州科技局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昌吉州科技局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昌吉州科技局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昌吉州科技局</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昌吉州科技局</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420" w:firstLineChars="200"/>
        <w:sectPr>
          <w:footerReference r:id="rId5" w:type="default"/>
          <w:pgSz w:w="11906" w:h="16838"/>
          <w:pgMar w:top="2098" w:right="1418" w:bottom="1928" w:left="1588" w:header="851" w:footer="992" w:gutter="0"/>
          <w:pgNumType w:fmt="numberInDash"/>
          <w:cols w:space="720" w:num="1"/>
          <w:docGrid w:linePitch="312"/>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val="en-US" w:eastAsia="zh-CN"/>
        </w:rPr>
        <w:t>昌吉州科技局单位</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自治州科学技术局贯彻落实党中央关于科技创新工作的方针政策和决策部署以及自治区、自治州党委工作要求，在履行职责过程中坚持和加强党对科技创新工作的集中统一领导。主要职责是：</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（一）贯彻落实国家、自治区创新驱动发展战略，拟订自治州科技发展、引进国外智力规划和政策措施并组织实施。</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二）统筹推进自治州创新体系建设和科技体制改革，会同有关部门健全技术创新激励机制。优化科研体系建设，指导科研机构改革发展，推动企业科技创新能力建设，承担推进科技军民融合发展相关工作，推进自治州科技决策咨询制度建设。</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（三）牵头建立自治州科技管理和科研项目资金协调、评估、监管机制。会同有关部门提出优化配置科技资源的政策措施建议，推动多元化科技投入体系建设，负责编制自治州本级财政科技计划并监督实施。</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（四）推动落实国家、自治区重大基础研究和应用基础研究工作任务；参与编制重大科技基础设施建设规划并监督实施；推进国家、自治区重点实验室建设，推动科研条件保障建设和科技资源开发共享。</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（五）编制自治州重大科技项目规划并监督实施，统筹关键共性技术、前沿引领技术、现代工程技术、颠覆性技术研发和创新，组织实施重大技术攻关和成果应用示范。</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（六）组织拟订高新技术发展及产业化、科技促进农业农村和社会发展的规划和政策措施。组织重点领域的技术发展需求分析，提出重大任务并监督实施。</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（七）推动自治州技术转移体系建设，拟订科技成果转移转化和促进产学研结合的相关政策措施并监督实施。指导科技服务业、技术市场和科技中介组织发展。</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八）统筹区域科技创新体系建设，指导区域创新发展、科技资源合理布局和协同创新能力建设，推动科技园区建设。负责国家高新技术企业和自治区科技创新平台的组织申报工作，管理国家和自治区在昌吉州实施的重大科技项目。</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（九）推动科研诚信建设，落实国家、自治区科技统计、创新调查、科技报告制度和科技保密工作。</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（十）拟订科技对外交往与创新能力开放合作的规划和政策措施，指导相关部门和地方对外科技合作与科技人才交流活动。</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（十一）落实引进国外智力工作。拟订引进外国专家规划、计划并组织实施，建立外国科学家、团队吸引集聚机制和重点外国专家联系服务机制。拟订出国（境）培训规划、政策措施并监督实施。</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十二）会同有关部门拟订科技人才队伍建设规划和政策措施，建立健全科技人才评价和激励机制，组织实施科技人才计划，推动高端科技创新人才队伍建设。参与自治州科学普及和科学传播规划、政策措施制定和协调落实工作。</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（十三）负责自治区科学技术奖、自治区人民政府天山奖的推荐申报工作。</w:t>
      </w:r>
    </w:p>
    <w:p>
      <w:pPr>
        <w:widowControl/>
        <w:spacing w:line="560" w:lineRule="exact"/>
        <w:ind w:firstLine="645"/>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（十四）完成自治州党委、自治州人民政府交办的其他任务。</w:t>
      </w:r>
    </w:p>
    <w:p>
      <w:pPr>
        <w:widowControl/>
        <w:spacing w:line="560" w:lineRule="exact"/>
        <w:ind w:firstLine="645"/>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十五）职能转变。围绕贯彻实施科教兴国战略、人才强国战略、创新驱动发展战略，加强、优化、转变政府科技管理和服务职能，完善科技创新制度和组织体系，加强宏观管理和统筹协调，减少微观管理和具体审批事项，加强事中事后监管和科研诚信建设。从研发管理向创新服务转变，深入推进科技计划管理改革，完善自治州科技管理平台，减少科技计划项目重复、分散、封闭、低效和资源配置“碎片化”现象。对科研机构组建和调整事项不再进行审核，重在加强规划布局和绩效评价。进一步改进科技人才评价机制，建立健全以创新能力、质量、贡献、绩效为导向的科技人才评价体系和激励政策措施，统筹全州科技人才队伍建设和引进智力工作。</w:t>
      </w:r>
    </w:p>
    <w:p>
      <w:pPr>
        <w:widowControl/>
        <w:spacing w:line="540" w:lineRule="exact"/>
        <w:jc w:val="left"/>
        <w:rPr>
          <w:rFonts w:ascii="楷体_GB2312" w:hAnsi="楷体_GB2312" w:eastAsia="楷体_GB2312" w:cs="楷体_GB2312"/>
          <w:b/>
          <w:bCs/>
          <w:kern w:val="0"/>
          <w:sz w:val="32"/>
          <w:szCs w:val="32"/>
        </w:rPr>
      </w:pPr>
      <w:r>
        <w:rPr>
          <w:rFonts w:hint="eastAsia" w:ascii="仿宋_GB2312" w:hAnsi="宋体" w:eastAsia="仿宋_GB2312" w:cs="宋体"/>
          <w:bCs/>
          <w:kern w:val="0"/>
          <w:sz w:val="32"/>
          <w:szCs w:val="32"/>
        </w:rPr>
        <w:t xml:space="preserve"> </w:t>
      </w:r>
      <w:r>
        <w:rPr>
          <w:rFonts w:hint="eastAsia" w:ascii="仿宋_GB2312" w:hAnsi="宋体" w:eastAsia="仿宋_GB2312" w:cs="宋体"/>
          <w:bCs/>
          <w:kern w:val="0"/>
          <w:sz w:val="32"/>
          <w:szCs w:val="32"/>
          <w:lang w:val="en-US" w:eastAsia="zh-CN"/>
        </w:rPr>
        <w:t xml:space="preserve">    </w:t>
      </w:r>
      <w:r>
        <w:rPr>
          <w:rFonts w:hint="eastAsia" w:ascii="楷体_GB2312" w:hAnsi="楷体_GB2312" w:eastAsia="楷体_GB2312" w:cs="楷体_GB2312"/>
          <w:b/>
          <w:bCs/>
          <w:kern w:val="0"/>
          <w:sz w:val="32"/>
          <w:szCs w:val="32"/>
        </w:rPr>
        <w:t>二、机构设置及人员情况</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kern w:val="0"/>
          <w:sz w:val="32"/>
          <w:szCs w:val="32"/>
        </w:rPr>
        <w:t>昌吉州科技局</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7</w:t>
      </w:r>
      <w:r>
        <w:rPr>
          <w:rFonts w:hint="eastAsia" w:ascii="仿宋_GB2312" w:hAnsi="黑体" w:eastAsia="仿宋_GB2312" w:cs="宋体"/>
          <w:bCs/>
          <w:kern w:val="0"/>
          <w:sz w:val="32"/>
          <w:szCs w:val="32"/>
        </w:rPr>
        <w:t>个科室，分别是：办公室（组织人事科）、综合科、工业科技科、农村科技科、自创区建设与科技合作科（外国专家服务科）</w:t>
      </w:r>
      <w:r>
        <w:rPr>
          <w:rFonts w:hint="eastAsia" w:ascii="仿宋_GB2312" w:hAnsi="黑体" w:eastAsia="仿宋_GB2312" w:cs="宋体"/>
          <w:bCs/>
          <w:kern w:val="0"/>
          <w:sz w:val="32"/>
          <w:szCs w:val="32"/>
          <w:lang w:eastAsia="zh-CN"/>
        </w:rPr>
        <w:t>、</w:t>
      </w:r>
      <w:r>
        <w:rPr>
          <w:rFonts w:hint="eastAsia" w:ascii="仿宋_GB2312" w:hAnsi="黑体" w:eastAsia="仿宋_GB2312" w:cs="宋体"/>
          <w:bCs/>
          <w:kern w:val="0"/>
          <w:sz w:val="32"/>
          <w:szCs w:val="32"/>
        </w:rPr>
        <w:t>昌吉州专家顾问服务中心、昌吉州国际人才交流合作中心。</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昌吉州科技局</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27</w:t>
      </w:r>
      <w:r>
        <w:rPr>
          <w:rFonts w:hint="eastAsia" w:ascii="仿宋_GB2312" w:hAnsi="宋体" w:eastAsia="仿宋_GB2312" w:cs="宋体"/>
          <w:kern w:val="0"/>
          <w:sz w:val="32"/>
          <w:szCs w:val="32"/>
        </w:rPr>
        <w:t>个，实有人数</w:t>
      </w:r>
      <w:r>
        <w:rPr>
          <w:rFonts w:hint="eastAsia" w:ascii="仿宋_GB2312" w:hAnsi="宋体" w:eastAsia="仿宋_GB2312" w:cs="宋体"/>
          <w:kern w:val="0"/>
          <w:sz w:val="32"/>
          <w:szCs w:val="32"/>
          <w:lang w:val="en-US" w:eastAsia="zh-CN"/>
        </w:rPr>
        <w:t>42</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年单位预算公开表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一</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val="en-US" w:eastAsia="zh-CN"/>
        </w:rPr>
        <w:t>昌吉州科技局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0"/>
        <w:gridCol w:w="1988"/>
        <w:gridCol w:w="2693"/>
        <w:gridCol w:w="1701"/>
      </w:tblGrid>
      <w:tr>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399.93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399.93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399.93</w:t>
            </w: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399.93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399.93</w:t>
            </w:r>
            <w:r>
              <w:rPr>
                <w:rFonts w:hint="eastAsia" w:ascii="仿宋_GB2312" w:hAnsi="宋体" w:eastAsia="仿宋_GB2312" w:cs="宋体"/>
                <w:kern w:val="0"/>
                <w:sz w:val="18"/>
                <w:szCs w:val="18"/>
              </w:rPr>
              <w:t>　</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二</w:t>
      </w:r>
    </w:p>
    <w:p>
      <w:pPr>
        <w:widowControl/>
        <w:spacing w:line="440" w:lineRule="exact"/>
        <w:jc w:val="center"/>
        <w:outlineLvl w:val="1"/>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单位</w:t>
      </w:r>
      <w:r>
        <w:rPr>
          <w:rFonts w:hint="eastAsia" w:ascii="方正小标宋_GBK" w:hAnsi="方正小标宋_GBK" w:eastAsia="方正小标宋_GBK" w:cs="方正小标宋_GBK"/>
          <w:bCs/>
          <w:kern w:val="0"/>
          <w:sz w:val="36"/>
          <w:szCs w:val="36"/>
        </w:rPr>
        <w:t>收入总体情况表</w:t>
      </w:r>
    </w:p>
    <w:p>
      <w:pPr>
        <w:widowControl/>
        <w:spacing w:line="44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w:t>
      </w:r>
      <w:r>
        <w:rPr>
          <w:rFonts w:hint="eastAsia" w:ascii="仿宋_GB2312" w:hAnsi="宋体" w:eastAsia="仿宋_GB2312"/>
          <w:kern w:val="0"/>
          <w:sz w:val="24"/>
          <w:lang w:val="en-US" w:eastAsia="zh-CN"/>
        </w:rPr>
        <w:t>昌吉州科技局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8"/>
        <w:gridCol w:w="420"/>
        <w:gridCol w:w="465"/>
        <w:gridCol w:w="1993"/>
        <w:gridCol w:w="1018"/>
        <w:gridCol w:w="850"/>
        <w:gridCol w:w="709"/>
        <w:gridCol w:w="795"/>
        <w:gridCol w:w="921"/>
        <w:gridCol w:w="660"/>
        <w:gridCol w:w="708"/>
        <w:gridCol w:w="684"/>
      </w:tblGrid>
      <w:tr>
        <w:trPr>
          <w:trHeight w:val="510" w:hRule="atLeast"/>
        </w:trPr>
        <w:tc>
          <w:tcPr>
            <w:tcW w:w="140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9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rPr>
          <w:trHeight w:val="1870"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9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rPr>
          <w:trHeight w:val="465" w:hRule="atLeast"/>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206</w:t>
            </w: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科学技术支出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399.93</w:t>
            </w:r>
          </w:p>
        </w:tc>
        <w:tc>
          <w:tcPr>
            <w:tcW w:w="85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399.93</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206</w:t>
            </w:r>
          </w:p>
        </w:tc>
        <w:tc>
          <w:tcPr>
            <w:tcW w:w="4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科学技术管理事务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349.93</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349.93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206</w:t>
            </w:r>
          </w:p>
        </w:tc>
        <w:tc>
          <w:tcPr>
            <w:tcW w:w="4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339.93</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339.93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206</w:t>
            </w:r>
          </w:p>
        </w:tc>
        <w:tc>
          <w:tcPr>
            <w:tcW w:w="4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一般行政管理事务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10</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10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206</w:t>
            </w:r>
          </w:p>
        </w:tc>
        <w:tc>
          <w:tcPr>
            <w:tcW w:w="4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科技条件与服务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50</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50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206</w:t>
            </w:r>
          </w:p>
        </w:tc>
        <w:tc>
          <w:tcPr>
            <w:tcW w:w="4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6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其他科技条件与服务支出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50</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lang w:val="en-US" w:eastAsia="zh-CN"/>
              </w:rPr>
              <w:t>50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399.93</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399.93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三</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单位</w:t>
      </w:r>
      <w:r>
        <w:rPr>
          <w:rFonts w:hint="eastAsia" w:ascii="方正小标宋_GBK" w:hAnsi="方正小标宋_GBK" w:eastAsia="方正小标宋_GBK" w:cs="方正小标宋_GBK"/>
          <w:bCs/>
          <w:kern w:val="0"/>
          <w:sz w:val="36"/>
          <w:szCs w:val="36"/>
        </w:rPr>
        <w:t>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w:t>
      </w:r>
      <w:r>
        <w:rPr>
          <w:rFonts w:hint="eastAsia" w:ascii="仿宋_GB2312" w:hAnsi="宋体" w:eastAsia="仿宋_GB2312"/>
          <w:kern w:val="0"/>
          <w:sz w:val="24"/>
          <w:lang w:val="en-US" w:eastAsia="zh-CN"/>
        </w:rPr>
        <w:t>昌吉州科技局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496"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1"/>
        <w:gridCol w:w="480"/>
        <w:gridCol w:w="482"/>
        <w:gridCol w:w="2358"/>
        <w:gridCol w:w="1855"/>
        <w:gridCol w:w="1856"/>
        <w:gridCol w:w="1904"/>
      </w:tblGrid>
      <w:tr>
        <w:trPr>
          <w:trHeight w:val="345" w:hRule="atLeast"/>
        </w:trPr>
        <w:tc>
          <w:tcPr>
            <w:tcW w:w="3881"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rPr>
          <w:trHeight w:val="480" w:hRule="atLeast"/>
        </w:trPr>
        <w:tc>
          <w:tcPr>
            <w:tcW w:w="152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58" w:type="dxa"/>
            <w:vMerge w:val="restart"/>
            <w:tcBorders>
              <w:top w:val="nil"/>
              <w:left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58" w:type="dxa"/>
            <w:vMerge w:val="continue"/>
            <w:tcBorders>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206</w:t>
            </w:r>
          </w:p>
        </w:tc>
        <w:tc>
          <w:tcPr>
            <w:tcW w:w="4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科学技术支出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399.93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339.93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60</w:t>
            </w: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206</w:t>
            </w:r>
          </w:p>
        </w:tc>
        <w:tc>
          <w:tcPr>
            <w:tcW w:w="4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科学技术管理事务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349.93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339.93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10</w:t>
            </w: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206</w:t>
            </w:r>
          </w:p>
        </w:tc>
        <w:tc>
          <w:tcPr>
            <w:tcW w:w="4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358"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行政运行</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339.93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339.93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206</w:t>
            </w:r>
          </w:p>
        </w:tc>
        <w:tc>
          <w:tcPr>
            <w:tcW w:w="4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2358"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一般行政管理事务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10</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10</w:t>
            </w: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206</w:t>
            </w:r>
          </w:p>
        </w:tc>
        <w:tc>
          <w:tcPr>
            <w:tcW w:w="4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科技条件与服务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50</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50</w:t>
            </w: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206</w:t>
            </w:r>
          </w:p>
        </w:tc>
        <w:tc>
          <w:tcPr>
            <w:tcW w:w="4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8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99</w:t>
            </w:r>
          </w:p>
        </w:tc>
        <w:tc>
          <w:tcPr>
            <w:tcW w:w="2358"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其他科技条件与服务支出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50</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50</w:t>
            </w: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pPr>
          </w:p>
        </w:tc>
        <w:tc>
          <w:tcPr>
            <w:tcW w:w="480" w:type="dxa"/>
            <w:tcBorders>
              <w:top w:val="nil"/>
              <w:left w:val="nil"/>
              <w:bottom w:val="single" w:color="auto" w:sz="4" w:space="0"/>
              <w:right w:val="single" w:color="auto" w:sz="4" w:space="0"/>
            </w:tcBorders>
            <w:vAlign w:val="center"/>
          </w:tcPr>
          <w:p>
            <w:pPr>
              <w:jc w:val="center"/>
            </w:pPr>
          </w:p>
        </w:tc>
        <w:tc>
          <w:tcPr>
            <w:tcW w:w="482" w:type="dxa"/>
            <w:tcBorders>
              <w:top w:val="nil"/>
              <w:left w:val="nil"/>
              <w:bottom w:val="single" w:color="auto" w:sz="4" w:space="0"/>
              <w:right w:val="single" w:color="auto" w:sz="4" w:space="0"/>
            </w:tcBorders>
            <w:vAlign w:val="center"/>
          </w:tcPr>
          <w:p>
            <w:pPr>
              <w:jc w:val="center"/>
            </w:pPr>
          </w:p>
        </w:tc>
        <w:tc>
          <w:tcPr>
            <w:tcW w:w="2358" w:type="dxa"/>
            <w:tcBorders>
              <w:top w:val="nil"/>
              <w:left w:val="nil"/>
              <w:bottom w:val="single" w:color="auto" w:sz="4" w:space="0"/>
              <w:right w:val="single" w:color="auto" w:sz="4" w:space="0"/>
            </w:tcBorders>
            <w:vAlign w:val="center"/>
          </w:tcPr>
          <w:p>
            <w:pPr>
              <w:jc w:val="cente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8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82"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35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399.93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339.93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60</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w:t>
      </w:r>
      <w:r>
        <w:rPr>
          <w:rFonts w:hint="eastAsia" w:ascii="仿宋_GB2312" w:hAnsi="宋体" w:eastAsia="仿宋_GB2312"/>
          <w:kern w:val="0"/>
          <w:szCs w:val="21"/>
          <w:lang w:eastAsia="zh-CN"/>
        </w:rPr>
        <w:t>单位</w:t>
      </w:r>
      <w:r>
        <w:rPr>
          <w:rFonts w:hint="eastAsia" w:ascii="仿宋_GB2312" w:hAnsi="宋体" w:eastAsia="仿宋_GB2312"/>
          <w:kern w:val="0"/>
          <w:szCs w:val="21"/>
        </w:rPr>
        <w:t>：</w:t>
      </w:r>
      <w:r>
        <w:rPr>
          <w:rFonts w:hint="eastAsia" w:ascii="仿宋_GB2312" w:hAnsi="宋体" w:eastAsia="仿宋_GB2312"/>
          <w:kern w:val="0"/>
          <w:szCs w:val="21"/>
          <w:lang w:val="en-US" w:eastAsia="zh-CN"/>
        </w:rPr>
        <w:t>昌吉州科技局</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W w:w="9449"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36"/>
        <w:gridCol w:w="914"/>
        <w:gridCol w:w="2580"/>
        <w:gridCol w:w="900"/>
        <w:gridCol w:w="851"/>
        <w:gridCol w:w="1134"/>
        <w:gridCol w:w="1134"/>
      </w:tblGrid>
      <w:tr>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399.93</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0"/>
                <w:szCs w:val="20"/>
                <w:lang w:val="en-US" w:eastAsia="zh-CN"/>
              </w:rPr>
              <w:t>399.93</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b w:val="0"/>
                <w:bCs w:val="0"/>
                <w:color w:val="000000"/>
                <w:kern w:val="0"/>
                <w:sz w:val="20"/>
                <w:szCs w:val="20"/>
                <w:lang w:val="en-US" w:eastAsia="zh-CN"/>
              </w:rPr>
              <w:t>399.93</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b w:val="0"/>
                <w:bCs w:val="0"/>
                <w:color w:val="000000"/>
                <w:kern w:val="0"/>
                <w:sz w:val="20"/>
                <w:szCs w:val="20"/>
                <w:lang w:val="en-US" w:eastAsia="zh-CN"/>
              </w:rPr>
              <w:t>399.93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宋体" w:hAnsi="宋体" w:cs="宋体"/>
                <w:b w:val="0"/>
                <w:bCs w:val="0"/>
                <w:color w:val="000000"/>
                <w:kern w:val="0"/>
                <w:sz w:val="20"/>
                <w:szCs w:val="20"/>
                <w:lang w:val="en-US" w:eastAsia="zh-CN"/>
              </w:rPr>
              <w:t>399.93</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b w:val="0"/>
                <w:bCs w:val="0"/>
                <w:color w:val="000000"/>
                <w:kern w:val="0"/>
                <w:sz w:val="20"/>
                <w:szCs w:val="20"/>
                <w:lang w:val="en-US" w:eastAsia="zh-CN"/>
              </w:rPr>
              <w:t>399.93</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b w:val="0"/>
                <w:bCs w:val="0"/>
                <w:color w:val="000000"/>
                <w:kern w:val="0"/>
                <w:sz w:val="20"/>
                <w:szCs w:val="20"/>
                <w:lang w:val="en-US" w:eastAsia="zh-CN"/>
              </w:rPr>
              <w:t>399.93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五</w:t>
      </w:r>
    </w:p>
    <w:p>
      <w:pPr>
        <w:widowControl/>
        <w:jc w:val="center"/>
        <w:textAlignment w:val="bottom"/>
        <w:rPr>
          <w:rFonts w:hint="eastAsia" w:ascii="宋体" w:hAnsi="宋体" w:cs="宋体"/>
          <w:color w:val="000000"/>
          <w:kern w:val="0"/>
          <w:sz w:val="20"/>
          <w:szCs w:val="20"/>
        </w:rPr>
      </w:pPr>
      <w:r>
        <w:rPr>
          <w:rFonts w:hint="eastAsia" w:ascii="方正小标宋_GBK" w:hAnsi="方正小标宋_GBK" w:eastAsia="方正小标宋_GBK" w:cs="方正小标宋_GBK"/>
          <w:color w:val="000000"/>
          <w:kern w:val="0"/>
          <w:sz w:val="32"/>
          <w:szCs w:val="32"/>
        </w:rPr>
        <w:t>一般公共预算支出情况表</w:t>
      </w:r>
    </w:p>
    <w:p>
      <w:pPr>
        <w:widowControl/>
        <w:spacing w:beforeLines="50" w:line="280" w:lineRule="exact"/>
        <w:outlineLvl w:val="1"/>
        <w:rPr>
          <w:rFonts w:hint="eastAsia" w:ascii="宋体" w:hAnsi="宋体" w:cs="宋体"/>
          <w:color w:val="000000"/>
          <w:kern w:val="0"/>
          <w:sz w:val="20"/>
          <w:szCs w:val="20"/>
        </w:rPr>
      </w:pPr>
      <w:r>
        <w:rPr>
          <w:rFonts w:hint="eastAsia" w:ascii="仿宋_GB2312" w:hAnsi="宋体" w:eastAsia="仿宋_GB2312"/>
          <w:kern w:val="0"/>
          <w:szCs w:val="21"/>
        </w:rPr>
        <w:t>编制</w:t>
      </w:r>
      <w:r>
        <w:rPr>
          <w:rFonts w:hint="eastAsia" w:ascii="仿宋_GB2312" w:hAnsi="宋体" w:eastAsia="仿宋_GB2312"/>
          <w:kern w:val="0"/>
          <w:szCs w:val="21"/>
          <w:lang w:eastAsia="zh-CN"/>
        </w:rPr>
        <w:t>单位</w:t>
      </w:r>
      <w:r>
        <w:rPr>
          <w:rFonts w:hint="eastAsia" w:ascii="仿宋_GB2312" w:hAnsi="宋体" w:eastAsia="仿宋_GB2312"/>
          <w:kern w:val="0"/>
          <w:szCs w:val="21"/>
        </w:rPr>
        <w:t>：</w:t>
      </w:r>
      <w:r>
        <w:rPr>
          <w:rFonts w:hint="eastAsia" w:ascii="仿宋_GB2312" w:hAnsi="宋体" w:eastAsia="仿宋_GB2312"/>
          <w:kern w:val="0"/>
          <w:szCs w:val="21"/>
          <w:lang w:val="en-US" w:eastAsia="zh-CN"/>
        </w:rPr>
        <w:t>昌吉州科技局</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1684"/>
        <w:gridCol w:w="1842"/>
        <w:gridCol w:w="1701"/>
      </w:tblGrid>
      <w:tr>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206</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科学技术支出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399.93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339.93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60</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206</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科学技术管理事务</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349.93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339.93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10</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206</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行政运行</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339.93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339.93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206</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一般行政管理事务</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10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10</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206</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科技条件与服务</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50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50</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206</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其他科技条件与服务支出</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50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50</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399.93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339.93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60</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六</w:t>
      </w:r>
    </w:p>
    <w:p>
      <w:pPr>
        <w:widowControl/>
        <w:jc w:val="center"/>
        <w:textAlignment w:val="bottom"/>
        <w:rPr>
          <w:rFonts w:hint="eastAsia" w:ascii="宋体" w:hAnsi="宋体" w:cs="宋体"/>
          <w:color w:val="000000"/>
          <w:kern w:val="0"/>
          <w:sz w:val="20"/>
          <w:szCs w:val="20"/>
        </w:rPr>
      </w:pPr>
      <w:r>
        <w:rPr>
          <w:rFonts w:hint="eastAsia" w:ascii="方正小标宋_GBK" w:hAnsi="方正小标宋_GBK" w:eastAsia="方正小标宋_GBK" w:cs="方正小标宋_GBK"/>
          <w:color w:val="000000"/>
          <w:kern w:val="0"/>
          <w:sz w:val="32"/>
          <w:szCs w:val="32"/>
        </w:rPr>
        <w:t>一般公共预算基本支出情况表</w:t>
      </w:r>
    </w:p>
    <w:p>
      <w:pPr>
        <w:widowControl/>
        <w:spacing w:beforeLines="50" w:line="280" w:lineRule="exact"/>
        <w:outlineLvl w:val="1"/>
        <w:rPr>
          <w:rFonts w:hint="eastAsia" w:ascii="宋体" w:hAnsi="宋体" w:cs="宋体"/>
          <w:color w:val="000000"/>
          <w:kern w:val="0"/>
          <w:sz w:val="20"/>
          <w:szCs w:val="20"/>
        </w:rPr>
      </w:pPr>
      <w:r>
        <w:rPr>
          <w:rFonts w:hint="eastAsia" w:ascii="仿宋_GB2312" w:hAnsi="宋体" w:eastAsia="仿宋_GB2312"/>
          <w:kern w:val="0"/>
          <w:szCs w:val="21"/>
        </w:rPr>
        <w:t>编制</w:t>
      </w:r>
      <w:r>
        <w:rPr>
          <w:rFonts w:hint="eastAsia" w:ascii="仿宋_GB2312" w:hAnsi="宋体" w:eastAsia="仿宋_GB2312"/>
          <w:kern w:val="0"/>
          <w:szCs w:val="21"/>
          <w:lang w:eastAsia="zh-CN"/>
        </w:rPr>
        <w:t>单位</w:t>
      </w:r>
      <w:r>
        <w:rPr>
          <w:rFonts w:hint="eastAsia" w:ascii="仿宋_GB2312" w:hAnsi="宋体" w:eastAsia="仿宋_GB2312"/>
          <w:kern w:val="0"/>
          <w:szCs w:val="21"/>
        </w:rPr>
        <w:t>：</w:t>
      </w:r>
      <w:r>
        <w:rPr>
          <w:rFonts w:hint="eastAsia" w:ascii="仿宋_GB2312" w:hAnsi="宋体" w:eastAsia="仿宋_GB2312"/>
          <w:kern w:val="0"/>
          <w:szCs w:val="21"/>
          <w:lang w:val="en-US" w:eastAsia="zh-CN"/>
        </w:rPr>
        <w:t>昌吉州科技局</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1701"/>
        <w:gridCol w:w="1701"/>
        <w:gridCol w:w="1701"/>
      </w:tblGrid>
      <w:tr>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工资福利支出</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278.96</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278.96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基本工资</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87.77</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87.77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津贴补贴</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69.30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69.30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奖金</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7.17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7.17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绩效工资</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24.63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24.63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机关事业单位基本养老保险缴费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29.88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29.88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城镇职工基本医疗保险缴费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17.74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17.74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公务员医疗补助缴费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5.60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5.60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0.49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26.95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26.95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其他工资福利支出</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9.43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9.43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商品和服务支出</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34.84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34.84</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办公费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5.26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5.26</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邮电费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1.20</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差旅费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4.50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4.50</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培训费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1.00</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公务接待费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0.48</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劳务费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1.00</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工会经费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3.52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3.52</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福利费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3.17</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公务用车运行维护费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4.30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4.30</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39</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其他交通费用</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5.00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5.00</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其他商品和服务支出</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5.41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5.41</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对个人和家庭的补助</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26.13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26.13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离休费</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2.10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医疗费补助</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22.21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22.21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奖励金</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1.82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339.93</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305.09</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34.84</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七</w:t>
      </w:r>
    </w:p>
    <w:p>
      <w:pPr>
        <w:widowControl/>
        <w:jc w:val="center"/>
        <w:textAlignment w:val="bottom"/>
        <w:rPr>
          <w:rFonts w:hint="eastAsia" w:ascii="宋体" w:hAnsi="宋体" w:cs="宋体"/>
          <w:color w:val="000000"/>
          <w:kern w:val="0"/>
          <w:sz w:val="20"/>
          <w:szCs w:val="20"/>
        </w:rPr>
      </w:pPr>
      <w:r>
        <w:rPr>
          <w:rFonts w:hint="eastAsia" w:ascii="方正小标宋_GBK" w:hAnsi="方正小标宋_GBK" w:eastAsia="方正小标宋_GBK" w:cs="方正小标宋_GBK"/>
          <w:color w:val="000000"/>
          <w:kern w:val="0"/>
          <w:sz w:val="32"/>
          <w:szCs w:val="32"/>
        </w:rPr>
        <w:t>一般公共预算项目支出情况表</w:t>
      </w:r>
    </w:p>
    <w:p>
      <w:pPr>
        <w:widowControl/>
        <w:spacing w:beforeLines="50" w:line="280" w:lineRule="exact"/>
        <w:outlineLvl w:val="1"/>
        <w:rPr>
          <w:rFonts w:hint="eastAsia" w:ascii="宋体" w:hAnsi="宋体" w:cs="宋体"/>
          <w:color w:val="000000"/>
          <w:kern w:val="0"/>
          <w:sz w:val="20"/>
          <w:szCs w:val="20"/>
        </w:rPr>
      </w:pPr>
      <w:r>
        <w:rPr>
          <w:rFonts w:hint="eastAsia" w:ascii="仿宋_GB2312" w:hAnsi="宋体" w:eastAsia="仿宋_GB2312"/>
          <w:kern w:val="0"/>
          <w:szCs w:val="21"/>
        </w:rPr>
        <w:t>编制</w:t>
      </w:r>
      <w:r>
        <w:rPr>
          <w:rFonts w:hint="eastAsia" w:ascii="仿宋_GB2312" w:hAnsi="宋体" w:eastAsia="仿宋_GB2312"/>
          <w:kern w:val="0"/>
          <w:szCs w:val="21"/>
          <w:lang w:eastAsia="zh-CN"/>
        </w:rPr>
        <w:t>单位</w:t>
      </w:r>
      <w:r>
        <w:rPr>
          <w:rFonts w:hint="eastAsia" w:ascii="仿宋_GB2312" w:hAnsi="宋体" w:eastAsia="仿宋_GB2312"/>
          <w:kern w:val="0"/>
          <w:szCs w:val="21"/>
        </w:rPr>
        <w:t>：</w:t>
      </w:r>
      <w:r>
        <w:rPr>
          <w:rFonts w:hint="eastAsia" w:ascii="仿宋_GB2312" w:hAnsi="宋体" w:eastAsia="仿宋_GB2312"/>
          <w:kern w:val="0"/>
          <w:szCs w:val="21"/>
          <w:lang w:val="en-US" w:eastAsia="zh-CN"/>
        </w:rPr>
        <w:t>昌吉州科技局</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W w:w="9680" w:type="dxa"/>
        <w:tblInd w:w="-4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480"/>
        <w:gridCol w:w="420"/>
        <w:gridCol w:w="1020"/>
        <w:gridCol w:w="1103"/>
        <w:gridCol w:w="607"/>
        <w:gridCol w:w="600"/>
        <w:gridCol w:w="648"/>
        <w:gridCol w:w="652"/>
        <w:gridCol w:w="652"/>
        <w:gridCol w:w="578"/>
        <w:gridCol w:w="419"/>
        <w:gridCol w:w="578"/>
        <w:gridCol w:w="420"/>
        <w:gridCol w:w="420"/>
        <w:gridCol w:w="468"/>
      </w:tblGrid>
      <w:tr>
        <w:trPr>
          <w:trHeight w:val="1565" w:hRule="atLeast"/>
        </w:trPr>
        <w:tc>
          <w:tcPr>
            <w:tcW w:w="1515" w:type="dxa"/>
            <w:gridSpan w:val="3"/>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03"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60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60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4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rPr>
          <w:trHeight w:val="377" w:hRule="atLeast"/>
        </w:trPr>
        <w:tc>
          <w:tcPr>
            <w:tcW w:w="615"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8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2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103"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07"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0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4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rPr>
          <w:trHeight w:val="585" w:hRule="atLeast"/>
        </w:trPr>
        <w:tc>
          <w:tcPr>
            <w:tcW w:w="615"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206</w:t>
            </w:r>
          </w:p>
        </w:tc>
        <w:tc>
          <w:tcPr>
            <w:tcW w:w="480" w:type="dxa"/>
            <w:vAlign w:val="center"/>
          </w:tcPr>
          <w:p>
            <w:pPr>
              <w:jc w:val="center"/>
              <w:rPr>
                <w:rFonts w:ascii="仿宋_GB2312" w:hAnsi="宋体" w:eastAsia="仿宋_GB2312"/>
                <w:kern w:val="0"/>
                <w:sz w:val="32"/>
                <w:szCs w:val="32"/>
              </w:rPr>
            </w:pPr>
          </w:p>
        </w:tc>
        <w:tc>
          <w:tcPr>
            <w:tcW w:w="420" w:type="dxa"/>
            <w:vAlign w:val="center"/>
          </w:tcPr>
          <w:p>
            <w:pPr>
              <w:jc w:val="center"/>
              <w:rPr>
                <w:rFonts w:ascii="仿宋_GB2312" w:hAnsi="宋体" w:eastAsia="仿宋_GB2312"/>
                <w:kern w:val="0"/>
                <w:sz w:val="32"/>
                <w:szCs w:val="32"/>
              </w:rPr>
            </w:pPr>
          </w:p>
        </w:tc>
        <w:tc>
          <w:tcPr>
            <w:tcW w:w="102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rPr>
              <w:t>科学技术支出</w:t>
            </w:r>
          </w:p>
        </w:tc>
        <w:tc>
          <w:tcPr>
            <w:tcW w:w="1103" w:type="dxa"/>
            <w:vAlign w:val="center"/>
          </w:tcPr>
          <w:p>
            <w:pPr>
              <w:widowControl/>
              <w:spacing w:line="280" w:lineRule="exact"/>
              <w:jc w:val="right"/>
              <w:rPr>
                <w:rFonts w:ascii="仿宋_GB2312" w:hAnsi="宋体" w:eastAsia="仿宋_GB2312"/>
                <w:kern w:val="0"/>
                <w:sz w:val="32"/>
                <w:szCs w:val="32"/>
              </w:rPr>
            </w:pPr>
          </w:p>
        </w:tc>
        <w:tc>
          <w:tcPr>
            <w:tcW w:w="607" w:type="dxa"/>
            <w:vAlign w:val="center"/>
          </w:tcPr>
          <w:p>
            <w:pPr>
              <w:widowControl/>
              <w:spacing w:line="280" w:lineRule="exact"/>
              <w:jc w:val="right"/>
              <w:rPr>
                <w:rFonts w:hint="default" w:ascii="仿宋_GB2312" w:hAnsi="宋体" w:eastAsia="仿宋_GB2312"/>
                <w:kern w:val="0"/>
                <w:sz w:val="32"/>
                <w:szCs w:val="32"/>
                <w:lang w:val="en-US"/>
              </w:rPr>
            </w:pPr>
            <w:r>
              <w:rPr>
                <w:rFonts w:hint="eastAsia" w:ascii="宋体" w:hAnsi="宋体" w:cs="宋体"/>
                <w:b w:val="0"/>
                <w:bCs w:val="0"/>
                <w:color w:val="000000"/>
                <w:kern w:val="0"/>
                <w:sz w:val="20"/>
                <w:szCs w:val="20"/>
                <w:lang w:val="en-US" w:eastAsia="zh-CN"/>
              </w:rPr>
              <w:t>60</w:t>
            </w:r>
          </w:p>
        </w:tc>
        <w:tc>
          <w:tcPr>
            <w:tcW w:w="600" w:type="dxa"/>
            <w:vAlign w:val="top"/>
          </w:tcPr>
          <w:p>
            <w:pPr>
              <w:widowControl/>
              <w:jc w:val="right"/>
              <w:outlineLvl w:val="1"/>
              <w:rPr>
                <w:rFonts w:ascii="仿宋_GB2312" w:hAnsi="宋体" w:eastAsia="仿宋_GB2312"/>
                <w:kern w:val="0"/>
                <w:sz w:val="32"/>
                <w:szCs w:val="32"/>
              </w:rPr>
            </w:pPr>
          </w:p>
        </w:tc>
        <w:tc>
          <w:tcPr>
            <w:tcW w:w="648" w:type="dxa"/>
            <w:vAlign w:val="center"/>
          </w:tcPr>
          <w:p>
            <w:pPr>
              <w:widowControl/>
              <w:spacing w:line="280" w:lineRule="exact"/>
              <w:jc w:val="right"/>
              <w:rPr>
                <w:rFonts w:ascii="仿宋_GB2312" w:hAnsi="宋体" w:eastAsia="仿宋_GB2312"/>
                <w:kern w:val="0"/>
                <w:sz w:val="32"/>
                <w:szCs w:val="32"/>
              </w:rPr>
            </w:pPr>
            <w:r>
              <w:rPr>
                <w:rFonts w:hint="eastAsia" w:ascii="宋体" w:hAnsi="宋体" w:cs="宋体"/>
                <w:b w:val="0"/>
                <w:bCs w:val="0"/>
                <w:color w:val="000000"/>
                <w:kern w:val="0"/>
                <w:sz w:val="20"/>
                <w:szCs w:val="20"/>
                <w:lang w:val="en-US" w:eastAsia="zh-CN"/>
              </w:rPr>
              <w:t>60</w:t>
            </w: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615"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206</w:t>
            </w:r>
          </w:p>
        </w:tc>
        <w:tc>
          <w:tcPr>
            <w:tcW w:w="48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01</w:t>
            </w:r>
          </w:p>
        </w:tc>
        <w:tc>
          <w:tcPr>
            <w:tcW w:w="420" w:type="dxa"/>
            <w:vAlign w:val="center"/>
          </w:tcPr>
          <w:p>
            <w:pPr>
              <w:jc w:val="center"/>
              <w:rPr>
                <w:rFonts w:ascii="仿宋_GB2312" w:hAnsi="宋体" w:eastAsia="仿宋_GB2312"/>
                <w:kern w:val="0"/>
                <w:sz w:val="32"/>
                <w:szCs w:val="32"/>
              </w:rPr>
            </w:pPr>
          </w:p>
        </w:tc>
        <w:tc>
          <w:tcPr>
            <w:tcW w:w="102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rPr>
              <w:t>科学技术管理事务</w:t>
            </w:r>
          </w:p>
        </w:tc>
        <w:tc>
          <w:tcPr>
            <w:tcW w:w="1103" w:type="dxa"/>
            <w:vAlign w:val="center"/>
          </w:tcPr>
          <w:p>
            <w:pPr>
              <w:widowControl/>
              <w:spacing w:line="280" w:lineRule="exact"/>
              <w:jc w:val="right"/>
              <w:rPr>
                <w:rFonts w:ascii="仿宋_GB2312" w:hAnsi="宋体" w:eastAsia="仿宋_GB2312"/>
                <w:kern w:val="0"/>
                <w:sz w:val="32"/>
                <w:szCs w:val="32"/>
              </w:rPr>
            </w:pPr>
          </w:p>
        </w:tc>
        <w:tc>
          <w:tcPr>
            <w:tcW w:w="607" w:type="dxa"/>
            <w:vAlign w:val="center"/>
          </w:tcPr>
          <w:p>
            <w:pPr>
              <w:widowControl/>
              <w:spacing w:line="280" w:lineRule="exact"/>
              <w:jc w:val="right"/>
              <w:rPr>
                <w:rFonts w:hint="default" w:ascii="仿宋_GB2312" w:hAnsi="宋体" w:eastAsia="仿宋_GB2312"/>
                <w:kern w:val="0"/>
                <w:sz w:val="32"/>
                <w:szCs w:val="32"/>
                <w:lang w:val="en-US"/>
              </w:rPr>
            </w:pPr>
            <w:r>
              <w:rPr>
                <w:rFonts w:hint="eastAsia" w:ascii="宋体" w:hAnsi="宋体" w:cs="宋体"/>
                <w:b w:val="0"/>
                <w:bCs w:val="0"/>
                <w:color w:val="000000"/>
                <w:kern w:val="0"/>
                <w:sz w:val="20"/>
                <w:szCs w:val="20"/>
                <w:lang w:val="en-US" w:eastAsia="zh-CN"/>
              </w:rPr>
              <w:t>10</w:t>
            </w:r>
          </w:p>
        </w:tc>
        <w:tc>
          <w:tcPr>
            <w:tcW w:w="600" w:type="dxa"/>
            <w:vAlign w:val="top"/>
          </w:tcPr>
          <w:p>
            <w:pPr>
              <w:widowControl/>
              <w:jc w:val="right"/>
              <w:outlineLvl w:val="1"/>
              <w:rPr>
                <w:rFonts w:ascii="仿宋_GB2312" w:hAnsi="宋体" w:eastAsia="仿宋_GB2312"/>
                <w:kern w:val="0"/>
                <w:sz w:val="32"/>
                <w:szCs w:val="32"/>
              </w:rPr>
            </w:pPr>
          </w:p>
        </w:tc>
        <w:tc>
          <w:tcPr>
            <w:tcW w:w="648" w:type="dxa"/>
            <w:vAlign w:val="center"/>
          </w:tcPr>
          <w:p>
            <w:pPr>
              <w:widowControl/>
              <w:spacing w:line="280" w:lineRule="exact"/>
              <w:jc w:val="right"/>
              <w:rPr>
                <w:rFonts w:ascii="仿宋_GB2312" w:hAnsi="宋体" w:eastAsia="仿宋_GB2312"/>
                <w:kern w:val="0"/>
                <w:sz w:val="32"/>
                <w:szCs w:val="32"/>
              </w:rPr>
            </w:pPr>
            <w:r>
              <w:rPr>
                <w:rFonts w:hint="eastAsia" w:ascii="宋体" w:hAnsi="宋体" w:cs="宋体"/>
                <w:b w:val="0"/>
                <w:bCs w:val="0"/>
                <w:color w:val="000000"/>
                <w:kern w:val="0"/>
                <w:sz w:val="20"/>
                <w:szCs w:val="20"/>
                <w:lang w:val="en-US" w:eastAsia="zh-CN"/>
              </w:rPr>
              <w:t>10</w:t>
            </w: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615"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206</w:t>
            </w:r>
          </w:p>
        </w:tc>
        <w:tc>
          <w:tcPr>
            <w:tcW w:w="48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01</w:t>
            </w:r>
          </w:p>
        </w:tc>
        <w:tc>
          <w:tcPr>
            <w:tcW w:w="42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02</w:t>
            </w:r>
          </w:p>
        </w:tc>
        <w:tc>
          <w:tcPr>
            <w:tcW w:w="102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rPr>
              <w:t>一般行政管理事务</w:t>
            </w:r>
          </w:p>
        </w:tc>
        <w:tc>
          <w:tcPr>
            <w:tcW w:w="1103" w:type="dxa"/>
            <w:vAlign w:val="center"/>
          </w:tcPr>
          <w:p>
            <w:pPr>
              <w:widowControl/>
              <w:spacing w:line="280" w:lineRule="exact"/>
              <w:jc w:val="right"/>
              <w:rPr>
                <w:rFonts w:ascii="仿宋_GB2312" w:hAnsi="宋体" w:eastAsia="仿宋_GB2312"/>
                <w:kern w:val="0"/>
                <w:sz w:val="20"/>
                <w:szCs w:val="20"/>
              </w:rPr>
            </w:pPr>
            <w:r>
              <w:rPr>
                <w:rFonts w:hint="eastAsia" w:ascii="仿宋_GB2312" w:hAnsi="宋体" w:eastAsia="仿宋_GB2312"/>
                <w:kern w:val="0"/>
                <w:sz w:val="20"/>
                <w:szCs w:val="20"/>
              </w:rPr>
              <w:t>引智工作经费</w:t>
            </w:r>
          </w:p>
        </w:tc>
        <w:tc>
          <w:tcPr>
            <w:tcW w:w="607" w:type="dxa"/>
            <w:vAlign w:val="center"/>
          </w:tcPr>
          <w:p>
            <w:pPr>
              <w:widowControl/>
              <w:spacing w:line="280" w:lineRule="exact"/>
              <w:jc w:val="right"/>
              <w:rPr>
                <w:rFonts w:ascii="仿宋_GB2312" w:hAnsi="宋体" w:eastAsia="仿宋_GB2312"/>
                <w:kern w:val="0"/>
                <w:sz w:val="32"/>
                <w:szCs w:val="32"/>
              </w:rPr>
            </w:pPr>
            <w:r>
              <w:rPr>
                <w:rFonts w:hint="eastAsia" w:ascii="宋体" w:hAnsi="宋体" w:cs="宋体"/>
                <w:b w:val="0"/>
                <w:bCs w:val="0"/>
                <w:color w:val="000000"/>
                <w:kern w:val="0"/>
                <w:sz w:val="20"/>
                <w:szCs w:val="20"/>
                <w:lang w:val="en-US" w:eastAsia="zh-CN"/>
              </w:rPr>
              <w:t>10</w:t>
            </w:r>
          </w:p>
        </w:tc>
        <w:tc>
          <w:tcPr>
            <w:tcW w:w="600" w:type="dxa"/>
            <w:vAlign w:val="top"/>
          </w:tcPr>
          <w:p>
            <w:pPr>
              <w:widowControl/>
              <w:jc w:val="right"/>
              <w:outlineLvl w:val="1"/>
              <w:rPr>
                <w:rFonts w:ascii="仿宋_GB2312" w:hAnsi="宋体" w:eastAsia="仿宋_GB2312"/>
                <w:kern w:val="0"/>
                <w:sz w:val="32"/>
                <w:szCs w:val="32"/>
              </w:rPr>
            </w:pPr>
          </w:p>
        </w:tc>
        <w:tc>
          <w:tcPr>
            <w:tcW w:w="648" w:type="dxa"/>
            <w:vAlign w:val="center"/>
          </w:tcPr>
          <w:p>
            <w:pPr>
              <w:widowControl/>
              <w:spacing w:line="280" w:lineRule="exact"/>
              <w:jc w:val="right"/>
              <w:rPr>
                <w:rFonts w:ascii="仿宋_GB2312" w:hAnsi="宋体" w:eastAsia="仿宋_GB2312"/>
                <w:kern w:val="0"/>
                <w:sz w:val="32"/>
                <w:szCs w:val="32"/>
              </w:rPr>
            </w:pPr>
            <w:r>
              <w:rPr>
                <w:rFonts w:hint="eastAsia" w:ascii="宋体" w:hAnsi="宋体" w:cs="宋体"/>
                <w:b w:val="0"/>
                <w:bCs w:val="0"/>
                <w:color w:val="000000"/>
                <w:kern w:val="0"/>
                <w:sz w:val="20"/>
                <w:szCs w:val="20"/>
                <w:lang w:val="en-US" w:eastAsia="zh-CN"/>
              </w:rPr>
              <w:t>10</w:t>
            </w: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615"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206</w:t>
            </w:r>
          </w:p>
        </w:tc>
        <w:tc>
          <w:tcPr>
            <w:tcW w:w="48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05</w:t>
            </w:r>
          </w:p>
        </w:tc>
        <w:tc>
          <w:tcPr>
            <w:tcW w:w="420" w:type="dxa"/>
            <w:vAlign w:val="center"/>
          </w:tcPr>
          <w:p>
            <w:pPr>
              <w:jc w:val="center"/>
              <w:rPr>
                <w:rFonts w:ascii="仿宋_GB2312" w:hAnsi="宋体" w:eastAsia="仿宋_GB2312"/>
                <w:kern w:val="0"/>
                <w:sz w:val="32"/>
                <w:szCs w:val="32"/>
              </w:rPr>
            </w:pPr>
          </w:p>
        </w:tc>
        <w:tc>
          <w:tcPr>
            <w:tcW w:w="102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rPr>
              <w:t>科技条件与服务</w:t>
            </w:r>
          </w:p>
        </w:tc>
        <w:tc>
          <w:tcPr>
            <w:tcW w:w="1103" w:type="dxa"/>
            <w:vAlign w:val="center"/>
          </w:tcPr>
          <w:p>
            <w:pPr>
              <w:widowControl/>
              <w:spacing w:line="280" w:lineRule="exact"/>
              <w:jc w:val="right"/>
              <w:rPr>
                <w:rFonts w:ascii="仿宋_GB2312" w:hAnsi="宋体" w:eastAsia="仿宋_GB2312"/>
                <w:kern w:val="0"/>
                <w:sz w:val="20"/>
                <w:szCs w:val="20"/>
              </w:rPr>
            </w:pPr>
          </w:p>
        </w:tc>
        <w:tc>
          <w:tcPr>
            <w:tcW w:w="607" w:type="dxa"/>
            <w:vAlign w:val="center"/>
          </w:tcPr>
          <w:p>
            <w:pPr>
              <w:widowControl/>
              <w:spacing w:line="280" w:lineRule="exact"/>
              <w:jc w:val="right"/>
              <w:rPr>
                <w:rFonts w:ascii="仿宋_GB2312" w:hAnsi="宋体" w:eastAsia="仿宋_GB2312"/>
                <w:kern w:val="0"/>
                <w:sz w:val="32"/>
                <w:szCs w:val="32"/>
              </w:rPr>
            </w:pPr>
            <w:r>
              <w:rPr>
                <w:rFonts w:hint="eastAsia" w:ascii="宋体" w:hAnsi="宋体" w:cs="宋体"/>
                <w:b w:val="0"/>
                <w:bCs w:val="0"/>
                <w:color w:val="000000"/>
                <w:kern w:val="0"/>
                <w:sz w:val="20"/>
                <w:szCs w:val="20"/>
                <w:lang w:val="en-US" w:eastAsia="zh-CN"/>
              </w:rPr>
              <w:t>50</w:t>
            </w:r>
          </w:p>
        </w:tc>
        <w:tc>
          <w:tcPr>
            <w:tcW w:w="600" w:type="dxa"/>
            <w:vAlign w:val="top"/>
          </w:tcPr>
          <w:p>
            <w:pPr>
              <w:widowControl/>
              <w:jc w:val="right"/>
              <w:outlineLvl w:val="1"/>
              <w:rPr>
                <w:rFonts w:ascii="仿宋_GB2312" w:hAnsi="宋体" w:eastAsia="仿宋_GB2312"/>
                <w:kern w:val="0"/>
                <w:sz w:val="32"/>
                <w:szCs w:val="32"/>
              </w:rPr>
            </w:pPr>
          </w:p>
        </w:tc>
        <w:tc>
          <w:tcPr>
            <w:tcW w:w="648" w:type="dxa"/>
            <w:vAlign w:val="center"/>
          </w:tcPr>
          <w:p>
            <w:pPr>
              <w:widowControl/>
              <w:spacing w:line="280" w:lineRule="exact"/>
              <w:jc w:val="right"/>
              <w:rPr>
                <w:rFonts w:ascii="仿宋_GB2312" w:hAnsi="宋体" w:eastAsia="仿宋_GB2312"/>
                <w:kern w:val="0"/>
                <w:sz w:val="32"/>
                <w:szCs w:val="32"/>
              </w:rPr>
            </w:pPr>
            <w:r>
              <w:rPr>
                <w:rFonts w:hint="eastAsia" w:ascii="宋体" w:hAnsi="宋体" w:cs="宋体"/>
                <w:b w:val="0"/>
                <w:bCs w:val="0"/>
                <w:color w:val="000000"/>
                <w:kern w:val="0"/>
                <w:sz w:val="20"/>
                <w:szCs w:val="20"/>
                <w:lang w:val="en-US" w:eastAsia="zh-CN"/>
              </w:rPr>
              <w:t>50</w:t>
            </w: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615"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206</w:t>
            </w:r>
          </w:p>
        </w:tc>
        <w:tc>
          <w:tcPr>
            <w:tcW w:w="48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05</w:t>
            </w:r>
          </w:p>
        </w:tc>
        <w:tc>
          <w:tcPr>
            <w:tcW w:w="42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99</w:t>
            </w:r>
          </w:p>
        </w:tc>
        <w:tc>
          <w:tcPr>
            <w:tcW w:w="1020"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rPr>
              <w:t>其他科技条件与服务支出</w:t>
            </w:r>
          </w:p>
        </w:tc>
        <w:tc>
          <w:tcPr>
            <w:tcW w:w="1103" w:type="dxa"/>
            <w:vAlign w:val="center"/>
          </w:tcPr>
          <w:p>
            <w:pPr>
              <w:widowControl/>
              <w:spacing w:line="280" w:lineRule="exact"/>
              <w:jc w:val="right"/>
              <w:rPr>
                <w:rFonts w:ascii="仿宋_GB2312" w:hAnsi="宋体" w:eastAsia="仿宋_GB2312"/>
                <w:kern w:val="0"/>
                <w:sz w:val="20"/>
                <w:szCs w:val="20"/>
              </w:rPr>
            </w:pPr>
            <w:r>
              <w:rPr>
                <w:rFonts w:hint="eastAsia" w:ascii="仿宋_GB2312" w:hAnsi="宋体" w:eastAsia="仿宋_GB2312"/>
                <w:kern w:val="0"/>
                <w:sz w:val="20"/>
                <w:szCs w:val="20"/>
              </w:rPr>
              <w:t>专家顾问服务中心工作经费</w:t>
            </w:r>
          </w:p>
        </w:tc>
        <w:tc>
          <w:tcPr>
            <w:tcW w:w="607" w:type="dxa"/>
            <w:vAlign w:val="center"/>
          </w:tcPr>
          <w:p>
            <w:pPr>
              <w:widowControl/>
              <w:spacing w:line="280" w:lineRule="exact"/>
              <w:jc w:val="right"/>
              <w:rPr>
                <w:rFonts w:ascii="仿宋_GB2312" w:hAnsi="宋体" w:eastAsia="仿宋_GB2312"/>
                <w:kern w:val="0"/>
                <w:sz w:val="32"/>
                <w:szCs w:val="32"/>
              </w:rPr>
            </w:pPr>
            <w:r>
              <w:rPr>
                <w:rFonts w:hint="eastAsia" w:ascii="宋体" w:hAnsi="宋体" w:cs="宋体"/>
                <w:b w:val="0"/>
                <w:bCs w:val="0"/>
                <w:color w:val="000000"/>
                <w:kern w:val="0"/>
                <w:sz w:val="20"/>
                <w:szCs w:val="20"/>
                <w:lang w:val="en-US" w:eastAsia="zh-CN"/>
              </w:rPr>
              <w:t>50</w:t>
            </w:r>
          </w:p>
        </w:tc>
        <w:tc>
          <w:tcPr>
            <w:tcW w:w="600" w:type="dxa"/>
            <w:vAlign w:val="top"/>
          </w:tcPr>
          <w:p>
            <w:pPr>
              <w:widowControl/>
              <w:jc w:val="right"/>
              <w:outlineLvl w:val="1"/>
              <w:rPr>
                <w:rFonts w:ascii="仿宋_GB2312" w:hAnsi="宋体" w:eastAsia="仿宋_GB2312"/>
                <w:kern w:val="0"/>
                <w:sz w:val="32"/>
                <w:szCs w:val="32"/>
              </w:rPr>
            </w:pPr>
          </w:p>
        </w:tc>
        <w:tc>
          <w:tcPr>
            <w:tcW w:w="648" w:type="dxa"/>
            <w:vAlign w:val="center"/>
          </w:tcPr>
          <w:p>
            <w:pPr>
              <w:widowControl/>
              <w:spacing w:line="280" w:lineRule="exact"/>
              <w:jc w:val="right"/>
              <w:rPr>
                <w:rFonts w:ascii="仿宋_GB2312" w:hAnsi="宋体" w:eastAsia="仿宋_GB2312"/>
                <w:kern w:val="0"/>
                <w:sz w:val="32"/>
                <w:szCs w:val="32"/>
              </w:rPr>
            </w:pPr>
            <w:r>
              <w:rPr>
                <w:rFonts w:hint="eastAsia" w:ascii="宋体" w:hAnsi="宋体" w:cs="宋体"/>
                <w:b w:val="0"/>
                <w:bCs w:val="0"/>
                <w:color w:val="000000"/>
                <w:kern w:val="0"/>
                <w:sz w:val="20"/>
                <w:szCs w:val="20"/>
                <w:lang w:val="en-US" w:eastAsia="zh-CN"/>
              </w:rPr>
              <w:t>50</w:t>
            </w: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615" w:type="dxa"/>
            <w:vAlign w:val="top"/>
          </w:tcPr>
          <w:p>
            <w:pPr>
              <w:widowControl/>
              <w:jc w:val="center"/>
              <w:outlineLvl w:val="1"/>
              <w:rPr>
                <w:rFonts w:ascii="仿宋_GB2312" w:hAnsi="宋体" w:eastAsia="仿宋_GB2312"/>
                <w:kern w:val="0"/>
                <w:sz w:val="32"/>
                <w:szCs w:val="32"/>
              </w:rPr>
            </w:pPr>
          </w:p>
        </w:tc>
        <w:tc>
          <w:tcPr>
            <w:tcW w:w="480" w:type="dxa"/>
            <w:vAlign w:val="top"/>
          </w:tcPr>
          <w:p>
            <w:pPr>
              <w:widowControl/>
              <w:jc w:val="center"/>
              <w:outlineLvl w:val="1"/>
              <w:rPr>
                <w:rFonts w:ascii="仿宋_GB2312" w:hAnsi="宋体" w:eastAsia="仿宋_GB2312"/>
                <w:kern w:val="0"/>
                <w:sz w:val="32"/>
                <w:szCs w:val="32"/>
              </w:rPr>
            </w:pPr>
          </w:p>
        </w:tc>
        <w:tc>
          <w:tcPr>
            <w:tcW w:w="420" w:type="dxa"/>
            <w:vAlign w:val="top"/>
          </w:tcPr>
          <w:p>
            <w:pPr>
              <w:widowControl/>
              <w:jc w:val="center"/>
              <w:outlineLvl w:val="1"/>
              <w:rPr>
                <w:rFonts w:ascii="仿宋_GB2312" w:hAnsi="宋体" w:eastAsia="仿宋_GB2312"/>
                <w:kern w:val="0"/>
                <w:sz w:val="32"/>
                <w:szCs w:val="32"/>
              </w:rPr>
            </w:pPr>
          </w:p>
        </w:tc>
        <w:tc>
          <w:tcPr>
            <w:tcW w:w="1020" w:type="dxa"/>
            <w:vAlign w:val="top"/>
          </w:tcPr>
          <w:p>
            <w:pPr>
              <w:widowControl/>
              <w:jc w:val="center"/>
              <w:outlineLvl w:val="1"/>
              <w:rPr>
                <w:rFonts w:ascii="仿宋_GB2312" w:hAnsi="宋体" w:eastAsia="仿宋_GB2312"/>
                <w:kern w:val="0"/>
                <w:sz w:val="32"/>
                <w:szCs w:val="32"/>
              </w:rPr>
            </w:pPr>
          </w:p>
        </w:tc>
        <w:tc>
          <w:tcPr>
            <w:tcW w:w="1103" w:type="dxa"/>
            <w:vAlign w:val="top"/>
          </w:tcPr>
          <w:p>
            <w:pPr>
              <w:widowControl/>
              <w:jc w:val="center"/>
              <w:outlineLvl w:val="1"/>
              <w:rPr>
                <w:rFonts w:ascii="仿宋_GB2312" w:hAnsi="宋体" w:eastAsia="仿宋_GB2312"/>
                <w:kern w:val="0"/>
                <w:sz w:val="32"/>
                <w:szCs w:val="32"/>
              </w:rPr>
            </w:pPr>
          </w:p>
        </w:tc>
        <w:tc>
          <w:tcPr>
            <w:tcW w:w="607" w:type="dxa"/>
            <w:vAlign w:val="top"/>
          </w:tcPr>
          <w:p>
            <w:pPr>
              <w:widowControl/>
              <w:jc w:val="right"/>
              <w:outlineLvl w:val="1"/>
              <w:rPr>
                <w:rFonts w:ascii="仿宋_GB2312" w:hAnsi="宋体" w:eastAsia="仿宋_GB2312"/>
                <w:kern w:val="0"/>
                <w:sz w:val="32"/>
                <w:szCs w:val="32"/>
              </w:rPr>
            </w:pPr>
          </w:p>
        </w:tc>
        <w:tc>
          <w:tcPr>
            <w:tcW w:w="600" w:type="dxa"/>
            <w:vAlign w:val="top"/>
          </w:tcPr>
          <w:p>
            <w:pPr>
              <w:widowControl/>
              <w:jc w:val="right"/>
              <w:outlineLvl w:val="1"/>
              <w:rPr>
                <w:rFonts w:ascii="仿宋_GB2312" w:hAnsi="宋体" w:eastAsia="仿宋_GB2312"/>
                <w:kern w:val="0"/>
                <w:sz w:val="32"/>
                <w:szCs w:val="32"/>
              </w:rPr>
            </w:pPr>
          </w:p>
        </w:tc>
        <w:tc>
          <w:tcPr>
            <w:tcW w:w="648"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615" w:type="dxa"/>
            <w:vAlign w:val="top"/>
          </w:tcPr>
          <w:p>
            <w:pPr>
              <w:widowControl/>
              <w:jc w:val="center"/>
              <w:outlineLvl w:val="1"/>
              <w:rPr>
                <w:rFonts w:ascii="仿宋_GB2312" w:hAnsi="宋体" w:eastAsia="仿宋_GB2312"/>
                <w:kern w:val="0"/>
                <w:sz w:val="32"/>
                <w:szCs w:val="32"/>
              </w:rPr>
            </w:pPr>
          </w:p>
        </w:tc>
        <w:tc>
          <w:tcPr>
            <w:tcW w:w="480" w:type="dxa"/>
            <w:vAlign w:val="top"/>
          </w:tcPr>
          <w:p>
            <w:pPr>
              <w:widowControl/>
              <w:jc w:val="center"/>
              <w:outlineLvl w:val="1"/>
              <w:rPr>
                <w:rFonts w:ascii="仿宋_GB2312" w:hAnsi="宋体" w:eastAsia="仿宋_GB2312"/>
                <w:kern w:val="0"/>
                <w:sz w:val="32"/>
                <w:szCs w:val="32"/>
              </w:rPr>
            </w:pPr>
          </w:p>
        </w:tc>
        <w:tc>
          <w:tcPr>
            <w:tcW w:w="420" w:type="dxa"/>
            <w:vAlign w:val="top"/>
          </w:tcPr>
          <w:p>
            <w:pPr>
              <w:widowControl/>
              <w:jc w:val="center"/>
              <w:outlineLvl w:val="1"/>
              <w:rPr>
                <w:rFonts w:ascii="仿宋_GB2312" w:hAnsi="宋体" w:eastAsia="仿宋_GB2312"/>
                <w:kern w:val="0"/>
                <w:sz w:val="32"/>
                <w:szCs w:val="32"/>
              </w:rPr>
            </w:pPr>
          </w:p>
        </w:tc>
        <w:tc>
          <w:tcPr>
            <w:tcW w:w="1020" w:type="dxa"/>
            <w:vAlign w:val="top"/>
          </w:tcPr>
          <w:p>
            <w:pPr>
              <w:widowControl/>
              <w:jc w:val="center"/>
              <w:outlineLvl w:val="1"/>
              <w:rPr>
                <w:rFonts w:ascii="仿宋_GB2312" w:hAnsi="宋体" w:eastAsia="仿宋_GB2312"/>
                <w:kern w:val="0"/>
                <w:sz w:val="32"/>
                <w:szCs w:val="32"/>
              </w:rPr>
            </w:pPr>
          </w:p>
        </w:tc>
        <w:tc>
          <w:tcPr>
            <w:tcW w:w="1103" w:type="dxa"/>
            <w:vAlign w:val="top"/>
          </w:tcPr>
          <w:p>
            <w:pPr>
              <w:widowControl/>
              <w:jc w:val="center"/>
              <w:outlineLvl w:val="1"/>
              <w:rPr>
                <w:rFonts w:ascii="仿宋_GB2312" w:hAnsi="宋体" w:eastAsia="仿宋_GB2312"/>
                <w:kern w:val="0"/>
                <w:sz w:val="32"/>
                <w:szCs w:val="32"/>
              </w:rPr>
            </w:pPr>
          </w:p>
        </w:tc>
        <w:tc>
          <w:tcPr>
            <w:tcW w:w="607" w:type="dxa"/>
            <w:vAlign w:val="top"/>
          </w:tcPr>
          <w:p>
            <w:pPr>
              <w:widowControl/>
              <w:jc w:val="right"/>
              <w:outlineLvl w:val="1"/>
              <w:rPr>
                <w:rFonts w:ascii="仿宋_GB2312" w:hAnsi="宋体" w:eastAsia="仿宋_GB2312"/>
                <w:kern w:val="0"/>
                <w:sz w:val="32"/>
                <w:szCs w:val="32"/>
              </w:rPr>
            </w:pPr>
          </w:p>
        </w:tc>
        <w:tc>
          <w:tcPr>
            <w:tcW w:w="600" w:type="dxa"/>
            <w:vAlign w:val="top"/>
          </w:tcPr>
          <w:p>
            <w:pPr>
              <w:widowControl/>
              <w:jc w:val="right"/>
              <w:outlineLvl w:val="1"/>
              <w:rPr>
                <w:rFonts w:ascii="仿宋_GB2312" w:hAnsi="宋体" w:eastAsia="仿宋_GB2312"/>
                <w:kern w:val="0"/>
                <w:sz w:val="32"/>
                <w:szCs w:val="32"/>
              </w:rPr>
            </w:pPr>
          </w:p>
        </w:tc>
        <w:tc>
          <w:tcPr>
            <w:tcW w:w="648"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615" w:type="dxa"/>
            <w:vAlign w:val="top"/>
          </w:tcPr>
          <w:p>
            <w:pPr>
              <w:widowControl/>
              <w:jc w:val="center"/>
              <w:outlineLvl w:val="1"/>
              <w:rPr>
                <w:rFonts w:ascii="仿宋_GB2312" w:hAnsi="宋体" w:eastAsia="仿宋_GB2312"/>
                <w:kern w:val="0"/>
                <w:sz w:val="32"/>
                <w:szCs w:val="32"/>
              </w:rPr>
            </w:pPr>
          </w:p>
        </w:tc>
        <w:tc>
          <w:tcPr>
            <w:tcW w:w="480" w:type="dxa"/>
            <w:vAlign w:val="top"/>
          </w:tcPr>
          <w:p>
            <w:pPr>
              <w:widowControl/>
              <w:jc w:val="center"/>
              <w:outlineLvl w:val="1"/>
              <w:rPr>
                <w:rFonts w:ascii="仿宋_GB2312" w:hAnsi="宋体" w:eastAsia="仿宋_GB2312"/>
                <w:kern w:val="0"/>
                <w:sz w:val="32"/>
                <w:szCs w:val="32"/>
              </w:rPr>
            </w:pPr>
          </w:p>
        </w:tc>
        <w:tc>
          <w:tcPr>
            <w:tcW w:w="420" w:type="dxa"/>
            <w:vAlign w:val="top"/>
          </w:tcPr>
          <w:p>
            <w:pPr>
              <w:widowControl/>
              <w:jc w:val="center"/>
              <w:outlineLvl w:val="1"/>
              <w:rPr>
                <w:rFonts w:ascii="仿宋_GB2312" w:hAnsi="宋体" w:eastAsia="仿宋_GB2312"/>
                <w:kern w:val="0"/>
                <w:sz w:val="32"/>
                <w:szCs w:val="32"/>
              </w:rPr>
            </w:pPr>
          </w:p>
        </w:tc>
        <w:tc>
          <w:tcPr>
            <w:tcW w:w="1020" w:type="dxa"/>
            <w:vAlign w:val="top"/>
          </w:tcPr>
          <w:p>
            <w:pPr>
              <w:widowControl/>
              <w:jc w:val="center"/>
              <w:outlineLvl w:val="1"/>
              <w:rPr>
                <w:rFonts w:ascii="仿宋_GB2312" w:hAnsi="宋体" w:eastAsia="仿宋_GB2312"/>
                <w:kern w:val="0"/>
                <w:sz w:val="32"/>
                <w:szCs w:val="32"/>
              </w:rPr>
            </w:pPr>
          </w:p>
        </w:tc>
        <w:tc>
          <w:tcPr>
            <w:tcW w:w="1103" w:type="dxa"/>
            <w:vAlign w:val="top"/>
          </w:tcPr>
          <w:p>
            <w:pPr>
              <w:widowControl/>
              <w:jc w:val="center"/>
              <w:outlineLvl w:val="1"/>
              <w:rPr>
                <w:rFonts w:ascii="仿宋_GB2312" w:hAnsi="宋体" w:eastAsia="仿宋_GB2312"/>
                <w:kern w:val="0"/>
                <w:sz w:val="32"/>
                <w:szCs w:val="32"/>
              </w:rPr>
            </w:pPr>
          </w:p>
        </w:tc>
        <w:tc>
          <w:tcPr>
            <w:tcW w:w="607" w:type="dxa"/>
            <w:vAlign w:val="top"/>
          </w:tcPr>
          <w:p>
            <w:pPr>
              <w:widowControl/>
              <w:jc w:val="right"/>
              <w:outlineLvl w:val="1"/>
              <w:rPr>
                <w:rFonts w:ascii="仿宋_GB2312" w:hAnsi="宋体" w:eastAsia="仿宋_GB2312"/>
                <w:kern w:val="0"/>
                <w:sz w:val="32"/>
                <w:szCs w:val="32"/>
              </w:rPr>
            </w:pPr>
          </w:p>
        </w:tc>
        <w:tc>
          <w:tcPr>
            <w:tcW w:w="600" w:type="dxa"/>
            <w:vAlign w:val="top"/>
          </w:tcPr>
          <w:p>
            <w:pPr>
              <w:widowControl/>
              <w:jc w:val="right"/>
              <w:outlineLvl w:val="1"/>
              <w:rPr>
                <w:rFonts w:ascii="仿宋_GB2312" w:hAnsi="宋体" w:eastAsia="仿宋_GB2312"/>
                <w:kern w:val="0"/>
                <w:sz w:val="32"/>
                <w:szCs w:val="32"/>
              </w:rPr>
            </w:pPr>
          </w:p>
        </w:tc>
        <w:tc>
          <w:tcPr>
            <w:tcW w:w="648"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615" w:type="dxa"/>
            <w:vAlign w:val="top"/>
          </w:tcPr>
          <w:p>
            <w:pPr>
              <w:widowControl/>
              <w:jc w:val="center"/>
              <w:outlineLvl w:val="1"/>
              <w:rPr>
                <w:rFonts w:ascii="仿宋_GB2312" w:hAnsi="宋体" w:eastAsia="仿宋_GB2312"/>
                <w:kern w:val="0"/>
                <w:sz w:val="32"/>
                <w:szCs w:val="32"/>
              </w:rPr>
            </w:pPr>
          </w:p>
        </w:tc>
        <w:tc>
          <w:tcPr>
            <w:tcW w:w="480" w:type="dxa"/>
            <w:vAlign w:val="top"/>
          </w:tcPr>
          <w:p>
            <w:pPr>
              <w:widowControl/>
              <w:jc w:val="center"/>
              <w:outlineLvl w:val="1"/>
              <w:rPr>
                <w:rFonts w:ascii="仿宋_GB2312" w:hAnsi="宋体" w:eastAsia="仿宋_GB2312"/>
                <w:kern w:val="0"/>
                <w:sz w:val="32"/>
                <w:szCs w:val="32"/>
              </w:rPr>
            </w:pPr>
          </w:p>
        </w:tc>
        <w:tc>
          <w:tcPr>
            <w:tcW w:w="420" w:type="dxa"/>
            <w:vAlign w:val="top"/>
          </w:tcPr>
          <w:p>
            <w:pPr>
              <w:widowControl/>
              <w:jc w:val="center"/>
              <w:outlineLvl w:val="1"/>
              <w:rPr>
                <w:rFonts w:ascii="仿宋_GB2312" w:hAnsi="宋体" w:eastAsia="仿宋_GB2312"/>
                <w:kern w:val="0"/>
                <w:sz w:val="32"/>
                <w:szCs w:val="32"/>
              </w:rPr>
            </w:pPr>
          </w:p>
        </w:tc>
        <w:tc>
          <w:tcPr>
            <w:tcW w:w="1020" w:type="dxa"/>
            <w:vAlign w:val="top"/>
          </w:tcPr>
          <w:p>
            <w:pPr>
              <w:widowControl/>
              <w:jc w:val="center"/>
              <w:outlineLvl w:val="1"/>
              <w:rPr>
                <w:rFonts w:ascii="仿宋_GB2312" w:hAnsi="宋体" w:eastAsia="仿宋_GB2312"/>
                <w:kern w:val="0"/>
                <w:sz w:val="32"/>
                <w:szCs w:val="32"/>
              </w:rPr>
            </w:pPr>
          </w:p>
        </w:tc>
        <w:tc>
          <w:tcPr>
            <w:tcW w:w="1103" w:type="dxa"/>
            <w:vAlign w:val="top"/>
          </w:tcPr>
          <w:p>
            <w:pPr>
              <w:widowControl/>
              <w:jc w:val="center"/>
              <w:outlineLvl w:val="1"/>
              <w:rPr>
                <w:rFonts w:ascii="仿宋_GB2312" w:hAnsi="宋体" w:eastAsia="仿宋_GB2312"/>
                <w:kern w:val="0"/>
                <w:sz w:val="32"/>
                <w:szCs w:val="32"/>
              </w:rPr>
            </w:pPr>
          </w:p>
        </w:tc>
        <w:tc>
          <w:tcPr>
            <w:tcW w:w="607" w:type="dxa"/>
            <w:vAlign w:val="top"/>
          </w:tcPr>
          <w:p>
            <w:pPr>
              <w:widowControl/>
              <w:jc w:val="right"/>
              <w:outlineLvl w:val="1"/>
              <w:rPr>
                <w:rFonts w:ascii="仿宋_GB2312" w:hAnsi="宋体" w:eastAsia="仿宋_GB2312"/>
                <w:kern w:val="0"/>
                <w:sz w:val="32"/>
                <w:szCs w:val="32"/>
              </w:rPr>
            </w:pPr>
          </w:p>
        </w:tc>
        <w:tc>
          <w:tcPr>
            <w:tcW w:w="600" w:type="dxa"/>
            <w:vAlign w:val="top"/>
          </w:tcPr>
          <w:p>
            <w:pPr>
              <w:widowControl/>
              <w:jc w:val="right"/>
              <w:outlineLvl w:val="1"/>
              <w:rPr>
                <w:rFonts w:ascii="仿宋_GB2312" w:hAnsi="宋体" w:eastAsia="仿宋_GB2312"/>
                <w:kern w:val="0"/>
                <w:sz w:val="32"/>
                <w:szCs w:val="32"/>
              </w:rPr>
            </w:pPr>
          </w:p>
        </w:tc>
        <w:tc>
          <w:tcPr>
            <w:tcW w:w="648"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615" w:type="dxa"/>
            <w:vAlign w:val="top"/>
          </w:tcPr>
          <w:p>
            <w:pPr>
              <w:widowControl/>
              <w:jc w:val="center"/>
              <w:outlineLvl w:val="1"/>
              <w:rPr>
                <w:rFonts w:ascii="仿宋_GB2312" w:hAnsi="宋体" w:eastAsia="仿宋_GB2312"/>
                <w:kern w:val="0"/>
                <w:sz w:val="32"/>
                <w:szCs w:val="32"/>
              </w:rPr>
            </w:pPr>
          </w:p>
        </w:tc>
        <w:tc>
          <w:tcPr>
            <w:tcW w:w="480" w:type="dxa"/>
            <w:vAlign w:val="top"/>
          </w:tcPr>
          <w:p>
            <w:pPr>
              <w:widowControl/>
              <w:jc w:val="center"/>
              <w:outlineLvl w:val="1"/>
              <w:rPr>
                <w:rFonts w:ascii="仿宋_GB2312" w:hAnsi="宋体" w:eastAsia="仿宋_GB2312"/>
                <w:kern w:val="0"/>
                <w:sz w:val="32"/>
                <w:szCs w:val="32"/>
              </w:rPr>
            </w:pPr>
          </w:p>
        </w:tc>
        <w:tc>
          <w:tcPr>
            <w:tcW w:w="420" w:type="dxa"/>
            <w:vAlign w:val="top"/>
          </w:tcPr>
          <w:p>
            <w:pPr>
              <w:widowControl/>
              <w:jc w:val="center"/>
              <w:outlineLvl w:val="1"/>
              <w:rPr>
                <w:rFonts w:ascii="仿宋_GB2312" w:hAnsi="宋体" w:eastAsia="仿宋_GB2312"/>
                <w:kern w:val="0"/>
                <w:sz w:val="32"/>
                <w:szCs w:val="32"/>
              </w:rPr>
            </w:pPr>
          </w:p>
        </w:tc>
        <w:tc>
          <w:tcPr>
            <w:tcW w:w="1020" w:type="dxa"/>
            <w:vAlign w:val="top"/>
          </w:tcPr>
          <w:p>
            <w:pPr>
              <w:widowControl/>
              <w:jc w:val="center"/>
              <w:outlineLvl w:val="1"/>
              <w:rPr>
                <w:rFonts w:ascii="仿宋_GB2312" w:hAnsi="宋体" w:eastAsia="仿宋_GB2312"/>
                <w:kern w:val="0"/>
                <w:sz w:val="32"/>
                <w:szCs w:val="32"/>
              </w:rPr>
            </w:pPr>
          </w:p>
        </w:tc>
        <w:tc>
          <w:tcPr>
            <w:tcW w:w="1103" w:type="dxa"/>
            <w:vAlign w:val="top"/>
          </w:tcPr>
          <w:p>
            <w:pPr>
              <w:widowControl/>
              <w:jc w:val="center"/>
              <w:outlineLvl w:val="1"/>
              <w:rPr>
                <w:rFonts w:ascii="仿宋_GB2312" w:hAnsi="宋体" w:eastAsia="仿宋_GB2312"/>
                <w:kern w:val="0"/>
                <w:sz w:val="32"/>
                <w:szCs w:val="32"/>
              </w:rPr>
            </w:pPr>
          </w:p>
        </w:tc>
        <w:tc>
          <w:tcPr>
            <w:tcW w:w="607" w:type="dxa"/>
            <w:vAlign w:val="top"/>
          </w:tcPr>
          <w:p>
            <w:pPr>
              <w:widowControl/>
              <w:jc w:val="right"/>
              <w:outlineLvl w:val="1"/>
              <w:rPr>
                <w:rFonts w:ascii="仿宋_GB2312" w:hAnsi="宋体" w:eastAsia="仿宋_GB2312"/>
                <w:kern w:val="0"/>
                <w:sz w:val="32"/>
                <w:szCs w:val="32"/>
              </w:rPr>
            </w:pPr>
          </w:p>
        </w:tc>
        <w:tc>
          <w:tcPr>
            <w:tcW w:w="600" w:type="dxa"/>
            <w:vAlign w:val="top"/>
          </w:tcPr>
          <w:p>
            <w:pPr>
              <w:widowControl/>
              <w:jc w:val="right"/>
              <w:outlineLvl w:val="1"/>
              <w:rPr>
                <w:rFonts w:ascii="仿宋_GB2312" w:hAnsi="宋体" w:eastAsia="仿宋_GB2312"/>
                <w:kern w:val="0"/>
                <w:sz w:val="32"/>
                <w:szCs w:val="32"/>
              </w:rPr>
            </w:pPr>
          </w:p>
        </w:tc>
        <w:tc>
          <w:tcPr>
            <w:tcW w:w="648"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615" w:type="dxa"/>
            <w:vAlign w:val="top"/>
          </w:tcPr>
          <w:p>
            <w:pPr>
              <w:widowControl/>
              <w:jc w:val="center"/>
              <w:outlineLvl w:val="1"/>
              <w:rPr>
                <w:rFonts w:ascii="仿宋_GB2312" w:hAnsi="宋体" w:eastAsia="仿宋_GB2312"/>
                <w:kern w:val="0"/>
                <w:sz w:val="32"/>
                <w:szCs w:val="32"/>
              </w:rPr>
            </w:pPr>
          </w:p>
        </w:tc>
        <w:tc>
          <w:tcPr>
            <w:tcW w:w="480" w:type="dxa"/>
            <w:vAlign w:val="top"/>
          </w:tcPr>
          <w:p>
            <w:pPr>
              <w:widowControl/>
              <w:jc w:val="center"/>
              <w:outlineLvl w:val="1"/>
              <w:rPr>
                <w:rFonts w:ascii="仿宋_GB2312" w:hAnsi="宋体" w:eastAsia="仿宋_GB2312"/>
                <w:kern w:val="0"/>
                <w:sz w:val="32"/>
                <w:szCs w:val="32"/>
              </w:rPr>
            </w:pPr>
          </w:p>
        </w:tc>
        <w:tc>
          <w:tcPr>
            <w:tcW w:w="420" w:type="dxa"/>
            <w:vAlign w:val="top"/>
          </w:tcPr>
          <w:p>
            <w:pPr>
              <w:widowControl/>
              <w:jc w:val="center"/>
              <w:outlineLvl w:val="1"/>
              <w:rPr>
                <w:rFonts w:ascii="仿宋_GB2312" w:hAnsi="宋体" w:eastAsia="仿宋_GB2312"/>
                <w:kern w:val="0"/>
                <w:sz w:val="32"/>
                <w:szCs w:val="32"/>
              </w:rPr>
            </w:pPr>
          </w:p>
        </w:tc>
        <w:tc>
          <w:tcPr>
            <w:tcW w:w="1020" w:type="dxa"/>
            <w:vAlign w:val="top"/>
          </w:tcPr>
          <w:p>
            <w:pPr>
              <w:widowControl/>
              <w:jc w:val="center"/>
              <w:outlineLvl w:val="1"/>
              <w:rPr>
                <w:rFonts w:ascii="仿宋_GB2312" w:hAnsi="宋体" w:eastAsia="仿宋_GB2312"/>
                <w:kern w:val="0"/>
                <w:sz w:val="32"/>
                <w:szCs w:val="32"/>
              </w:rPr>
            </w:pPr>
          </w:p>
        </w:tc>
        <w:tc>
          <w:tcPr>
            <w:tcW w:w="1103"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607" w:type="dxa"/>
            <w:vAlign w:val="center"/>
          </w:tcPr>
          <w:p>
            <w:pPr>
              <w:widowControl/>
              <w:spacing w:line="280" w:lineRule="exact"/>
              <w:jc w:val="right"/>
              <w:rPr>
                <w:rFonts w:ascii="仿宋_GB2312" w:hAnsi="宋体" w:eastAsia="仿宋_GB2312"/>
                <w:kern w:val="0"/>
                <w:szCs w:val="21"/>
              </w:rPr>
            </w:pPr>
            <w:r>
              <w:rPr>
                <w:rFonts w:hint="eastAsia" w:ascii="宋体" w:hAnsi="宋体" w:cs="宋体"/>
                <w:b w:val="0"/>
                <w:bCs w:val="0"/>
                <w:color w:val="000000"/>
                <w:kern w:val="0"/>
                <w:sz w:val="20"/>
                <w:szCs w:val="20"/>
                <w:lang w:val="en-US" w:eastAsia="zh-CN"/>
              </w:rPr>
              <w:t>60</w:t>
            </w:r>
          </w:p>
        </w:tc>
        <w:tc>
          <w:tcPr>
            <w:tcW w:w="600" w:type="dxa"/>
            <w:vAlign w:val="top"/>
          </w:tcPr>
          <w:p>
            <w:pPr>
              <w:widowControl/>
              <w:jc w:val="right"/>
              <w:outlineLvl w:val="1"/>
              <w:rPr>
                <w:rFonts w:ascii="仿宋_GB2312" w:hAnsi="宋体" w:eastAsia="仿宋_GB2312"/>
                <w:kern w:val="0"/>
                <w:sz w:val="32"/>
                <w:szCs w:val="32"/>
              </w:rPr>
            </w:pPr>
          </w:p>
        </w:tc>
        <w:tc>
          <w:tcPr>
            <w:tcW w:w="648" w:type="dxa"/>
            <w:vAlign w:val="center"/>
          </w:tcPr>
          <w:p>
            <w:pPr>
              <w:widowControl/>
              <w:spacing w:line="280" w:lineRule="exact"/>
              <w:jc w:val="right"/>
              <w:rPr>
                <w:rFonts w:ascii="仿宋_GB2312" w:hAnsi="宋体" w:eastAsia="仿宋_GB2312"/>
                <w:kern w:val="0"/>
                <w:sz w:val="32"/>
                <w:szCs w:val="32"/>
              </w:rPr>
            </w:pPr>
            <w:r>
              <w:rPr>
                <w:rFonts w:hint="eastAsia" w:ascii="宋体" w:hAnsi="宋体" w:cs="宋体"/>
                <w:b w:val="0"/>
                <w:bCs w:val="0"/>
                <w:color w:val="000000"/>
                <w:kern w:val="0"/>
                <w:sz w:val="20"/>
                <w:szCs w:val="20"/>
                <w:lang w:val="en-US" w:eastAsia="zh-CN"/>
              </w:rPr>
              <w:t>60</w:t>
            </w: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八</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w:t>
      </w:r>
      <w:r>
        <w:rPr>
          <w:rFonts w:hint="eastAsia" w:ascii="仿宋_GB2312" w:hAnsi="宋体" w:eastAsia="仿宋_GB2312"/>
          <w:kern w:val="0"/>
          <w:sz w:val="24"/>
          <w:lang w:val="en-US" w:eastAsia="zh-CN"/>
        </w:rPr>
        <w:t>昌吉州科技局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仿宋_GB2312" w:hAnsi="宋体" w:eastAsia="仿宋_GB2312" w:cs="宋体"/>
                <w:color w:val="000000"/>
                <w:kern w:val="0"/>
                <w:szCs w:val="21"/>
              </w:rPr>
              <w:t>4.78</w:t>
            </w: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仿宋_GB2312" w:hAnsi="宋体" w:eastAsia="仿宋_GB2312" w:cs="宋体"/>
                <w:color w:val="000000"/>
                <w:kern w:val="0"/>
                <w:szCs w:val="21"/>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仿宋_GB2312" w:hAnsi="宋体" w:eastAsia="仿宋_GB2312" w:cs="宋体"/>
                <w:color w:val="000000"/>
                <w:kern w:val="0"/>
                <w:szCs w:val="21"/>
              </w:rPr>
              <w:t>4.3</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仿宋_GB2312" w:hAnsi="宋体" w:eastAsia="仿宋_GB2312" w:cs="宋体"/>
                <w:color w:val="000000"/>
                <w:kern w:val="0"/>
                <w:szCs w:val="21"/>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仿宋_GB2312" w:hAnsi="宋体" w:eastAsia="仿宋_GB2312" w:cs="宋体"/>
                <w:color w:val="000000"/>
                <w:kern w:val="0"/>
                <w:szCs w:val="21"/>
              </w:rPr>
              <w:t>4.3</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仿宋_GB2312" w:hAnsi="宋体" w:eastAsia="仿宋_GB2312" w:cs="宋体"/>
                <w:color w:val="000000"/>
                <w:kern w:val="0"/>
                <w:szCs w:val="21"/>
              </w:rPr>
              <w:t>0.48</w:t>
            </w:r>
          </w:p>
        </w:tc>
      </w:tr>
      <w:tr>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九</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w:t>
      </w:r>
      <w:r>
        <w:rPr>
          <w:rFonts w:hint="eastAsia" w:ascii="仿宋_GB2312" w:hAnsi="宋体" w:eastAsia="仿宋_GB2312"/>
          <w:kern w:val="0"/>
          <w:sz w:val="24"/>
          <w:lang w:val="en-US" w:eastAsia="zh-CN"/>
        </w:rPr>
        <w:t>昌吉州科技局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sectPr>
          <w:footerReference r:id="rId6" w:type="default"/>
          <w:pgSz w:w="11906" w:h="16838"/>
          <w:pgMar w:top="2098" w:right="1531" w:bottom="1984" w:left="1531" w:header="851" w:footer="992" w:gutter="0"/>
          <w:pgNumType w:fmt="numberInDash" w:start="56"/>
          <w:cols w:space="720" w:num="1"/>
          <w:docGrid w:linePitch="312"/>
        </w:sectPr>
      </w:pPr>
      <w:r>
        <w:rPr>
          <w:rFonts w:hint="eastAsia" w:ascii="仿宋_GB2312" w:hAnsi="宋体" w:eastAsia="仿宋_GB2312"/>
          <w:b/>
          <w:kern w:val="0"/>
          <w:sz w:val="28"/>
          <w:szCs w:val="32"/>
        </w:rPr>
        <w:t>备注：我单位无政府性基金预算，此表为空表。</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eastAsia="zh-CN"/>
        </w:rPr>
        <w:t>单位</w:t>
      </w: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val="en-US" w:eastAsia="zh-CN"/>
        </w:rPr>
        <w:t>昌吉州科技局</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昌吉州科技局</w:t>
      </w:r>
      <w:r>
        <w:rPr>
          <w:rFonts w:hint="eastAsia" w:ascii="仿宋_GB2312" w:hAnsi="宋体" w:eastAsia="仿宋_GB2312" w:cs="宋体"/>
          <w:kern w:val="0"/>
          <w:sz w:val="32"/>
          <w:szCs w:val="32"/>
        </w:rPr>
        <w:t>2022年所有收入和支出均纳入</w:t>
      </w:r>
      <w:r>
        <w:rPr>
          <w:rFonts w:hint="eastAsia" w:ascii="仿宋_GB2312" w:hAnsi="宋体" w:eastAsia="仿宋_GB2312" w:cs="宋体"/>
          <w:kern w:val="0"/>
          <w:sz w:val="32"/>
          <w:szCs w:val="32"/>
          <w:lang w:eastAsia="zh-CN"/>
        </w:rPr>
        <w:t>单位</w:t>
      </w:r>
      <w:r>
        <w:rPr>
          <w:rFonts w:hint="eastAsia" w:ascii="仿宋_GB2312" w:hAnsi="宋体" w:eastAsia="仿宋_GB2312" w:cs="宋体"/>
          <w:kern w:val="0"/>
          <w:sz w:val="32"/>
          <w:szCs w:val="32"/>
        </w:rPr>
        <w:t>预算管理。收支总预算</w:t>
      </w:r>
      <w:r>
        <w:rPr>
          <w:rFonts w:hint="eastAsia" w:ascii="仿宋_GB2312" w:hAnsi="宋体" w:eastAsia="仿宋_GB2312" w:cs="宋体"/>
          <w:kern w:val="0"/>
          <w:sz w:val="32"/>
          <w:szCs w:val="32"/>
          <w:lang w:val="en-US" w:eastAsia="zh-CN"/>
        </w:rPr>
        <w:t>399.93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399.93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支出预算包括：科学技术支出</w:t>
      </w:r>
      <w:r>
        <w:rPr>
          <w:rFonts w:hint="eastAsia" w:ascii="仿宋_GB2312" w:hAnsi="宋体" w:eastAsia="仿宋_GB2312" w:cs="宋体"/>
          <w:kern w:val="0"/>
          <w:sz w:val="32"/>
          <w:szCs w:val="32"/>
          <w:lang w:val="en-US" w:eastAsia="zh-CN"/>
        </w:rPr>
        <w:t>399.93</w:t>
      </w:r>
      <w:r>
        <w:rPr>
          <w:rFonts w:hint="eastAsia" w:ascii="仿宋_GB2312" w:hAnsi="宋体" w:eastAsia="仿宋_GB2312" w:cs="宋体"/>
          <w:kern w:val="0"/>
          <w:sz w:val="32"/>
          <w:szCs w:val="32"/>
        </w:rPr>
        <w:t>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val="en-US" w:eastAsia="zh-CN"/>
        </w:rPr>
        <w:t>昌吉州科技局</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昌吉州科技局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399.93</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399.93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13.91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一是在职人员减少，人员经费减少了36.09万元；二是今年将专家顾问服务中心工作经费50万元纳入了项目经费预算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国有资本经营预算未安排。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val="en-US" w:eastAsia="zh-CN"/>
        </w:rPr>
        <w:t>昌吉州科技局</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昌吉州科技局</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399.93万</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339.93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85</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36.09</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9.6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在职人员减少，人员经费、社保缴费等支出减少;</w:t>
      </w:r>
      <w:r>
        <w:rPr>
          <w:rFonts w:hint="eastAsia" w:ascii="仿宋_GB2312" w:hAnsi="宋体" w:eastAsia="仿宋_GB2312" w:cs="宋体"/>
          <w:color w:val="000000"/>
          <w:kern w:val="0"/>
          <w:sz w:val="32"/>
          <w:szCs w:val="32"/>
          <w:highlight w:val="none"/>
          <w:lang w:eastAsia="zh-CN"/>
        </w:rPr>
        <w:t>规范津补贴，取消伙食补助费预算</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60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50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今年将专家顾问服务中心工作经费50万元纳入了项目经费预算</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val="en-US" w:eastAsia="zh-CN"/>
        </w:rPr>
        <w:t>昌吉州科技局</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昌吉州科技局</w:t>
      </w: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399.93</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399.93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w:t>
      </w:r>
      <w:r>
        <w:rPr>
          <w:rFonts w:hint="eastAsia" w:ascii="仿宋_GB2312" w:hAnsi="宋体" w:eastAsia="仿宋_GB2312" w:cs="宋体"/>
          <w:kern w:val="0"/>
          <w:sz w:val="32"/>
          <w:szCs w:val="32"/>
          <w:lang w:val="en-US" w:eastAsia="zh-CN"/>
        </w:rPr>
        <w:t>科学技术</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399.93</w:t>
      </w:r>
      <w:r>
        <w:rPr>
          <w:rFonts w:hint="eastAsia" w:ascii="仿宋_GB2312" w:hAnsi="宋体" w:eastAsia="仿宋_GB2312" w:cs="宋体"/>
          <w:kern w:val="0"/>
          <w:sz w:val="32"/>
          <w:szCs w:val="32"/>
        </w:rPr>
        <w:t>万元，主要用于</w:t>
      </w:r>
      <w:r>
        <w:rPr>
          <w:rFonts w:hint="eastAsia" w:ascii="仿宋_GB2312" w:hAnsi="宋体" w:eastAsia="仿宋_GB2312" w:cs="宋体"/>
          <w:spacing w:val="-6"/>
          <w:kern w:val="0"/>
          <w:sz w:val="32"/>
          <w:szCs w:val="32"/>
        </w:rPr>
        <w:t>基本工资、津贴补贴、奖金、绩效工资、养老保险缴费</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lang w:val="en-US" w:eastAsia="zh-CN"/>
        </w:rPr>
        <w:t>职工医疗保险缴费、公务员医疗补助缴费、其他社会保障缴费、</w:t>
      </w:r>
      <w:r>
        <w:rPr>
          <w:rFonts w:hint="eastAsia" w:ascii="仿宋_GB2312" w:hAnsi="宋体" w:eastAsia="仿宋_GB2312" w:cs="宋体"/>
          <w:spacing w:val="-6"/>
          <w:kern w:val="0"/>
          <w:sz w:val="32"/>
          <w:szCs w:val="32"/>
        </w:rPr>
        <w:t>住房公积金、其他工资福利支出、办公费、邮电费、差旅费、培训费、公务接待费、</w:t>
      </w:r>
      <w:r>
        <w:rPr>
          <w:rFonts w:hint="eastAsia" w:ascii="仿宋_GB2312" w:hAnsi="宋体" w:eastAsia="仿宋_GB2312" w:cs="宋体"/>
          <w:spacing w:val="-6"/>
          <w:kern w:val="0"/>
          <w:sz w:val="32"/>
          <w:szCs w:val="32"/>
          <w:lang w:val="en-US" w:eastAsia="zh-CN"/>
        </w:rPr>
        <w:t>劳务费、</w:t>
      </w:r>
      <w:r>
        <w:rPr>
          <w:rFonts w:hint="eastAsia" w:ascii="仿宋_GB2312" w:hAnsi="宋体" w:eastAsia="仿宋_GB2312" w:cs="宋体"/>
          <w:spacing w:val="-6"/>
          <w:kern w:val="0"/>
          <w:sz w:val="32"/>
          <w:szCs w:val="32"/>
        </w:rPr>
        <w:t>工会经费、福利费、公务用车运行维护费、</w:t>
      </w:r>
      <w:r>
        <w:rPr>
          <w:rFonts w:hint="eastAsia" w:ascii="仿宋_GB2312" w:hAnsi="宋体" w:eastAsia="仿宋_GB2312" w:cs="宋体"/>
          <w:spacing w:val="-6"/>
          <w:kern w:val="0"/>
          <w:sz w:val="32"/>
          <w:szCs w:val="32"/>
          <w:lang w:val="en-US" w:eastAsia="zh-CN"/>
        </w:rPr>
        <w:t>其他</w:t>
      </w:r>
      <w:r>
        <w:rPr>
          <w:rFonts w:hint="eastAsia" w:ascii="仿宋_GB2312" w:hAnsi="宋体" w:eastAsia="仿宋_GB2312" w:cs="宋体"/>
          <w:spacing w:val="-6"/>
          <w:kern w:val="0"/>
          <w:sz w:val="32"/>
          <w:szCs w:val="32"/>
        </w:rPr>
        <w:t>商品和服务支出、</w:t>
      </w:r>
      <w:r>
        <w:rPr>
          <w:rFonts w:hint="eastAsia" w:ascii="仿宋_GB2312" w:hAnsi="宋体" w:eastAsia="仿宋_GB2312" w:cs="宋体"/>
          <w:spacing w:val="-6"/>
          <w:kern w:val="0"/>
          <w:sz w:val="32"/>
          <w:szCs w:val="32"/>
          <w:lang w:val="en-US" w:eastAsia="zh-CN"/>
        </w:rPr>
        <w:t>离休费、医疗费补助、奖励金、</w:t>
      </w:r>
      <w:r>
        <w:rPr>
          <w:rFonts w:hint="eastAsia" w:ascii="仿宋_GB2312" w:hAnsi="宋体" w:eastAsia="仿宋_GB2312" w:cs="宋体"/>
          <w:spacing w:val="-6"/>
          <w:kern w:val="0"/>
          <w:sz w:val="32"/>
          <w:szCs w:val="32"/>
        </w:rPr>
        <w:t>引智工作经费</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lang w:val="en-US" w:eastAsia="zh-CN"/>
        </w:rPr>
        <w:t>专家顾问服务中心工作经费</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昌吉州科技局</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昌吉州科技局</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399.93</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339.93</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36.09</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9.6</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在职人员减少，相应人员经费减少；</w:t>
      </w:r>
      <w:r>
        <w:rPr>
          <w:rFonts w:hint="eastAsia" w:ascii="仿宋_GB2312" w:hAnsi="宋体" w:eastAsia="仿宋_GB2312" w:cs="宋体"/>
          <w:color w:val="000000"/>
          <w:kern w:val="0"/>
          <w:sz w:val="32"/>
          <w:szCs w:val="32"/>
          <w:highlight w:val="none"/>
          <w:lang w:eastAsia="zh-CN"/>
        </w:rPr>
        <w:t>规范津补贴，取消伙食补助费预算</w:t>
      </w:r>
      <w:r>
        <w:rPr>
          <w:rFonts w:hint="eastAsia" w:ascii="仿宋_GB2312" w:hAnsi="宋体" w:eastAsia="仿宋_GB2312" w:cs="宋体"/>
          <w:kern w:val="0"/>
          <w:sz w:val="32"/>
          <w:szCs w:val="32"/>
        </w:rPr>
        <w:t>。</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60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50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500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今年将专家顾问服务中心工作经费50万元纳入了部门预算</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w:t>
      </w:r>
      <w:r>
        <w:rPr>
          <w:rFonts w:hint="eastAsia" w:ascii="仿宋_GB2312" w:hAnsi="宋体" w:eastAsia="仿宋_GB2312" w:cs="宋体"/>
          <w:spacing w:val="-6"/>
          <w:kern w:val="0"/>
          <w:sz w:val="32"/>
          <w:szCs w:val="32"/>
        </w:rPr>
        <w:t>科学技术支出</w:t>
      </w:r>
      <w:r>
        <w:rPr>
          <w:rFonts w:hint="eastAsia" w:ascii="仿宋_GB2312" w:hAnsi="宋体" w:eastAsia="仿宋_GB2312" w:cs="宋体"/>
          <w:spacing w:val="-6"/>
          <w:kern w:val="0"/>
          <w:sz w:val="32"/>
          <w:szCs w:val="32"/>
          <w:lang w:val="en-US" w:eastAsia="zh-CN"/>
        </w:rPr>
        <w:t>399.93</w:t>
      </w:r>
      <w:r>
        <w:rPr>
          <w:rFonts w:hint="eastAsia" w:ascii="仿宋_GB2312" w:hAnsi="宋体" w:eastAsia="仿宋_GB2312" w:cs="宋体"/>
          <w:spacing w:val="-6"/>
          <w:kern w:val="0"/>
          <w:sz w:val="32"/>
          <w:szCs w:val="32"/>
        </w:rPr>
        <w:t>万元</w:t>
      </w:r>
      <w:r>
        <w:rPr>
          <w:rFonts w:hint="eastAsia" w:ascii="仿宋_GB2312" w:eastAsia="仿宋_GB2312"/>
          <w:sz w:val="32"/>
          <w:szCs w:val="32"/>
        </w:rPr>
        <w:t>，占</w:t>
      </w:r>
      <w:r>
        <w:rPr>
          <w:rFonts w:hint="eastAsia" w:ascii="仿宋_GB2312" w:eastAsia="仿宋_GB2312"/>
          <w:sz w:val="32"/>
          <w:szCs w:val="32"/>
          <w:lang w:val="en-US" w:eastAsia="zh-CN"/>
        </w:rPr>
        <w:t>100</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w:t>
      </w:r>
      <w:r>
        <w:rPr>
          <w:rFonts w:hint="eastAsia" w:ascii="仿宋_GB2312" w:hAnsi="宋体" w:eastAsia="仿宋_GB2312" w:cs="宋体"/>
          <w:kern w:val="0"/>
          <w:sz w:val="32"/>
          <w:szCs w:val="32"/>
        </w:rPr>
        <w:t>科学技术支出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科学</w:t>
      </w:r>
      <w:r>
        <w:rPr>
          <w:rFonts w:ascii="仿宋_GB2312" w:hAnsi="宋体" w:eastAsia="仿宋_GB2312" w:cs="宋体"/>
          <w:kern w:val="0"/>
          <w:sz w:val="32"/>
          <w:szCs w:val="32"/>
        </w:rPr>
        <w:t>技术管理事务（</w:t>
      </w:r>
      <w:r>
        <w:rPr>
          <w:rFonts w:hint="eastAsia" w:ascii="仿宋_GB2312" w:hAnsi="宋体" w:eastAsia="仿宋_GB2312" w:cs="宋体"/>
          <w:kern w:val="0"/>
          <w:sz w:val="32"/>
          <w:szCs w:val="32"/>
          <w:lang w:eastAsia="zh-CN"/>
        </w:rPr>
        <w:t>款</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eastAsia="zh-CN"/>
        </w:rPr>
        <w:t>项</w:t>
      </w:r>
      <w:r>
        <w:rPr>
          <w:rFonts w:ascii="仿宋_GB2312" w:hAnsi="宋体" w:eastAsia="仿宋_GB2312" w:cs="宋体"/>
          <w:kern w:val="0"/>
          <w:sz w:val="32"/>
          <w:szCs w:val="32"/>
        </w:rPr>
        <w:t>）</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339.93</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38.93</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12.93</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highlight w:val="none"/>
          <w:lang w:eastAsia="zh-CN"/>
        </w:rPr>
        <w:t>按照预算编制要求，</w:t>
      </w:r>
      <w:r>
        <w:rPr>
          <w:rFonts w:hint="eastAsia" w:ascii="仿宋_GB2312" w:hAnsi="宋体" w:eastAsia="仿宋_GB2312" w:cs="宋体"/>
          <w:kern w:val="0"/>
          <w:sz w:val="32"/>
          <w:szCs w:val="32"/>
          <w:highlight w:val="none"/>
        </w:rPr>
        <w:t>支出功能分类科目</w:t>
      </w:r>
      <w:r>
        <w:rPr>
          <w:rFonts w:hint="eastAsia" w:ascii="仿宋_GB2312" w:hAnsi="宋体" w:eastAsia="仿宋_GB2312" w:cs="宋体"/>
          <w:kern w:val="0"/>
          <w:sz w:val="32"/>
          <w:szCs w:val="32"/>
          <w:highlight w:val="none"/>
          <w:lang w:eastAsia="zh-CN"/>
        </w:rPr>
        <w:t>调整，</w:t>
      </w:r>
      <w:r>
        <w:rPr>
          <w:rFonts w:hint="eastAsia" w:ascii="仿宋_GB2312" w:hAnsi="宋体" w:eastAsia="仿宋_GB2312" w:cs="宋体"/>
          <w:kern w:val="0"/>
          <w:sz w:val="32"/>
          <w:szCs w:val="32"/>
          <w:highlight w:val="none"/>
        </w:rPr>
        <w:t>社会保障</w:t>
      </w:r>
      <w:r>
        <w:rPr>
          <w:rFonts w:hint="eastAsia" w:ascii="仿宋_GB2312" w:hAnsi="宋体" w:eastAsia="仿宋_GB2312" w:cs="宋体"/>
          <w:kern w:val="0"/>
          <w:sz w:val="32"/>
          <w:szCs w:val="32"/>
          <w:highlight w:val="none"/>
          <w:lang w:eastAsia="zh-CN"/>
        </w:rPr>
        <w:t>和</w:t>
      </w:r>
      <w:r>
        <w:rPr>
          <w:rFonts w:hint="eastAsia" w:ascii="仿宋_GB2312" w:hAnsi="宋体" w:eastAsia="仿宋_GB2312" w:cs="宋体"/>
          <w:kern w:val="0"/>
          <w:sz w:val="32"/>
          <w:szCs w:val="32"/>
          <w:highlight w:val="none"/>
        </w:rPr>
        <w:t>就业</w:t>
      </w:r>
      <w:r>
        <w:rPr>
          <w:rFonts w:hint="eastAsia" w:ascii="仿宋_GB2312" w:hAnsi="宋体" w:eastAsia="仿宋_GB2312" w:cs="宋体"/>
          <w:kern w:val="0"/>
          <w:sz w:val="32"/>
          <w:szCs w:val="32"/>
          <w:highlight w:val="none"/>
          <w:lang w:eastAsia="zh-CN"/>
        </w:rPr>
        <w:t>支出、</w:t>
      </w:r>
      <w:r>
        <w:rPr>
          <w:rFonts w:hint="eastAsia" w:ascii="仿宋_GB2312" w:hAnsi="宋体" w:eastAsia="仿宋_GB2312" w:cs="宋体"/>
          <w:kern w:val="0"/>
          <w:sz w:val="32"/>
          <w:szCs w:val="32"/>
          <w:highlight w:val="none"/>
        </w:rPr>
        <w:t>卫生健康支出</w:t>
      </w:r>
      <w:r>
        <w:rPr>
          <w:rFonts w:hint="eastAsia" w:ascii="仿宋_GB2312" w:hAnsi="宋体" w:eastAsia="仿宋_GB2312" w:cs="宋体"/>
          <w:kern w:val="0"/>
          <w:sz w:val="32"/>
          <w:szCs w:val="32"/>
          <w:highlight w:val="none"/>
          <w:lang w:eastAsia="zh-CN"/>
        </w:rPr>
        <w:t>全部列入此科目</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2.</w:t>
      </w:r>
      <w:r>
        <w:rPr>
          <w:rFonts w:hint="eastAsia" w:ascii="仿宋_GB2312" w:hAnsi="宋体" w:eastAsia="仿宋_GB2312" w:cs="宋体"/>
          <w:kern w:val="0"/>
          <w:sz w:val="32"/>
          <w:szCs w:val="32"/>
        </w:rPr>
        <w:t>科学技术支出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科学</w:t>
      </w:r>
      <w:r>
        <w:rPr>
          <w:rFonts w:ascii="仿宋_GB2312" w:hAnsi="宋体" w:eastAsia="仿宋_GB2312" w:cs="宋体"/>
          <w:kern w:val="0"/>
          <w:sz w:val="32"/>
          <w:szCs w:val="32"/>
        </w:rPr>
        <w:t>技术管理事务（</w:t>
      </w:r>
      <w:r>
        <w:rPr>
          <w:rFonts w:hint="eastAsia" w:ascii="仿宋_GB2312" w:hAnsi="宋体" w:eastAsia="仿宋_GB2312" w:cs="宋体"/>
          <w:kern w:val="0"/>
          <w:sz w:val="32"/>
          <w:szCs w:val="32"/>
          <w:lang w:eastAsia="zh-CN"/>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一</w:t>
      </w:r>
      <w:r>
        <w:rPr>
          <w:rFonts w:ascii="仿宋_GB2312" w:hAnsi="宋体" w:eastAsia="仿宋_GB2312" w:cs="宋体"/>
          <w:kern w:val="0"/>
          <w:sz w:val="32"/>
          <w:szCs w:val="32"/>
        </w:rPr>
        <w:t>般行政管理事务（</w:t>
      </w:r>
      <w:r>
        <w:rPr>
          <w:rFonts w:hint="eastAsia" w:ascii="仿宋_GB2312" w:hAnsi="宋体" w:eastAsia="仿宋_GB2312" w:cs="宋体"/>
          <w:kern w:val="0"/>
          <w:sz w:val="32"/>
          <w:szCs w:val="32"/>
          <w:lang w:eastAsia="zh-CN"/>
        </w:rPr>
        <w:t>项</w:t>
      </w:r>
      <w:r>
        <w:rPr>
          <w:rFonts w:ascii="仿宋_GB2312" w:hAnsi="宋体" w:eastAsia="仿宋_GB2312" w:cs="宋体"/>
          <w:kern w:val="0"/>
          <w:sz w:val="32"/>
          <w:szCs w:val="32"/>
        </w:rPr>
        <w:t>）:</w:t>
      </w:r>
      <w:r>
        <w:rPr>
          <w:rFonts w:hint="eastAsia" w:ascii="仿宋_GB2312" w:hAnsi="仿宋_GB2312" w:eastAsia="仿宋_GB2312" w:cs="仿宋_GB2312"/>
          <w:kern w:val="0"/>
          <w:sz w:val="32"/>
          <w:szCs w:val="32"/>
        </w:rPr>
        <w:t>2022年预算数为</w:t>
      </w:r>
      <w:r>
        <w:rPr>
          <w:rFonts w:hint="eastAsia" w:ascii="仿宋_GB2312" w:hAnsi="仿宋_GB2312" w:eastAsia="仿宋_GB2312" w:cs="仿宋_GB2312"/>
          <w:kern w:val="0"/>
          <w:sz w:val="32"/>
          <w:szCs w:val="32"/>
          <w:lang w:val="en-US" w:eastAsia="zh-CN"/>
        </w:rPr>
        <w:t>10万元，</w:t>
      </w:r>
      <w:r>
        <w:rPr>
          <w:rFonts w:hint="eastAsia" w:ascii="仿宋_GB2312" w:hAnsi="宋体" w:eastAsia="仿宋_GB2312" w:cs="宋体"/>
          <w:kern w:val="0"/>
          <w:sz w:val="32"/>
          <w:szCs w:val="32"/>
        </w:rPr>
        <w:t>比上年预算数增加0万元，增长0%，主要原因是：</w:t>
      </w:r>
      <w:r>
        <w:rPr>
          <w:rFonts w:hint="eastAsia" w:ascii="仿宋_GB2312" w:hAnsi="宋体" w:eastAsia="仿宋_GB2312" w:cs="宋体"/>
          <w:kern w:val="0"/>
          <w:sz w:val="32"/>
          <w:szCs w:val="32"/>
          <w:lang w:eastAsia="zh-CN"/>
        </w:rPr>
        <w:t>项目</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宋体" w:eastAsia="仿宋_GB2312" w:cs="宋体"/>
          <w:kern w:val="0"/>
          <w:sz w:val="32"/>
          <w:szCs w:val="32"/>
        </w:rPr>
        <w:t>科学技术支出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科技条件与服务（款）其他科技条件与服务支出（项）：</w:t>
      </w:r>
      <w:r>
        <w:rPr>
          <w:rFonts w:hint="eastAsia" w:ascii="仿宋_GB2312" w:hAnsi="仿宋_GB2312" w:eastAsia="仿宋_GB2312" w:cs="仿宋_GB2312"/>
          <w:kern w:val="0"/>
          <w:sz w:val="32"/>
          <w:szCs w:val="32"/>
        </w:rPr>
        <w:t>2022年预算数为</w:t>
      </w:r>
      <w:r>
        <w:rPr>
          <w:rFonts w:hint="eastAsia" w:ascii="仿宋_GB2312" w:hAnsi="仿宋_GB2312" w:eastAsia="仿宋_GB2312" w:cs="仿宋_GB2312"/>
          <w:kern w:val="0"/>
          <w:sz w:val="32"/>
          <w:szCs w:val="32"/>
          <w:lang w:val="en-US" w:eastAsia="zh-CN"/>
        </w:rPr>
        <w:t>50万元，</w:t>
      </w:r>
      <w:r>
        <w:rPr>
          <w:rFonts w:hint="eastAsia" w:ascii="仿宋_GB2312" w:hAnsi="宋体" w:eastAsia="仿宋_GB2312" w:cs="宋体"/>
          <w:kern w:val="0"/>
          <w:sz w:val="32"/>
          <w:szCs w:val="32"/>
        </w:rPr>
        <w:t>比上年预算数增加</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0万元，增长</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0%，主要原因是：</w:t>
      </w:r>
      <w:r>
        <w:rPr>
          <w:rFonts w:hint="eastAsia" w:ascii="仿宋_GB2312" w:hAnsi="宋体" w:eastAsia="仿宋_GB2312" w:cs="宋体"/>
          <w:kern w:val="0"/>
          <w:sz w:val="32"/>
          <w:szCs w:val="32"/>
          <w:lang w:val="en-US" w:eastAsia="zh-CN"/>
        </w:rPr>
        <w:t>今年将专家顾问服务中心工作经费50万元纳入了项目支出预算</w:t>
      </w:r>
      <w:r>
        <w:rPr>
          <w:rFonts w:hint="eastAsia" w:ascii="仿宋_GB2312" w:hAnsi="仿宋_GB2312" w:eastAsia="仿宋_GB2312" w:cs="仿宋_GB2312"/>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昌吉州科技局</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val="en-US" w:eastAsia="zh-CN"/>
        </w:rPr>
        <w:t>昌吉州科技局</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339.93</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305.09</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87.77万元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69.3万元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7.17万元</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val="en-US" w:eastAsia="zh-CN"/>
        </w:rPr>
        <w:t>24.63万元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29.88万元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17.74万元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5.6万元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0.49万元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26.95万元</w:t>
      </w:r>
      <w:r>
        <w:rPr>
          <w:rFonts w:hint="eastAsia" w:ascii="仿宋_GB2312" w:hAnsi="宋体" w:eastAsia="仿宋_GB2312" w:cs="宋体"/>
          <w:kern w:val="0"/>
          <w:sz w:val="32"/>
          <w:szCs w:val="32"/>
        </w:rPr>
        <w:t>、其他工资福利支出</w:t>
      </w:r>
      <w:r>
        <w:rPr>
          <w:rFonts w:hint="eastAsia" w:ascii="仿宋_GB2312" w:hAnsi="宋体" w:eastAsia="仿宋_GB2312" w:cs="宋体"/>
          <w:kern w:val="0"/>
          <w:sz w:val="32"/>
          <w:szCs w:val="32"/>
          <w:lang w:val="en-US" w:eastAsia="zh-CN"/>
        </w:rPr>
        <w:t>9.43万元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2.1万元</w:t>
      </w:r>
      <w:r>
        <w:rPr>
          <w:rFonts w:hint="eastAsia" w:ascii="仿宋_GB2312" w:hAnsi="宋体" w:eastAsia="仿宋_GB2312" w:cs="宋体"/>
          <w:kern w:val="0"/>
          <w:sz w:val="32"/>
          <w:szCs w:val="32"/>
        </w:rPr>
        <w:t>、医疗费补助</w:t>
      </w:r>
      <w:r>
        <w:rPr>
          <w:rFonts w:hint="eastAsia" w:ascii="仿宋_GB2312" w:hAnsi="宋体" w:eastAsia="仿宋_GB2312" w:cs="宋体"/>
          <w:kern w:val="0"/>
          <w:sz w:val="32"/>
          <w:szCs w:val="32"/>
          <w:lang w:val="en-US" w:eastAsia="zh-CN"/>
        </w:rPr>
        <w:t>22.21万元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1.82万元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34.84</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5.26万元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1.2万元</w:t>
      </w:r>
      <w:r>
        <w:rPr>
          <w:rFonts w:hint="eastAsia" w:ascii="仿宋_GB2312" w:hAnsi="宋体" w:eastAsia="仿宋_GB2312" w:cs="宋体"/>
          <w:kern w:val="0"/>
          <w:sz w:val="32"/>
          <w:szCs w:val="32"/>
        </w:rPr>
        <w:t>、培训费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0.48万元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3.52万元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3.17万元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4.3万元</w:t>
      </w:r>
      <w:r>
        <w:rPr>
          <w:rFonts w:hint="eastAsia" w:ascii="仿宋_GB2312" w:hAnsi="宋体" w:eastAsia="仿宋_GB2312" w:cs="宋体"/>
          <w:kern w:val="0"/>
          <w:sz w:val="32"/>
          <w:szCs w:val="32"/>
        </w:rPr>
        <w:t>、其他交通费用</w:t>
      </w:r>
      <w:r>
        <w:rPr>
          <w:rFonts w:hint="eastAsia" w:ascii="仿宋_GB2312" w:hAnsi="宋体" w:eastAsia="仿宋_GB2312" w:cs="宋体"/>
          <w:kern w:val="0"/>
          <w:sz w:val="32"/>
          <w:szCs w:val="32"/>
          <w:lang w:val="en-US" w:eastAsia="zh-CN"/>
        </w:rPr>
        <w:t>5万元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5.41万元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昌吉州科技局</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一）</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：引智工作经费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自治州第十二届政府第二十七次常务会议关于进一步加强自治州引智工作的有关决定，设立引智工作专项经费，每年10万元，列入财政预算。</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昌吉州国际人才交流合作中心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商品和服务支出10万元。主要用于</w:t>
      </w:r>
      <w:r>
        <w:rPr>
          <w:rFonts w:hint="eastAsia" w:ascii="仿宋_GB2312" w:hAnsi="宋体" w:eastAsia="仿宋_GB2312" w:cs="宋体"/>
          <w:kern w:val="0"/>
          <w:sz w:val="32"/>
          <w:szCs w:val="32"/>
        </w:rPr>
        <w:t>开展国际间人才交流活动</w:t>
      </w:r>
      <w:r>
        <w:rPr>
          <w:rFonts w:hint="eastAsia" w:ascii="仿宋_GB2312" w:hAnsi="宋体" w:eastAsia="仿宋_GB2312" w:cs="宋体"/>
          <w:kern w:val="0"/>
          <w:sz w:val="32"/>
          <w:szCs w:val="32"/>
          <w:lang w:val="en-US" w:eastAsia="zh-CN"/>
        </w:rPr>
        <w:t>费用</w:t>
      </w:r>
      <w:r>
        <w:rPr>
          <w:rFonts w:hint="eastAsia" w:ascii="仿宋_GB2312" w:hAnsi="宋体" w:eastAsia="仿宋_GB2312" w:cs="宋体"/>
          <w:kern w:val="0"/>
          <w:sz w:val="32"/>
          <w:szCs w:val="32"/>
        </w:rPr>
        <w:t>；承担自治州外国专家服务工作</w:t>
      </w:r>
      <w:r>
        <w:rPr>
          <w:rFonts w:hint="eastAsia" w:ascii="仿宋_GB2312" w:hAnsi="宋体" w:eastAsia="仿宋_GB2312" w:cs="宋体"/>
          <w:kern w:val="0"/>
          <w:sz w:val="32"/>
          <w:szCs w:val="32"/>
          <w:lang w:val="en-US" w:eastAsia="zh-CN"/>
        </w:rPr>
        <w:t>费用</w:t>
      </w:r>
      <w:r>
        <w:rPr>
          <w:rFonts w:hint="eastAsia" w:ascii="仿宋_GB2312" w:hAnsi="宋体" w:eastAsia="仿宋_GB2312" w:cs="宋体"/>
          <w:kern w:val="0"/>
          <w:sz w:val="32"/>
          <w:szCs w:val="32"/>
        </w:rPr>
        <w:t>；承办全州有关国（境）外智力、技术、人才引进和派出等方面工作</w:t>
      </w:r>
      <w:r>
        <w:rPr>
          <w:rFonts w:hint="eastAsia" w:ascii="仿宋_GB2312" w:hAnsi="宋体" w:eastAsia="仿宋_GB2312" w:cs="宋体"/>
          <w:kern w:val="0"/>
          <w:sz w:val="32"/>
          <w:szCs w:val="32"/>
          <w:lang w:val="en-US" w:eastAsia="zh-CN"/>
        </w:rPr>
        <w:t>费用</w:t>
      </w:r>
      <w:r>
        <w:rPr>
          <w:rFonts w:hint="eastAsia" w:ascii="仿宋_GB2312" w:hAnsi="宋体" w:eastAsia="仿宋_GB2312" w:cs="宋体"/>
          <w:kern w:val="0"/>
          <w:sz w:val="32"/>
          <w:szCs w:val="32"/>
        </w:rPr>
        <w:t>；承担全州有关国外引智成果收集、推广等工作</w:t>
      </w:r>
      <w:r>
        <w:rPr>
          <w:rFonts w:hint="eastAsia" w:ascii="仿宋_GB2312" w:hAnsi="宋体" w:eastAsia="仿宋_GB2312" w:cs="宋体"/>
          <w:kern w:val="0"/>
          <w:sz w:val="32"/>
          <w:szCs w:val="32"/>
          <w:lang w:val="en-US" w:eastAsia="zh-CN"/>
        </w:rPr>
        <w:t>费用</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年1月—12月</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二）</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专家顾问服务中心工作经费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eastAsia="仿宋_GB2312"/>
          <w:sz w:val="32"/>
          <w:szCs w:val="32"/>
        </w:rPr>
        <w:t>按照</w:t>
      </w:r>
      <w:r>
        <w:rPr>
          <w:rFonts w:hint="eastAsia" w:ascii="仿宋_GB2312" w:eastAsia="仿宋_GB2312"/>
          <w:sz w:val="32"/>
          <w:szCs w:val="32"/>
          <w:lang w:eastAsia="zh-CN"/>
        </w:rPr>
        <w:t>文件规定和相关工作要求，</w:t>
      </w:r>
      <w:r>
        <w:rPr>
          <w:rFonts w:hint="eastAsia" w:ascii="仿宋_GB2312" w:hAnsi="仿宋_GB2312" w:eastAsia="仿宋_GB2312" w:cs="仿宋_GB2312"/>
          <w:sz w:val="32"/>
          <w:szCs w:val="32"/>
        </w:rPr>
        <w:t>自治州专家顾问团设立委员会，负责领导全面工作。专家顾问团下设专家顾问服务中心，作为日常办事机构，为州科学技术局所属的公益一类事业单位。</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50万元</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昌吉州专家顾问服务中心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商品和服务支出50万元。主要用于</w:t>
      </w:r>
      <w:r>
        <w:rPr>
          <w:rFonts w:hint="eastAsia" w:ascii="仿宋_GB2312" w:hAnsi="宋体" w:eastAsia="仿宋_GB2312" w:cs="宋体"/>
          <w:kern w:val="0"/>
          <w:sz w:val="32"/>
          <w:szCs w:val="32"/>
        </w:rPr>
        <w:t>开展完成专家顾问团换届工作</w:t>
      </w:r>
      <w:r>
        <w:rPr>
          <w:rFonts w:hint="eastAsia" w:ascii="仿宋_GB2312" w:hAnsi="宋体" w:eastAsia="仿宋_GB2312" w:cs="宋体"/>
          <w:kern w:val="0"/>
          <w:sz w:val="32"/>
          <w:szCs w:val="32"/>
          <w:lang w:val="en-US" w:eastAsia="zh-CN"/>
        </w:rPr>
        <w:t>费用</w:t>
      </w:r>
      <w:r>
        <w:rPr>
          <w:rFonts w:hint="eastAsia" w:ascii="仿宋_GB2312" w:hAnsi="宋体" w:eastAsia="仿宋_GB2312" w:cs="宋体"/>
          <w:kern w:val="0"/>
          <w:sz w:val="32"/>
          <w:szCs w:val="32"/>
        </w:rPr>
        <w:t>，创新组建新一届包含核心智库、产业智库、其他类智库的新型特色智库团队</w:t>
      </w:r>
      <w:r>
        <w:rPr>
          <w:rFonts w:hint="eastAsia" w:ascii="仿宋_GB2312" w:hAnsi="宋体" w:eastAsia="仿宋_GB2312" w:cs="宋体"/>
          <w:kern w:val="0"/>
          <w:sz w:val="32"/>
          <w:szCs w:val="32"/>
          <w:lang w:val="en-US" w:eastAsia="zh-CN"/>
        </w:rPr>
        <w:t>费用</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开展日常</w:t>
      </w:r>
      <w:r>
        <w:rPr>
          <w:rFonts w:hint="eastAsia" w:ascii="仿宋_GB2312" w:hAnsi="宋体" w:eastAsia="仿宋_GB2312" w:cs="宋体"/>
          <w:kern w:val="0"/>
          <w:sz w:val="32"/>
          <w:szCs w:val="32"/>
          <w:lang w:val="en-US" w:eastAsia="zh-CN"/>
        </w:rPr>
        <w:t>办公</w:t>
      </w:r>
      <w:r>
        <w:rPr>
          <w:rFonts w:hint="eastAsia" w:ascii="仿宋_GB2312" w:hAnsi="宋体" w:eastAsia="仿宋_GB2312" w:cs="宋体"/>
          <w:kern w:val="0"/>
          <w:sz w:val="32"/>
          <w:szCs w:val="32"/>
        </w:rPr>
        <w:t>开支、支付专家顾问的咨询费和差旅费及表彰奖励费用</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年1月—12月</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val="en-US" w:eastAsia="zh-CN"/>
        </w:rPr>
        <w:t>昌吉州科技局</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昌吉州科技局</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4.78</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4.3</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0.48</w:t>
      </w:r>
      <w:r>
        <w:rPr>
          <w:rFonts w:hint="eastAsia" w:ascii="仿宋_GB2312" w:hAnsi="宋体" w:eastAsia="仿宋_GB2312" w:cs="宋体"/>
          <w:kern w:val="0"/>
          <w:sz w:val="32"/>
          <w:szCs w:val="32"/>
        </w:rPr>
        <w:t>万元。</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%，主要原因是未安排预算；公务用车购置费增加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%，主要原因是实行派车制度，减少不必要的出车，严控</w:t>
      </w:r>
      <w:r>
        <w:rPr>
          <w:rFonts w:hint="eastAsia" w:ascii="仿宋_GB2312" w:hAnsi="宋体" w:eastAsia="仿宋_GB2312" w:cs="宋体"/>
          <w:kern w:val="0"/>
          <w:sz w:val="32"/>
          <w:szCs w:val="32"/>
          <w:lang w:eastAsia="zh-CN"/>
        </w:rPr>
        <w:t>公务车辆经费；</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%，主要原因是严控公务接待。严格接待规格，控制陪餐人数以及号召广大干部职工节约办公用车等措施，切实将贯彻落实中央八项规定精神落到实处。</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val="en-US" w:eastAsia="zh-CN"/>
        </w:rPr>
        <w:t>昌吉州科技局</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昌吉州科技局</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val="en-US" w:eastAsia="zh-CN"/>
        </w:rPr>
        <w:t>昌吉州科技局</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34.84</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3.43</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8.96</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在职人员减少，机关运行经费减少</w:t>
      </w:r>
      <w:r>
        <w:rPr>
          <w:rFonts w:hint="eastAsia" w:ascii="仿宋_GB2312" w:hAnsi="仿宋_GB2312" w:eastAsia="仿宋_GB2312" w:cs="仿宋_GB2312"/>
          <w:kern w:val="0"/>
          <w:sz w:val="32"/>
          <w:szCs w:val="32"/>
          <w:lang w:val="en-US" w:eastAsia="zh-CN"/>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val="en-US" w:eastAsia="zh-CN"/>
        </w:rPr>
        <w:t>昌吉州科技局</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45.43</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22.67</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22.76</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w:t>
      </w:r>
      <w:r>
        <w:rPr>
          <w:rFonts w:hint="eastAsia" w:ascii="仿宋_GB2312" w:hAnsi="仿宋_GB2312" w:eastAsia="仿宋_GB2312" w:cs="仿宋_GB2312"/>
          <w:sz w:val="32"/>
          <w:lang w:eastAsia="zh-CN"/>
        </w:rPr>
        <w:t>单位</w:t>
      </w:r>
      <w:r>
        <w:rPr>
          <w:rFonts w:hint="eastAsia" w:ascii="仿宋_GB2312" w:hAnsi="仿宋_GB2312" w:eastAsia="仿宋_GB2312" w:cs="仿宋_GB2312"/>
          <w:sz w:val="32"/>
        </w:rPr>
        <w:t>面向中小企业预留政府采购项目预算金额</w:t>
      </w:r>
      <w:r>
        <w:rPr>
          <w:rFonts w:hint="eastAsia" w:ascii="仿宋_GB2312" w:hAnsi="仿宋_GB2312" w:eastAsia="仿宋_GB2312" w:cs="仿宋_GB2312"/>
          <w:sz w:val="32"/>
          <w:lang w:val="en-US" w:eastAsia="zh-CN"/>
        </w:rPr>
        <w:t>45.43</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45.43</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val="en-US" w:eastAsia="zh-CN"/>
        </w:rPr>
        <w:t>昌吉州科技局</w:t>
      </w:r>
      <w:r>
        <w:rPr>
          <w:rFonts w:hint="eastAsia" w:ascii="仿宋_GB2312" w:hAnsi="仿宋_GB2312" w:eastAsia="仿宋_GB2312" w:cs="仿宋_GB2312"/>
          <w:kern w:val="0"/>
          <w:sz w:val="32"/>
          <w:szCs w:val="32"/>
        </w:rPr>
        <w:t>占用使用国有资产总体情况为</w:t>
      </w:r>
      <w:r>
        <w:rPr>
          <w:rFonts w:hint="eastAsia" w:ascii="仿宋_GB2312" w:hAnsi="仿宋_GB2312" w:eastAsia="仿宋_GB2312" w:cs="仿宋_GB2312"/>
          <w:kern w:val="0"/>
          <w:sz w:val="32"/>
          <w:szCs w:val="32"/>
          <w:lang w:eastAsia="zh-CN"/>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25</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0.25</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46.63</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46.63</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14.74</w:t>
      </w:r>
      <w:r>
        <w:rPr>
          <w:rFonts w:hint="eastAsia" w:ascii="仿宋_GB2312" w:hAnsi="仿宋_GB2312" w:eastAsia="仿宋_GB2312" w:cs="仿宋_GB2312"/>
          <w:kern w:val="0"/>
          <w:sz w:val="32"/>
          <w:szCs w:val="32"/>
        </w:rPr>
        <w:t>万元。</w:t>
      </w:r>
    </w:p>
    <w:p>
      <w:pPr>
        <w:widowControl w:val="0"/>
        <w:wordWrap/>
        <w:adjustRightInd/>
        <w:snapToGrid/>
        <w:spacing w:before="0" w:after="0" w:line="500" w:lineRule="exact"/>
        <w:ind w:left="0" w:leftChars="0" w:right="0" w:firstLine="640" w:firstLineChars="200"/>
        <w:jc w:val="both"/>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42.16</w:t>
      </w:r>
      <w:r>
        <w:rPr>
          <w:rFonts w:hint="eastAsia" w:ascii="仿宋_GB2312" w:hAnsi="仿宋_GB2312" w:eastAsia="仿宋_GB2312" w:cs="仿宋_GB2312"/>
          <w:kern w:val="0"/>
          <w:sz w:val="32"/>
          <w:szCs w:val="32"/>
        </w:rPr>
        <w:t>万元。</w:t>
      </w:r>
    </w:p>
    <w:p>
      <w:pPr>
        <w:widowControl w:val="0"/>
        <w:wordWrap/>
        <w:adjustRightInd/>
        <w:snapToGrid/>
        <w:spacing w:before="0" w:after="0" w:line="500" w:lineRule="exact"/>
        <w:ind w:left="0" w:leftChars="0" w:right="0" w:firstLine="640" w:firstLineChars="200"/>
        <w:jc w:val="both"/>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widowControl w:val="0"/>
        <w:wordWrap/>
        <w:adjustRightInd/>
        <w:snapToGrid/>
        <w:spacing w:before="0" w:after="0" w:line="500" w:lineRule="exact"/>
        <w:ind w:left="0" w:leftChars="0" w:right="0" w:firstLine="640" w:firstLineChars="200"/>
        <w:jc w:val="both"/>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预算未安排购置车辆经费，安排购置50万元以上大型设备0台（套），单位价值100万元以上大型设备0台（套）。</w:t>
      </w:r>
    </w:p>
    <w:p>
      <w:pPr>
        <w:widowControl w:val="0"/>
        <w:wordWrap/>
        <w:adjustRightInd/>
        <w:snapToGrid/>
        <w:spacing w:before="0" w:after="0" w:line="500" w:lineRule="exact"/>
        <w:ind w:left="0" w:leftChars="0" w:right="0" w:firstLine="643" w:firstLineChars="200"/>
        <w:jc w:val="both"/>
        <w:textAlignment w:val="auto"/>
        <w:outlineLvl w:val="9"/>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widowControl w:val="0"/>
        <w:wordWrap/>
        <w:adjustRightInd/>
        <w:snapToGrid/>
        <w:spacing w:before="0" w:after="0" w:line="500" w:lineRule="exact"/>
        <w:ind w:left="0" w:leftChars="0" w:right="0" w:firstLine="640"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60</w:t>
      </w:r>
      <w:r>
        <w:rPr>
          <w:rFonts w:hint="eastAsia" w:ascii="仿宋_GB2312" w:hAnsi="仿宋_GB2312" w:eastAsia="仿宋_GB2312" w:cs="仿宋_GB2312"/>
          <w:kern w:val="0"/>
          <w:sz w:val="32"/>
          <w:szCs w:val="32"/>
        </w:rPr>
        <w:t>万元。具体情况见下表：</w:t>
      </w:r>
    </w:p>
    <w:p>
      <w:pPr>
        <w:spacing w:line="560" w:lineRule="exact"/>
        <w:rPr>
          <w:rFonts w:hint="eastAsia" w:ascii="仿宋_GB2312" w:hAnsi="仿宋_GB2312" w:eastAsia="仿宋_GB2312" w:cs="仿宋_GB2312"/>
          <w:kern w:val="0"/>
          <w:sz w:val="32"/>
          <w:szCs w:val="32"/>
        </w:rPr>
      </w:pPr>
    </w:p>
    <w:p>
      <w:pPr>
        <w:spacing w:line="560" w:lineRule="exact"/>
        <w:rPr>
          <w:rFonts w:hint="eastAsia" w:ascii="仿宋_GB2312" w:hAnsi="仿宋_GB2312" w:eastAsia="仿宋_GB2312" w:cs="仿宋_GB2312"/>
          <w:kern w:val="0"/>
          <w:sz w:val="32"/>
          <w:szCs w:val="32"/>
        </w:rPr>
      </w:pPr>
    </w:p>
    <w:tbl>
      <w:tblPr>
        <w:tblW w:w="906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80"/>
        <w:gridCol w:w="876"/>
        <w:gridCol w:w="204"/>
        <w:gridCol w:w="720"/>
        <w:gridCol w:w="15"/>
        <w:gridCol w:w="705"/>
        <w:gridCol w:w="30"/>
        <w:gridCol w:w="1410"/>
        <w:gridCol w:w="60"/>
        <w:gridCol w:w="735"/>
        <w:gridCol w:w="195"/>
        <w:gridCol w:w="540"/>
        <w:gridCol w:w="180"/>
        <w:gridCol w:w="900"/>
        <w:gridCol w:w="180"/>
        <w:gridCol w:w="1170"/>
        <w:gridCol w:w="66"/>
      </w:tblGrid>
      <w:tr>
        <w:trPr>
          <w:trHeight w:val="390" w:hRule="atLeast"/>
        </w:trPr>
        <w:tc>
          <w:tcPr>
            <w:tcW w:w="9066" w:type="dxa"/>
            <w:gridSpan w:val="17"/>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rPr>
          <w:trHeight w:val="419" w:hRule="atLeast"/>
        </w:trPr>
        <w:tc>
          <w:tcPr>
            <w:tcW w:w="9066" w:type="dxa"/>
            <w:gridSpan w:val="17"/>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28"/>
                <w:szCs w:val="28"/>
                <w:u w:val="none"/>
                <w:lang w:val="en-US" w:eastAsia="zh-CN"/>
              </w:rPr>
              <w:t>(2022年)</w:t>
            </w:r>
          </w:p>
        </w:tc>
      </w:tr>
      <w:tr>
        <w:trPr>
          <w:trHeight w:val="599"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4020" w:type="dxa"/>
            <w:gridSpan w:val="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昌吉回族自治州科学技术局本级</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kern w:val="0"/>
                <w:sz w:val="18"/>
                <w:szCs w:val="18"/>
                <w:u w:val="none"/>
                <w:lang w:val="en-US" w:eastAsia="zh-CN"/>
              </w:rPr>
            </w:pPr>
            <w:r>
              <w:rPr>
                <w:rFonts w:hint="eastAsia" w:ascii="宋体" w:hAnsi="宋体" w:eastAsia="宋体" w:cs="宋体"/>
                <w:b/>
                <w:i w:val="0"/>
                <w:color w:val="000000"/>
                <w:kern w:val="0"/>
                <w:sz w:val="18"/>
                <w:szCs w:val="18"/>
                <w:u w:val="none"/>
                <w:lang w:val="en-US" w:eastAsia="zh-CN"/>
              </w:rPr>
              <w:t>项目</w:t>
            </w:r>
          </w:p>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名称</w:t>
            </w:r>
          </w:p>
        </w:tc>
        <w:tc>
          <w:tcPr>
            <w:tcW w:w="3231"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引智工作经费</w:t>
            </w:r>
          </w:p>
        </w:tc>
      </w:tr>
      <w:tr>
        <w:trPr>
          <w:trHeight w:val="49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kern w:val="0"/>
                <w:sz w:val="18"/>
                <w:szCs w:val="18"/>
                <w:u w:val="none"/>
                <w:lang w:val="en-US" w:eastAsia="zh-CN"/>
              </w:rPr>
            </w:pPr>
            <w:r>
              <w:rPr>
                <w:rFonts w:hint="eastAsia" w:ascii="宋体" w:hAnsi="宋体" w:eastAsia="宋体" w:cs="宋体"/>
                <w:b/>
                <w:i w:val="0"/>
                <w:color w:val="000000"/>
                <w:kern w:val="0"/>
                <w:sz w:val="18"/>
                <w:szCs w:val="18"/>
                <w:u w:val="none"/>
                <w:lang w:val="en-US" w:eastAsia="zh-CN"/>
              </w:rPr>
              <w:t>项目资金</w:t>
            </w:r>
          </w:p>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（万元）</w:t>
            </w:r>
          </w:p>
        </w:tc>
        <w:tc>
          <w:tcPr>
            <w:tcW w:w="181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年度资金总额：</w:t>
            </w:r>
          </w:p>
        </w:tc>
        <w:tc>
          <w:tcPr>
            <w:tcW w:w="7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w:t>
            </w:r>
          </w:p>
        </w:tc>
        <w:tc>
          <w:tcPr>
            <w:tcW w:w="14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w:t>
            </w:r>
          </w:p>
        </w:tc>
        <w:tc>
          <w:tcPr>
            <w:tcW w:w="181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14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rPr>
          <w:trHeight w:val="126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kern w:val="0"/>
                <w:sz w:val="18"/>
                <w:szCs w:val="18"/>
                <w:u w:val="none"/>
                <w:lang w:val="en-US" w:eastAsia="zh-CN"/>
              </w:rPr>
            </w:pPr>
            <w:r>
              <w:rPr>
                <w:rFonts w:hint="eastAsia" w:ascii="宋体" w:hAnsi="宋体" w:eastAsia="宋体" w:cs="宋体"/>
                <w:b/>
                <w:i w:val="0"/>
                <w:color w:val="000000"/>
                <w:kern w:val="0"/>
                <w:sz w:val="18"/>
                <w:szCs w:val="18"/>
                <w:u w:val="none"/>
                <w:lang w:val="en-US" w:eastAsia="zh-CN"/>
              </w:rPr>
              <w:t>项目总体</w:t>
            </w:r>
          </w:p>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目标</w:t>
            </w:r>
          </w:p>
        </w:tc>
        <w:tc>
          <w:tcPr>
            <w:tcW w:w="7986" w:type="dxa"/>
            <w:gridSpan w:val="1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开展国际间人才交流活动；承担自治州外国专家服务工作；承办全州有关国（境）外智力、技术、人才引进和派出等方面工作；承担全州有关国外引智成果收集、推广等工作。2020年完成交流培训、赴基层开展业务宣讲、发放政策宣传资料、引进外国专家数、组织州内各企事业单位聘请国（境）外技术、管理人才，实施各类引进国外智力项目，鼓励项目单位积极通过聘请外国专家开展产品研发、品种引进、技术改造、示范推广等工作，推动昌吉州经济社会高质量发展。</w:t>
            </w:r>
          </w:p>
        </w:tc>
      </w:tr>
      <w:tr>
        <w:trPr>
          <w:trHeight w:val="505"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8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4614" w:type="dxa"/>
            <w:gridSpan w:val="10"/>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指标值（包含数字及文字描述）</w:t>
            </w:r>
          </w:p>
        </w:tc>
      </w:tr>
      <w:tr>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产出指标</w:t>
            </w:r>
          </w:p>
        </w:tc>
        <w:tc>
          <w:tcPr>
            <w:tcW w:w="87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数量指标</w:t>
            </w:r>
          </w:p>
          <w:p>
            <w:pPr>
              <w:widowControl/>
              <w:jc w:val="left"/>
              <w:textAlignment w:val="center"/>
              <w:rPr>
                <w:rFonts w:hint="eastAsia" w:ascii="宋体" w:hAnsi="宋体" w:eastAsia="宋体" w:cs="宋体"/>
                <w:i w:val="0"/>
                <w:color w:val="000000"/>
                <w:sz w:val="18"/>
                <w:szCs w:val="18"/>
                <w:u w:val="none"/>
              </w:rPr>
            </w:pP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wordWrap/>
              <w:adjustRightInd/>
              <w:snapToGrid/>
              <w:spacing w:line="216" w:lineRule="auto"/>
              <w:jc w:val="center"/>
              <w:textAlignment w:val="center"/>
              <w:rPr>
                <w:rFonts w:hint="eastAsia" w:ascii="宋体" w:hAnsi="宋体" w:eastAsia="宋体" w:cs="宋体"/>
                <w:i w:val="0"/>
                <w:color w:val="000000"/>
                <w:sz w:val="18"/>
                <w:szCs w:val="18"/>
                <w:u w:val="none"/>
                <w:shd w:val="clear" w:color="auto" w:fill="auto"/>
              </w:rPr>
            </w:pPr>
            <w:r>
              <w:rPr>
                <w:rFonts w:hint="eastAsia" w:ascii="宋体" w:hAnsi="宋体" w:eastAsia="宋体" w:cs="宋体"/>
                <w:i w:val="0"/>
                <w:color w:val="000000"/>
                <w:kern w:val="0"/>
                <w:sz w:val="18"/>
                <w:szCs w:val="18"/>
                <w:u w:val="none"/>
                <w:shd w:val="clear" w:color="auto" w:fill="auto"/>
                <w:lang w:val="en-US" w:eastAsia="zh-CN"/>
              </w:rPr>
              <w:t>开展业务培训交流次数（次）</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&gt;=2次</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wordWrap/>
              <w:adjustRightInd/>
              <w:snapToGrid/>
              <w:spacing w:line="216" w:lineRule="auto"/>
              <w:jc w:val="center"/>
              <w:textAlignment w:val="center"/>
              <w:rPr>
                <w:rFonts w:hint="eastAsia" w:ascii="宋体" w:hAnsi="宋体" w:eastAsia="宋体" w:cs="宋体"/>
                <w:i w:val="0"/>
                <w:color w:val="000000"/>
                <w:sz w:val="18"/>
                <w:szCs w:val="18"/>
                <w:u w:val="none"/>
                <w:shd w:val="clear" w:color="auto" w:fill="auto"/>
              </w:rPr>
            </w:pPr>
            <w:r>
              <w:rPr>
                <w:rFonts w:hint="eastAsia" w:ascii="宋体" w:hAnsi="宋体" w:eastAsia="宋体" w:cs="宋体"/>
                <w:i w:val="0"/>
                <w:color w:val="000000"/>
                <w:kern w:val="0"/>
                <w:sz w:val="18"/>
                <w:szCs w:val="18"/>
                <w:u w:val="none"/>
                <w:shd w:val="clear" w:color="auto" w:fill="auto"/>
                <w:lang w:val="en-US" w:eastAsia="zh-CN"/>
              </w:rPr>
              <w:t>赴基层开展业务宣讲（次）</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&gt;=2次</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wordWrap/>
              <w:adjustRightInd/>
              <w:snapToGrid/>
              <w:spacing w:line="216" w:lineRule="auto"/>
              <w:jc w:val="center"/>
              <w:textAlignment w:val="center"/>
              <w:rPr>
                <w:rFonts w:hint="eastAsia" w:ascii="宋体" w:hAnsi="宋体" w:eastAsia="宋体" w:cs="宋体"/>
                <w:i w:val="0"/>
                <w:color w:val="000000"/>
                <w:sz w:val="18"/>
                <w:szCs w:val="18"/>
                <w:u w:val="none"/>
                <w:shd w:val="clear" w:color="auto" w:fill="auto"/>
              </w:rPr>
            </w:pPr>
            <w:r>
              <w:rPr>
                <w:rFonts w:hint="eastAsia" w:ascii="宋体" w:hAnsi="宋体" w:eastAsia="宋体" w:cs="宋体"/>
                <w:i w:val="0"/>
                <w:color w:val="000000"/>
                <w:kern w:val="0"/>
                <w:sz w:val="18"/>
                <w:szCs w:val="18"/>
                <w:u w:val="none"/>
                <w:shd w:val="clear" w:color="auto" w:fill="auto"/>
                <w:lang w:val="en-US" w:eastAsia="zh-CN"/>
              </w:rPr>
              <w:t>参会人数（人）</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&gt;=1人</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wordWrap/>
              <w:adjustRightInd/>
              <w:snapToGrid/>
              <w:spacing w:line="216" w:lineRule="auto"/>
              <w:jc w:val="center"/>
              <w:textAlignment w:val="center"/>
              <w:rPr>
                <w:rFonts w:hint="eastAsia" w:ascii="宋体" w:hAnsi="宋体" w:eastAsia="宋体" w:cs="宋体"/>
                <w:i w:val="0"/>
                <w:color w:val="000000"/>
                <w:sz w:val="18"/>
                <w:szCs w:val="18"/>
                <w:u w:val="none"/>
                <w:shd w:val="clear" w:color="auto" w:fill="auto"/>
              </w:rPr>
            </w:pPr>
            <w:r>
              <w:rPr>
                <w:rFonts w:hint="eastAsia" w:ascii="宋体" w:hAnsi="宋体" w:eastAsia="宋体" w:cs="宋体"/>
                <w:i w:val="0"/>
                <w:color w:val="000000"/>
                <w:kern w:val="0"/>
                <w:sz w:val="18"/>
                <w:szCs w:val="18"/>
                <w:u w:val="none"/>
                <w:shd w:val="clear" w:color="auto" w:fill="auto"/>
                <w:lang w:val="en-US" w:eastAsia="zh-CN"/>
              </w:rPr>
              <w:t>发放政策宣传资料（份）</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&gt;=100份</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wordWrap/>
              <w:adjustRightInd/>
              <w:snapToGrid/>
              <w:spacing w:line="216" w:lineRule="auto"/>
              <w:jc w:val="center"/>
              <w:textAlignment w:val="center"/>
              <w:rPr>
                <w:rFonts w:hint="eastAsia" w:ascii="宋体" w:hAnsi="宋体" w:eastAsia="宋体" w:cs="宋体"/>
                <w:i w:val="0"/>
                <w:color w:val="000000"/>
                <w:sz w:val="18"/>
                <w:szCs w:val="18"/>
                <w:u w:val="none"/>
                <w:shd w:val="clear" w:color="auto" w:fill="auto"/>
              </w:rPr>
            </w:pPr>
            <w:r>
              <w:rPr>
                <w:rFonts w:hint="eastAsia" w:ascii="宋体" w:hAnsi="宋体" w:eastAsia="宋体" w:cs="宋体"/>
                <w:i w:val="0"/>
                <w:color w:val="000000"/>
                <w:kern w:val="0"/>
                <w:sz w:val="18"/>
                <w:szCs w:val="18"/>
                <w:u w:val="none"/>
                <w:shd w:val="clear" w:color="auto" w:fill="auto"/>
                <w:lang w:val="en-US" w:eastAsia="zh-CN"/>
              </w:rPr>
              <w:t>引进外国人才数（人）</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&gt;=20人次</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质量指标</w:t>
            </w:r>
          </w:p>
          <w:p>
            <w:pPr>
              <w:widowControl/>
              <w:jc w:val="center"/>
              <w:textAlignment w:val="center"/>
              <w:rPr>
                <w:rFonts w:hint="eastAsia" w:ascii="宋体" w:hAnsi="宋体" w:eastAsia="宋体" w:cs="宋体"/>
                <w:i w:val="0"/>
                <w:color w:val="000000"/>
                <w:sz w:val="18"/>
                <w:szCs w:val="18"/>
                <w:u w:val="none"/>
              </w:rPr>
            </w:pP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wordWrap/>
              <w:adjustRightInd/>
              <w:snapToGrid/>
              <w:spacing w:line="216"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参会出勤率</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=100%</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wordWrap/>
              <w:adjustRightInd/>
              <w:snapToGrid/>
              <w:spacing w:line="216"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培训交流通过率</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=100%</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时效指标</w:t>
            </w:r>
          </w:p>
          <w:p>
            <w:pPr>
              <w:widowControl/>
              <w:jc w:val="center"/>
              <w:textAlignment w:val="center"/>
              <w:rPr>
                <w:rFonts w:hint="eastAsia" w:ascii="宋体" w:hAnsi="宋体" w:eastAsia="宋体" w:cs="宋体"/>
                <w:i w:val="0"/>
                <w:color w:val="000000"/>
                <w:sz w:val="18"/>
                <w:szCs w:val="18"/>
                <w:u w:val="none"/>
              </w:rPr>
            </w:pP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wordWrap/>
              <w:adjustRightInd/>
              <w:snapToGrid/>
              <w:spacing w:line="216"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外国专家来华工作许可事项办理时限</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&lt;=25工作日</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wordWrap/>
              <w:adjustRightInd/>
              <w:snapToGrid/>
              <w:spacing w:line="216"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外国专家来华办证及时率</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=100%</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wordWrap/>
              <w:adjustRightInd/>
              <w:snapToGrid/>
              <w:spacing w:line="216"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引智工作金额</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&lt;=4万元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wordWrap/>
              <w:adjustRightInd/>
              <w:snapToGrid/>
              <w:spacing w:line="216"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开展交流培训金额</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&lt;=6万元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社会效益指标</w:t>
            </w: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鼓励项目单位积极通过聘请外国专家开展产品研发、品种引进、技术改造、示范推广等工作，推动昌吉州经济社会高质量发展</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有效推动</w:t>
            </w:r>
          </w:p>
        </w:tc>
      </w:tr>
      <w:tr>
        <w:trPr>
          <w:trHeight w:val="49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生态效益指标</w:t>
            </w: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可持续影响指标</w:t>
            </w: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提高人才创造科研成果数</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长期提高</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8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4614"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外国专家服务满意度</w:t>
            </w:r>
          </w:p>
        </w:tc>
        <w:tc>
          <w:tcPr>
            <w:tcW w:w="24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r>
        <w:trPr>
          <w:gridAfter w:val="1"/>
          <w:wAfter w:w="66" w:type="dxa"/>
          <w:trHeight w:val="390" w:hRule="atLeast"/>
        </w:trPr>
        <w:tc>
          <w:tcPr>
            <w:tcW w:w="9000" w:type="dxa"/>
            <w:gridSpan w:val="1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kern w:val="0"/>
                <w:sz w:val="32"/>
                <w:szCs w:val="32"/>
                <w:u w:val="none"/>
                <w:lang w:val="en-US" w:eastAsia="zh-CN"/>
              </w:rPr>
            </w:pPr>
          </w:p>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rPr>
          <w:gridAfter w:val="1"/>
          <w:wAfter w:w="66" w:type="dxa"/>
          <w:trHeight w:val="405" w:hRule="atLeast"/>
        </w:trPr>
        <w:tc>
          <w:tcPr>
            <w:tcW w:w="9000" w:type="dxa"/>
            <w:gridSpan w:val="16"/>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(2022年)</w:t>
            </w:r>
          </w:p>
        </w:tc>
      </w:tr>
      <w:tr>
        <w:trPr>
          <w:gridAfter w:val="1"/>
          <w:wAfter w:w="66" w:type="dxa"/>
          <w:trHeight w:val="27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396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昌吉回族自治州科学技术局本级</w:t>
            </w:r>
          </w:p>
        </w:tc>
        <w:tc>
          <w:tcPr>
            <w:tcW w:w="9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297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2022年专家顾问服务中心工作经费</w:t>
            </w:r>
          </w:p>
        </w:tc>
      </w:tr>
      <w:tr>
        <w:trPr>
          <w:gridAfter w:val="1"/>
          <w:wAfter w:w="66" w:type="dxa"/>
          <w:trHeight w:val="45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kern w:val="0"/>
                <w:sz w:val="18"/>
                <w:szCs w:val="18"/>
                <w:u w:val="none"/>
                <w:lang w:val="en-US" w:eastAsia="zh-CN"/>
              </w:rPr>
            </w:pPr>
            <w:r>
              <w:rPr>
                <w:rFonts w:hint="eastAsia" w:ascii="宋体" w:hAnsi="宋体" w:eastAsia="宋体" w:cs="宋体"/>
                <w:b/>
                <w:i w:val="0"/>
                <w:color w:val="000000"/>
                <w:kern w:val="0"/>
                <w:sz w:val="18"/>
                <w:szCs w:val="18"/>
                <w:u w:val="none"/>
                <w:lang w:val="en-US" w:eastAsia="zh-CN"/>
              </w:rPr>
              <w:t>项目资金</w:t>
            </w:r>
          </w:p>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（万元）</w:t>
            </w:r>
          </w:p>
        </w:tc>
        <w:tc>
          <w:tcPr>
            <w:tcW w:w="18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年度资金总额：</w:t>
            </w:r>
          </w:p>
        </w:tc>
        <w:tc>
          <w:tcPr>
            <w:tcW w:w="72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50</w:t>
            </w:r>
          </w:p>
        </w:tc>
        <w:tc>
          <w:tcPr>
            <w:tcW w:w="144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9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50</w:t>
            </w:r>
          </w:p>
        </w:tc>
        <w:tc>
          <w:tcPr>
            <w:tcW w:w="180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1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rPr>
          <w:gridAfter w:val="1"/>
          <w:wAfter w:w="66" w:type="dxa"/>
          <w:trHeight w:val="130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920" w:type="dxa"/>
            <w:gridSpan w:val="1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为自治州党委、州人民政府在经济社会发展中决策的科学化、民主化、合理化提供智力支撑。目标：工作经费主要用于顾问团办公室的日常开支、顾问团办公室聘请的30名核心智库专家、备案额500余名产业智库专家和其他类智库专家申请拨付的咨询费、差旅费及工作中产生的费用，搭建“专家+课题”的“一对一”服务链，切实发挥专家顾问团资政辅政作用，不断提高决策咨询水平。</w:t>
            </w:r>
          </w:p>
        </w:tc>
      </w:tr>
      <w:tr>
        <w:trPr>
          <w:gridAfter w:val="1"/>
          <w:wAfter w:w="66" w:type="dxa"/>
          <w:trHeight w:val="27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10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4590" w:type="dxa"/>
            <w:gridSpan w:val="10"/>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22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指标值（包含数字及文字描述）</w:t>
            </w:r>
          </w:p>
        </w:tc>
      </w:tr>
      <w:tr>
        <w:trPr>
          <w:gridAfter w:val="1"/>
          <w:wAfter w:w="66" w:type="dxa"/>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产出指标</w:t>
            </w: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数量指标</w:t>
            </w:r>
          </w:p>
        </w:tc>
        <w:tc>
          <w:tcPr>
            <w:tcW w:w="4590"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产业智库专家和其他类智库专家备案人员。</w:t>
            </w:r>
          </w:p>
        </w:tc>
        <w:tc>
          <w:tcPr>
            <w:tcW w:w="22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&gt;=500人</w:t>
            </w:r>
          </w:p>
        </w:tc>
      </w:tr>
      <w:tr>
        <w:trPr>
          <w:gridAfter w:val="1"/>
          <w:wAfter w:w="66"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90"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每月编制一期信息简报</w:t>
            </w:r>
          </w:p>
        </w:tc>
        <w:tc>
          <w:tcPr>
            <w:tcW w:w="22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=12期</w:t>
            </w:r>
          </w:p>
        </w:tc>
      </w:tr>
      <w:tr>
        <w:trPr>
          <w:gridAfter w:val="1"/>
          <w:wAfter w:w="66"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90"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搭建“专家+课题”的“一对一”服务链</w:t>
            </w:r>
          </w:p>
        </w:tc>
        <w:tc>
          <w:tcPr>
            <w:tcW w:w="22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&gt;=10条</w:t>
            </w:r>
          </w:p>
        </w:tc>
      </w:tr>
      <w:tr>
        <w:trPr>
          <w:gridAfter w:val="1"/>
          <w:wAfter w:w="66"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质量指标</w:t>
            </w:r>
          </w:p>
        </w:tc>
        <w:tc>
          <w:tcPr>
            <w:tcW w:w="4590"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每月编制信息完成率</w:t>
            </w:r>
          </w:p>
        </w:tc>
        <w:tc>
          <w:tcPr>
            <w:tcW w:w="22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=100%</w:t>
            </w:r>
          </w:p>
        </w:tc>
      </w:tr>
      <w:tr>
        <w:trPr>
          <w:gridAfter w:val="1"/>
          <w:wAfter w:w="66"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590"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每月编制及时率</w:t>
            </w:r>
          </w:p>
        </w:tc>
        <w:tc>
          <w:tcPr>
            <w:tcW w:w="22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=100%</w:t>
            </w:r>
          </w:p>
        </w:tc>
      </w:tr>
      <w:tr>
        <w:trPr>
          <w:gridAfter w:val="1"/>
          <w:wAfter w:w="66"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90"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每月编制开展时间</w:t>
            </w:r>
          </w:p>
        </w:tc>
        <w:tc>
          <w:tcPr>
            <w:tcW w:w="22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12月31日</w:t>
            </w:r>
          </w:p>
        </w:tc>
      </w:tr>
      <w:tr>
        <w:trPr>
          <w:gridAfter w:val="1"/>
          <w:wAfter w:w="66"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590"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邀请专家顾问参加各类决策咨询活动费用（万元）</w:t>
            </w:r>
          </w:p>
        </w:tc>
        <w:tc>
          <w:tcPr>
            <w:tcW w:w="22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&lt;=30万元</w:t>
            </w:r>
          </w:p>
        </w:tc>
      </w:tr>
      <w:tr>
        <w:trPr>
          <w:gridAfter w:val="1"/>
          <w:wAfter w:w="66"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90"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专家参加活动差旅费用（万元）</w:t>
            </w:r>
          </w:p>
        </w:tc>
        <w:tc>
          <w:tcPr>
            <w:tcW w:w="22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&lt;=20万元</w:t>
            </w:r>
          </w:p>
        </w:tc>
      </w:tr>
      <w:tr>
        <w:trPr>
          <w:gridAfter w:val="1"/>
          <w:wAfter w:w="66" w:type="dxa"/>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效益指标</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经济效益</w:t>
            </w:r>
          </w:p>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指标</w:t>
            </w:r>
          </w:p>
        </w:tc>
        <w:tc>
          <w:tcPr>
            <w:tcW w:w="4590"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rPr>
          <w:gridAfter w:val="1"/>
          <w:wAfter w:w="66"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社会效益</w:t>
            </w:r>
          </w:p>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指标</w:t>
            </w:r>
          </w:p>
        </w:tc>
        <w:tc>
          <w:tcPr>
            <w:tcW w:w="4590"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专家意见建议采纳率</w:t>
            </w:r>
          </w:p>
        </w:tc>
        <w:tc>
          <w:tcPr>
            <w:tcW w:w="22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&gt;=30%</w:t>
            </w:r>
          </w:p>
        </w:tc>
      </w:tr>
      <w:tr>
        <w:trPr>
          <w:gridAfter w:val="1"/>
          <w:wAfter w:w="66"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18"/>
                <w:szCs w:val="18"/>
                <w:u w:val="none"/>
                <w:lang w:val="en-US" w:eastAsia="zh-CN"/>
              </w:rPr>
            </w:pPr>
            <w:r>
              <w:rPr>
                <w:rFonts w:hint="eastAsia" w:ascii="宋体" w:hAnsi="宋体" w:eastAsia="宋体" w:cs="宋体"/>
                <w:i w:val="0"/>
                <w:color w:val="000000"/>
                <w:kern w:val="0"/>
                <w:sz w:val="18"/>
                <w:szCs w:val="18"/>
                <w:u w:val="none"/>
                <w:lang w:val="en-US" w:eastAsia="zh-CN"/>
              </w:rPr>
              <w:t>生态效益</w:t>
            </w:r>
          </w:p>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指标</w:t>
            </w:r>
          </w:p>
        </w:tc>
        <w:tc>
          <w:tcPr>
            <w:tcW w:w="4590"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2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rPr>
          <w:gridAfter w:val="1"/>
          <w:wAfter w:w="66"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可持续影响指标</w:t>
            </w:r>
          </w:p>
        </w:tc>
        <w:tc>
          <w:tcPr>
            <w:tcW w:w="4590"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切实发挥专家顾问团资政辅政作用，不断提高决策咨询水平</w:t>
            </w:r>
          </w:p>
        </w:tc>
        <w:tc>
          <w:tcPr>
            <w:tcW w:w="22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有效提高</w:t>
            </w:r>
          </w:p>
        </w:tc>
      </w:tr>
      <w:tr>
        <w:trPr>
          <w:gridAfter w:val="1"/>
          <w:wAfter w:w="66" w:type="dxa"/>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4590" w:type="dxa"/>
            <w:gridSpan w:val="10"/>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聘用专家满意度</w:t>
            </w:r>
          </w:p>
        </w:tc>
        <w:tc>
          <w:tcPr>
            <w:tcW w:w="22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bl>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lang w:eastAsia="zh-CN"/>
        </w:rPr>
        <w:t>（</w:t>
      </w: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lang w:eastAsia="zh-CN"/>
        </w:rPr>
        <w:t>单位</w:t>
      </w:r>
      <w:r>
        <w:rPr>
          <w:rFonts w:hint="eastAsia" w:ascii="仿宋_GB2312" w:eastAsia="仿宋_GB2312"/>
          <w:sz w:val="32"/>
          <w:szCs w:val="32"/>
        </w:rPr>
        <w:t>支出预算的组成部分，是</w:t>
      </w:r>
      <w:r>
        <w:rPr>
          <w:rFonts w:hint="eastAsia" w:ascii="仿宋_GB2312" w:eastAsia="仿宋_GB2312"/>
          <w:sz w:val="32"/>
          <w:szCs w:val="32"/>
          <w:lang w:eastAsia="zh-CN"/>
        </w:rPr>
        <w:t>自治</w:t>
      </w:r>
      <w:r>
        <w:rPr>
          <w:rFonts w:hint="eastAsia" w:ascii="仿宋_GB2312" w:eastAsia="仿宋_GB2312"/>
          <w:sz w:val="32"/>
          <w:szCs w:val="32"/>
          <w:lang w:val="en-US" w:eastAsia="zh-CN"/>
        </w:rPr>
        <w:t>州</w:t>
      </w:r>
      <w:r>
        <w:rPr>
          <w:rFonts w:hint="eastAsia" w:ascii="仿宋_GB2312" w:eastAsia="仿宋_GB2312"/>
          <w:sz w:val="32"/>
          <w:szCs w:val="32"/>
        </w:rPr>
        <w:t>本级</w:t>
      </w:r>
      <w:r>
        <w:rPr>
          <w:rFonts w:hint="eastAsia" w:ascii="仿宋_GB2312" w:eastAsia="仿宋_GB2312"/>
          <w:sz w:val="32"/>
          <w:szCs w:val="32"/>
          <w:lang w:eastAsia="zh-CN"/>
        </w:rPr>
        <w:t>单位</w:t>
      </w:r>
      <w:r>
        <w:rPr>
          <w:rFonts w:hint="eastAsia" w:ascii="仿宋_GB2312" w:eastAsia="仿宋_GB2312"/>
          <w:sz w:val="32"/>
          <w:szCs w:val="32"/>
        </w:rPr>
        <w:t>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w:t>
      </w:r>
      <w:r>
        <w:rPr>
          <w:rFonts w:hint="eastAsia" w:ascii="仿宋_GB2312" w:eastAsia="仿宋_GB2312"/>
          <w:sz w:val="32"/>
          <w:szCs w:val="32"/>
          <w:lang w:eastAsia="zh-CN"/>
        </w:rPr>
        <w:t>治</w:t>
      </w:r>
      <w:r>
        <w:rPr>
          <w:rFonts w:hint="eastAsia" w:ascii="仿宋_GB2312" w:eastAsia="仿宋_GB2312"/>
          <w:sz w:val="32"/>
          <w:szCs w:val="32"/>
          <w:lang w:val="en-US" w:eastAsia="zh-CN"/>
        </w:rPr>
        <w:t>州</w:t>
      </w:r>
      <w:r>
        <w:rPr>
          <w:rFonts w:hint="eastAsia" w:ascii="仿宋_GB2312" w:eastAsia="仿宋_GB2312"/>
          <w:sz w:val="32"/>
          <w:szCs w:val="32"/>
        </w:rPr>
        <w:t>本级</w:t>
      </w:r>
      <w:r>
        <w:rPr>
          <w:rFonts w:hint="eastAsia" w:ascii="仿宋_GB2312" w:eastAsia="仿宋_GB2312"/>
          <w:sz w:val="32"/>
          <w:szCs w:val="32"/>
          <w:lang w:eastAsia="zh-CN"/>
        </w:rPr>
        <w:t>单位</w:t>
      </w:r>
      <w:r>
        <w:rPr>
          <w:rFonts w:hint="eastAsia" w:ascii="仿宋_GB2312" w:eastAsia="仿宋_GB2312"/>
          <w:sz w:val="32"/>
          <w:szCs w:val="32"/>
        </w:rPr>
        <w:t>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w:t>
      </w:r>
      <w:r>
        <w:rPr>
          <w:rFonts w:hint="eastAsia" w:ascii="仿宋_GB2312" w:eastAsia="仿宋_GB2312"/>
          <w:sz w:val="32"/>
          <w:szCs w:val="32"/>
          <w:lang w:eastAsia="zh-CN"/>
        </w:rPr>
        <w:t>单位</w:t>
      </w:r>
      <w:r>
        <w:rPr>
          <w:rFonts w:hint="eastAsia" w:ascii="仿宋_GB2312" w:eastAsia="仿宋_GB2312"/>
          <w:sz w:val="32"/>
          <w:szCs w:val="32"/>
        </w:rPr>
        <w:t>的公用经费，包括办公及印刷费、邮电费、差旅费、福利费、日常维修费、专用材料及一般设备购置费、办公用房水电费、办公用房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val="en-US" w:eastAsia="zh-CN"/>
        </w:rPr>
        <w:t>科学技术局</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Helvetica">
    <w:altName w:val="Arial"/>
    <w:panose1 w:val="020B0604020202020204"/>
    <w:charset w:val="00"/>
    <w:family w:val="auto"/>
    <w:pitch w:val="default"/>
    <w:sig w:usb0="00000000" w:usb1="00000000" w:usb2="00000009" w:usb3="00000000" w:csb0="000001FF" w:csb1="00000000"/>
  </w:font>
  <w:font w:name="方正小标宋_GBK">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3"/>
    <w:pPr>
      <w:ind w:left="1277"/>
      <w:outlineLvl w:val="1"/>
    </w:pPr>
    <w:rPr>
      <w:rFonts w:ascii="仿宋_GB2312" w:hAnsi="仿宋_GB2312" w:eastAsia="仿宋_GB2312" w:cs="仿宋_GB2312"/>
      <w:b/>
      <w:bCs/>
      <w:sz w:val="32"/>
      <w:szCs w:val="32"/>
      <w:lang w:val="zh-CN" w:bidi="zh-CN"/>
    </w:rPr>
  </w:style>
  <w:style w:type="character" w:default="1" w:styleId="4">
    <w:name w:val="Default Paragraph Font"/>
  </w:style>
  <w:style w:type="character" w:customStyle="1" w:styleId="3">
    <w:name w:val="标题 2 Char"/>
    <w:basedOn w:val="4"/>
    <w:link w:val="2"/>
    <w:semiHidden/>
    <w:rPr>
      <w:rFonts w:ascii="仿宋_GB2312" w:hAnsi="仿宋_GB2312" w:eastAsia="仿宋_GB2312" w:cs="仿宋_GB2312"/>
      <w:b/>
      <w:bCs/>
      <w:sz w:val="32"/>
      <w:szCs w:val="32"/>
      <w:lang w:val="zh-CN" w:bidi="zh-CN"/>
    </w:rPr>
  </w:style>
  <w:style w:type="paragraph" w:styleId="5">
    <w:name w:val="Body Text"/>
    <w:basedOn w:val="1"/>
    <w:link w:val="6"/>
    <w:rPr>
      <w:rFonts w:ascii="方正仿宋_GBK" w:hAnsi="方正仿宋_GBK" w:eastAsia="方正仿宋_GBK" w:cs="方正仿宋_GBK"/>
      <w:sz w:val="32"/>
      <w:szCs w:val="32"/>
      <w:lang w:val="zh-CN" w:bidi="zh-CN"/>
    </w:rPr>
  </w:style>
  <w:style w:type="character" w:customStyle="1" w:styleId="6">
    <w:name w:val="正文文本 Char"/>
    <w:basedOn w:val="4"/>
    <w:link w:val="5"/>
    <w:semiHidden/>
    <w:rPr>
      <w:rFonts w:ascii="方正仿宋_GBK" w:hAnsi="方正仿宋_GBK" w:eastAsia="方正仿宋_GBK" w:cs="方正仿宋_GBK"/>
      <w:sz w:val="32"/>
      <w:szCs w:val="32"/>
      <w:lang w:val="zh-CN" w:bidi="zh-CN"/>
    </w:rPr>
  </w:style>
  <w:style w:type="paragraph" w:styleId="7">
    <w:name w:val="footer"/>
    <w:basedOn w:val="1"/>
    <w:link w:val="8"/>
    <w:pPr>
      <w:tabs>
        <w:tab w:val="center" w:pos="4153"/>
        <w:tab w:val="right" w:pos="8306"/>
      </w:tabs>
      <w:snapToGrid w:val="0"/>
      <w:jc w:val="left"/>
    </w:pPr>
    <w:rPr>
      <w:sz w:val="18"/>
      <w:szCs w:val="18"/>
    </w:rPr>
  </w:style>
  <w:style w:type="character" w:customStyle="1" w:styleId="8">
    <w:name w:val="页脚 Char"/>
    <w:basedOn w:val="4"/>
    <w:link w:val="7"/>
    <w:semiHidden/>
    <w:rPr>
      <w:sz w:val="18"/>
      <w:szCs w:val="18"/>
    </w:rPr>
  </w:style>
  <w:style w:type="paragraph" w:styleId="9">
    <w:name w:val="header"/>
    <w:basedOn w:val="1"/>
    <w:link w:val="1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4"/>
    <w:link w:val="9"/>
    <w:semiHidden/>
    <w:rPr>
      <w:sz w:val="18"/>
      <w:szCs w:val="18"/>
    </w:rPr>
  </w:style>
  <w:style w:type="paragraph" w:customStyle="1" w:styleId="11">
    <w:name w:val="f1"/>
    <w:basedOn w:val="1"/>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2">
    <w:name w:val="page number"/>
    <w:basedOn w:val="4"/>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27</Pages>
  <Words>8448</Words>
  <Characters>9669</Characters>
  <Lines>69</Lines>
  <Paragraphs>19</Paragraphs>
  <TotalTime>0</TotalTime>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2022-02-13T11:16:00Z</dcterms:created>
  <dc:creator>闫超</dc:creator>
  <cp:lastPrinted>2022-04-02T07:55:00Z</cp:lastPrinted>
  <dcterms:modified xsi:type="dcterms:W3CDTF">2022-12-21T12:21:59Z</dcterms:modified>
  <dc:title>锦儿呐</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y fmtid="{D5CDD505-2E9C-101B-9397-08002B2CF9AE}" pid="3" name="ICV">
    <vt:lpwstr>99A2248F3E4648AF861647BCE2B18D4A</vt:lpwstr>
  </property>
</Properties>
</file>