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F10" w:rsidRDefault="00F35F10">
      <w:pPr>
        <w:snapToGrid w:val="0"/>
        <w:textAlignment w:val="baseline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F35F10" w:rsidRDefault="00F35F10">
      <w:pPr>
        <w:snapToGrid w:val="0"/>
        <w:textAlignment w:val="baseline"/>
        <w:rPr>
          <w:rFonts w:ascii="宋体" w:cs="宋体"/>
          <w:b/>
          <w:bCs/>
          <w:kern w:val="0"/>
          <w:sz w:val="44"/>
          <w:szCs w:val="44"/>
        </w:rPr>
      </w:pPr>
    </w:p>
    <w:p w:rsidR="00F35F10" w:rsidRDefault="00F35F10">
      <w:pPr>
        <w:snapToGrid w:val="0"/>
        <w:textAlignment w:val="baseline"/>
        <w:rPr>
          <w:rFonts w:ascii="宋体" w:cs="宋体"/>
          <w:b/>
          <w:bCs/>
          <w:kern w:val="0"/>
          <w:sz w:val="44"/>
          <w:szCs w:val="44"/>
        </w:rPr>
      </w:pPr>
    </w:p>
    <w:p w:rsidR="00F35F10" w:rsidRDefault="00F35F10">
      <w:pPr>
        <w:snapToGrid w:val="0"/>
        <w:textAlignment w:val="baseline"/>
        <w:rPr>
          <w:rFonts w:ascii="宋体" w:cs="宋体"/>
          <w:b/>
          <w:bCs/>
          <w:kern w:val="0"/>
          <w:sz w:val="44"/>
          <w:szCs w:val="44"/>
        </w:rPr>
      </w:pPr>
    </w:p>
    <w:p w:rsidR="00F35F10" w:rsidRDefault="00F35F10">
      <w:pPr>
        <w:snapToGrid w:val="0"/>
        <w:textAlignment w:val="baseline"/>
        <w:rPr>
          <w:rFonts w:ascii="黑体" w:eastAsia="黑体" w:hAnsi="黑体"/>
          <w:sz w:val="32"/>
          <w:szCs w:val="32"/>
        </w:rPr>
      </w:pPr>
    </w:p>
    <w:p w:rsidR="00F35F10" w:rsidRDefault="00F35F10">
      <w:pPr>
        <w:snapToGrid w:val="0"/>
        <w:textAlignment w:val="baseline"/>
        <w:rPr>
          <w:rFonts w:ascii="宋体" w:cs="宋体"/>
          <w:b/>
          <w:bCs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昌吉州工业和信息化局</w:t>
      </w:r>
      <w:r>
        <w:rPr>
          <w:rFonts w:ascii="方正小标宋_GBK" w:eastAsia="方正小标宋_GBK" w:hAnsi="宋体"/>
          <w:kern w:val="0"/>
          <w:sz w:val="44"/>
          <w:szCs w:val="44"/>
        </w:rPr>
        <w:t>2022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>
      <w:pPr>
        <w:widowControl/>
        <w:snapToGrid w:val="0"/>
        <w:spacing w:line="480" w:lineRule="exact"/>
        <w:jc w:val="center"/>
        <w:textAlignment w:val="baseline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F35F10" w:rsidRDefault="00F35F10" w:rsidP="00D06851">
      <w:pPr>
        <w:widowControl/>
        <w:snapToGrid w:val="0"/>
        <w:spacing w:line="480" w:lineRule="exact"/>
        <w:ind w:firstLineChars="200" w:firstLine="31680"/>
        <w:textAlignment w:val="baseline"/>
        <w:rPr>
          <w:rFonts w:ascii="宋体"/>
          <w:b/>
          <w:kern w:val="0"/>
          <w:sz w:val="44"/>
          <w:szCs w:val="44"/>
        </w:rPr>
      </w:pP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昌吉州工业和信息化局概况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2022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一、部门（单位）收支总体情况表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二、部门（单位）收入总体情况表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三、部门（单位）支出总体情况表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四、财政拨款收支总体情况表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五、一般公共预算支出情况表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六、一般公共预算基本支出情况表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项目支出情况表</w:t>
      </w:r>
    </w:p>
    <w:p w:rsidR="00F35F10" w:rsidRDefault="00F35F10" w:rsidP="00D06851">
      <w:pPr>
        <w:spacing w:line="50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八、一般公共预算“三公”经费支出情况表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九、政府性基金预算支出情况表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2022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九、关于昌吉州工业和信息化局</w:t>
      </w:r>
      <w:r>
        <w:rPr>
          <w:rFonts w:ascii="仿宋_GB2312" w:eastAsia="仿宋_GB2312" w:hAnsi="宋体"/>
          <w:kern w:val="0"/>
          <w:sz w:val="32"/>
          <w:szCs w:val="32"/>
        </w:rPr>
        <w:t>2022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F35F10" w:rsidRDefault="00F35F10" w:rsidP="00D06851">
      <w:pPr>
        <w:widowControl/>
        <w:snapToGrid w:val="0"/>
        <w:spacing w:line="500" w:lineRule="exact"/>
        <w:ind w:firstLineChars="200" w:firstLine="31680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昌吉州工业和信息化局单位概况</w:t>
      </w:r>
    </w:p>
    <w:p w:rsidR="00F35F10" w:rsidRDefault="00F35F10">
      <w:pPr>
        <w:widowControl/>
        <w:snapToGrid w:val="0"/>
        <w:spacing w:line="600" w:lineRule="exact"/>
        <w:jc w:val="center"/>
        <w:textAlignment w:val="baseline"/>
        <w:rPr>
          <w:rFonts w:asci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600" w:lineRule="exact"/>
        <w:jc w:val="left"/>
        <w:textAlignment w:val="baseline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一）贯彻执行国家、自治区工业和信息化的法律法规和方针政策，提出自治州工业和信息化发展规划和政策建议；拟订工业和信息化发展的政策措施，并组织实施和监督检查；协调解决工业和信息化进程中的重大问题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（二）拟订自治州工业和信息化发展规划；贯彻落实国家、自治区产业政策，并组织实施和监督检查；指导产业合理布局和结构调整。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（三）负责自治州工业经济运行，拟订工业经济运行调控目标，监测分析工业经济运行态势，进行预测预警和信息引导，协调解决工业经济运行中的重大问题并提出政策建议；负责协调石油开发建设与地方关系。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（四）负责自治州工业和信息化领域各行业的管理，拟订各行业专项规划，并组织实施技术规范和标准；负责盐业行业管理；负责园区建设管理工作；负责推进自治州重点产业发展工作。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（五）负责自治州工业和信息产业及信息化建设的技术改造投资管理；拟订技术改造投资的有关政策措施并组织实施；研究和规划技术改造项目投资方向和布局；负责技术改造投资项目审核、备案。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（六）贯彻落实工业和信息化领域技术创新政策措施；培育和发展战略性新兴产业；贯彻国家、自治区装备工业发展规划及政策措施；负责推进装备制造产业发展工作。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七）指导自治州工业和信息化领域体制改革和管理创新；贯彻落实促进中小企业发展的相关政策措施并组织实施，负责对中小企业的宏观指导和服务，指导中小企业改革与发展，建立健全服务体系；负责工业和信息化领域人员的培训；负责组织协调减轻企业负担工作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（八）贯彻落实工业和信息化领域资源节约和综合利用规划、政策；指导工业节能减排综合协调工作，指导工业和信息化领域循环经济发展；负责节能环保产业发展工作。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（九）负责民爆行业管理；对民用爆炸物品生产、销售依法实施和监督管理；配合有关部门指导工业领域相关行业的安全生产工作。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（十）贯彻执行国家、自治区电力行业技术规范和标准；负责权限范围内的电力行政执法、监督；组织协调解决电力生产、运营和供应中的重大问题。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十一）负责推进信息化工作；指导、协调经济社会各领域信息技术的推广应用工作；推进跨行业、跨部门面向社会服务的互联互通及重要信息资源开发利用和共享；统筹指导工业信息安全管理工作；推进信息化和工业化融合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（十二）指导电子信息产业的发展；指导电子信息产品制造业、软件业、信息服务业发展；协调电子信息产业重大专项实施。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（十三）完成自治州党委、自治州人民政府交办的其他任务。</w:t>
      </w:r>
    </w:p>
    <w:p w:rsidR="00F35F10" w:rsidRDefault="00F35F10">
      <w:pPr>
        <w:widowControl/>
        <w:snapToGrid w:val="0"/>
        <w:spacing w:line="600" w:lineRule="exact"/>
        <w:jc w:val="left"/>
        <w:textAlignment w:val="baseline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F35F10" w:rsidRDefault="00F35F10" w:rsidP="00D06851">
      <w:pPr>
        <w:widowControl/>
        <w:snapToGrid w:val="0"/>
        <w:spacing w:line="600" w:lineRule="exact"/>
        <w:ind w:firstLineChars="200" w:firstLine="3168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8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个科室，分别是办公室（组织人事科）、综合业务科、规划投资与产业政策科（行政审批科）、电子信息及信息化发展科、装备与科技质量科、园区管理科、企业指导与安全生产科、节能与综合利用科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>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减少</w:t>
      </w:r>
      <w:r>
        <w:rPr>
          <w:rFonts w:ascii="仿宋" w:eastAsia="仿宋" w:hAnsi="仿宋" w:cs="仿宋"/>
          <w:color w:val="000000"/>
          <w:sz w:val="33"/>
          <w:szCs w:val="33"/>
        </w:rPr>
        <w:t>1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/>
          <w:kern w:val="0"/>
          <w:sz w:val="32"/>
          <w:szCs w:val="32"/>
        </w:rPr>
        <w:t>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增加</w:t>
      </w:r>
      <w:r>
        <w:rPr>
          <w:rFonts w:ascii="仿宋" w:eastAsia="仿宋" w:hAnsi="仿宋" w:cs="仿宋"/>
          <w:color w:val="000000"/>
          <w:sz w:val="33"/>
          <w:szCs w:val="33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F35F10" w:rsidRDefault="00F35F10">
      <w:pPr>
        <w:widowControl/>
        <w:snapToGrid w:val="0"/>
        <w:spacing w:line="44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2022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F35F10" w:rsidRDefault="00F35F10">
      <w:pPr>
        <w:widowControl/>
        <w:snapToGrid w:val="0"/>
        <w:spacing w:line="440" w:lineRule="exact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Cs w:val="21"/>
        </w:rPr>
        <w:t>表</w:t>
      </w:r>
      <w:r>
        <w:rPr>
          <w:rFonts w:ascii="仿宋_GB2312" w:eastAsia="仿宋_GB2312" w:hAnsi="宋体"/>
          <w:bCs/>
          <w:kern w:val="0"/>
          <w:szCs w:val="21"/>
        </w:rPr>
        <w:t>1</w:t>
      </w:r>
    </w:p>
    <w:p w:rsidR="00F35F10" w:rsidRDefault="00F35F10">
      <w:pPr>
        <w:widowControl/>
        <w:snapToGrid w:val="0"/>
        <w:spacing w:line="440" w:lineRule="exact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F35F10" w:rsidRDefault="00F35F10">
      <w:pPr>
        <w:widowControl/>
        <w:snapToGrid w:val="0"/>
        <w:spacing w:line="440" w:lineRule="exact"/>
        <w:textAlignment w:val="baseline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昌吉州工业和信息化局</w:t>
      </w:r>
      <w:r>
        <w:rPr>
          <w:rFonts w:ascii="仿宋_GB2312" w:eastAsia="仿宋_GB2312" w:hAnsi="宋体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425"/>
        <w:gridCol w:w="1418"/>
        <w:gridCol w:w="3260"/>
        <w:gridCol w:w="1559"/>
      </w:tblGrid>
      <w:tr w:rsidR="00F35F10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30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30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699.1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699.1</w:t>
            </w:r>
          </w:p>
        </w:tc>
      </w:tr>
    </w:tbl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440" w:lineRule="exact"/>
        <w:textAlignment w:val="baseline"/>
        <w:rPr>
          <w:rFonts w:ascii="仿宋_GB2312" w:eastAsia="仿宋_GB2312" w:hAnsi="宋体"/>
          <w:bCs/>
          <w:kern w:val="0"/>
          <w:szCs w:val="21"/>
        </w:rPr>
      </w:pPr>
      <w:r>
        <w:rPr>
          <w:rFonts w:ascii="仿宋_GB2312" w:eastAsia="仿宋_GB2312" w:hAnsi="宋体" w:hint="eastAsia"/>
          <w:bCs/>
          <w:kern w:val="0"/>
          <w:szCs w:val="21"/>
        </w:rPr>
        <w:t>表</w:t>
      </w:r>
      <w:r>
        <w:rPr>
          <w:rFonts w:ascii="仿宋_GB2312" w:eastAsia="仿宋_GB2312" w:hAnsi="宋体"/>
          <w:bCs/>
          <w:kern w:val="0"/>
          <w:szCs w:val="21"/>
        </w:rPr>
        <w:t>2</w:t>
      </w:r>
    </w:p>
    <w:p w:rsidR="00F35F10" w:rsidRDefault="00F35F10" w:rsidP="00D06851">
      <w:pPr>
        <w:widowControl/>
        <w:snapToGrid w:val="0"/>
        <w:spacing w:line="440" w:lineRule="exact"/>
        <w:ind w:firstLineChars="600" w:firstLine="31680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编制部门：昌吉州工业和信息化局</w:t>
      </w:r>
      <w:r>
        <w:rPr>
          <w:rFonts w:ascii="仿宋_GB2312" w:eastAsia="仿宋_GB2312" w:hAnsi="宋体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15" w:type="dxa"/>
        <w:tblInd w:w="-450" w:type="dxa"/>
        <w:tblLayout w:type="fixed"/>
        <w:tblLook w:val="00A0"/>
      </w:tblPr>
      <w:tblGrid>
        <w:gridCol w:w="556"/>
        <w:gridCol w:w="581"/>
        <w:gridCol w:w="555"/>
        <w:gridCol w:w="2027"/>
        <w:gridCol w:w="1068"/>
        <w:gridCol w:w="915"/>
        <w:gridCol w:w="514"/>
        <w:gridCol w:w="536"/>
        <w:gridCol w:w="918"/>
        <w:gridCol w:w="658"/>
        <w:gridCol w:w="705"/>
        <w:gridCol w:w="682"/>
      </w:tblGrid>
      <w:tr w:rsidR="00F35F10">
        <w:trPr>
          <w:trHeight w:val="492"/>
        </w:trPr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F35F10">
        <w:trPr>
          <w:trHeight w:val="122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F35F10">
        <w:trPr>
          <w:trHeight w:val="39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一般公共服务支出</w:t>
            </w:r>
          </w:p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商贸事务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行政运行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5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其他商贸事务支出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130.00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52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社会保障和就业支出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行政事业单位养老支出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行政单位离退休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17.49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17.49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机关事业单位基本养老保险缴费支出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47.62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47.62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卫生健康支出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行政事业单位医疗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行政单位医疗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24.74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24.74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6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事业单位医疗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52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52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5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住房保障支出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5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住房改革支出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5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住房公积金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F35F10">
        <w:trPr>
          <w:trHeight w:val="47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合</w:t>
            </w:r>
            <w:r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</w:tbl>
    <w:p w:rsidR="00F35F10" w:rsidRDefault="00F35F10">
      <w:pPr>
        <w:widowControl/>
        <w:snapToGrid w:val="0"/>
        <w:spacing w:line="360" w:lineRule="exact"/>
        <w:jc w:val="left"/>
        <w:textAlignment w:val="baseline"/>
        <w:rPr>
          <w:rFonts w:ascii="仿宋" w:eastAsia="仿宋" w:hAnsi="仿宋" w:cs="仿宋"/>
          <w:b/>
          <w:kern w:val="0"/>
          <w:szCs w:val="21"/>
        </w:rPr>
      </w:pP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Cs/>
          <w:kern w:val="0"/>
          <w:szCs w:val="21"/>
        </w:rPr>
      </w:pPr>
      <w:r>
        <w:rPr>
          <w:rFonts w:ascii="仿宋_GB2312" w:eastAsia="仿宋_GB2312" w:hAnsi="宋体" w:hint="eastAsia"/>
          <w:bCs/>
          <w:kern w:val="0"/>
          <w:szCs w:val="21"/>
        </w:rPr>
        <w:t>表</w:t>
      </w:r>
      <w:r>
        <w:rPr>
          <w:rFonts w:ascii="仿宋_GB2312" w:eastAsia="仿宋_GB2312" w:hAnsi="宋体"/>
          <w:bCs/>
          <w:kern w:val="0"/>
          <w:szCs w:val="21"/>
        </w:rPr>
        <w:t>3</w:t>
      </w:r>
    </w:p>
    <w:p w:rsidR="00F35F10" w:rsidRDefault="00F35F10">
      <w:pPr>
        <w:widowControl/>
        <w:snapToGrid w:val="0"/>
        <w:spacing w:line="360" w:lineRule="exact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F35F10" w:rsidRDefault="00F35F10">
      <w:pPr>
        <w:widowControl/>
        <w:snapToGrid w:val="0"/>
        <w:spacing w:line="280" w:lineRule="exact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280" w:lineRule="exact"/>
        <w:jc w:val="left"/>
        <w:textAlignment w:val="baseline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编制部门：昌吉州工业和信息化局</w:t>
      </w:r>
      <w:r>
        <w:rPr>
          <w:rFonts w:ascii="仿宋_GB2312" w:eastAsia="仿宋_GB2312" w:hAnsi="宋体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99" w:type="dxa"/>
        <w:tblInd w:w="-240" w:type="dxa"/>
        <w:tblLayout w:type="fixed"/>
        <w:tblLook w:val="00A0"/>
      </w:tblPr>
      <w:tblGrid>
        <w:gridCol w:w="534"/>
        <w:gridCol w:w="429"/>
        <w:gridCol w:w="431"/>
        <w:gridCol w:w="2558"/>
        <w:gridCol w:w="1835"/>
        <w:gridCol w:w="1836"/>
        <w:gridCol w:w="1876"/>
      </w:tblGrid>
      <w:tr w:rsidR="00F35F10">
        <w:trPr>
          <w:trHeight w:val="428"/>
        </w:trPr>
        <w:tc>
          <w:tcPr>
            <w:tcW w:w="3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F35F10">
        <w:trPr>
          <w:trHeight w:val="676"/>
        </w:trPr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F35F10">
        <w:trPr>
          <w:trHeight w:val="3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61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一般公共服务支出</w:t>
            </w:r>
          </w:p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商贸事务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行政运行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8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99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其他商贸事务支出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130.00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社会保障和就业支出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行政事业单位养老支出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行政单位离退休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17.49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17.49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6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机关事业单位基本养老保险缴费支出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47.62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47.62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卫生健康支出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行政事业单位医疗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24.74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24.74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事业单位医疗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6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住房保障支出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4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住房改革支出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住房公积金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699.1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569.10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</w:t>
            </w:r>
          </w:p>
        </w:tc>
      </w:tr>
    </w:tbl>
    <w:p w:rsidR="00F35F10" w:rsidRDefault="00F35F10">
      <w:pPr>
        <w:widowControl/>
        <w:snapToGrid w:val="0"/>
        <w:spacing w:before="156" w:line="280" w:lineRule="exact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Cs/>
          <w:kern w:val="0"/>
          <w:szCs w:val="21"/>
        </w:rPr>
      </w:pPr>
      <w:r>
        <w:rPr>
          <w:rFonts w:ascii="仿宋_GB2312" w:eastAsia="仿宋_GB2312" w:hAnsi="宋体" w:hint="eastAsia"/>
          <w:bCs/>
          <w:kern w:val="0"/>
          <w:szCs w:val="21"/>
        </w:rPr>
        <w:t>表</w:t>
      </w:r>
      <w:r>
        <w:rPr>
          <w:rFonts w:ascii="仿宋_GB2312" w:eastAsia="仿宋_GB2312" w:hAnsi="宋体"/>
          <w:bCs/>
          <w:kern w:val="0"/>
          <w:szCs w:val="21"/>
        </w:rPr>
        <w:t>4</w:t>
      </w:r>
    </w:p>
    <w:p w:rsidR="00F35F10" w:rsidRDefault="00F35F10">
      <w:pPr>
        <w:widowControl/>
        <w:snapToGrid w:val="0"/>
        <w:spacing w:before="156" w:line="280" w:lineRule="exact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F35F10" w:rsidRDefault="00F35F10">
      <w:pPr>
        <w:widowControl/>
        <w:snapToGrid w:val="0"/>
        <w:spacing w:before="156" w:line="280" w:lineRule="exact"/>
        <w:textAlignment w:val="baseline"/>
        <w:rPr>
          <w:rFonts w:ascii="仿宋_GB2312" w:eastAsia="仿宋_GB2312" w:hAnsi="宋体"/>
          <w:kern w:val="0"/>
          <w:sz w:val="2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编制部门：昌吉州工业和信息化局</w:t>
      </w:r>
      <w:r>
        <w:rPr>
          <w:rFonts w:ascii="仿宋_GB2312" w:eastAsia="仿宋_GB2312" w:hAnsi="宋体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0A0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F35F10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F35F10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 w:rsidP="00F35F10">
            <w:pPr>
              <w:widowControl/>
              <w:snapToGrid w:val="0"/>
              <w:spacing w:line="280" w:lineRule="exact"/>
              <w:ind w:firstLineChars="50" w:firstLine="3168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 w:rsidP="00F35F10">
            <w:pPr>
              <w:widowControl/>
              <w:snapToGrid w:val="0"/>
              <w:spacing w:line="280" w:lineRule="exact"/>
              <w:ind w:firstLineChars="50" w:firstLine="31680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F35F10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837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right"/>
              <w:textAlignment w:val="top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699.10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tbl>
      <w:tblPr>
        <w:tblW w:w="9754" w:type="dxa"/>
        <w:tblInd w:w="-148" w:type="dxa"/>
        <w:tblLayout w:type="fixed"/>
        <w:tblLook w:val="00A0"/>
      </w:tblPr>
      <w:tblGrid>
        <w:gridCol w:w="113"/>
        <w:gridCol w:w="36"/>
        <w:gridCol w:w="609"/>
        <w:gridCol w:w="201"/>
        <w:gridCol w:w="383"/>
        <w:gridCol w:w="23"/>
        <w:gridCol w:w="92"/>
        <w:gridCol w:w="383"/>
        <w:gridCol w:w="186"/>
        <w:gridCol w:w="997"/>
        <w:gridCol w:w="1239"/>
        <w:gridCol w:w="210"/>
        <w:gridCol w:w="104"/>
        <w:gridCol w:w="446"/>
        <w:gridCol w:w="367"/>
        <w:gridCol w:w="581"/>
        <w:gridCol w:w="66"/>
        <w:gridCol w:w="24"/>
        <w:gridCol w:w="177"/>
        <w:gridCol w:w="211"/>
        <w:gridCol w:w="391"/>
        <w:gridCol w:w="115"/>
        <w:gridCol w:w="268"/>
        <w:gridCol w:w="315"/>
        <w:gridCol w:w="142"/>
        <w:gridCol w:w="293"/>
        <w:gridCol w:w="148"/>
        <w:gridCol w:w="399"/>
        <w:gridCol w:w="399"/>
        <w:gridCol w:w="400"/>
        <w:gridCol w:w="28"/>
        <w:gridCol w:w="74"/>
        <w:gridCol w:w="334"/>
      </w:tblGrid>
      <w:tr w:rsidR="00F35F10">
        <w:trPr>
          <w:gridBefore w:val="1"/>
          <w:wBefore w:w="114" w:type="dxa"/>
          <w:trHeight w:val="814"/>
        </w:trPr>
        <w:tc>
          <w:tcPr>
            <w:tcW w:w="9640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表</w:t>
            </w:r>
            <w:r>
              <w:rPr>
                <w:rFonts w:ascii="仿宋_GB2312" w:eastAsia="仿宋_GB2312" w:hAnsi="宋体"/>
                <w:bCs/>
                <w:kern w:val="0"/>
                <w:szCs w:val="21"/>
              </w:rPr>
              <w:t>5</w:t>
            </w:r>
          </w:p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F35F10">
        <w:trPr>
          <w:gridBefore w:val="1"/>
          <w:wBefore w:w="114" w:type="dxa"/>
          <w:trHeight w:val="738"/>
        </w:trPr>
        <w:tc>
          <w:tcPr>
            <w:tcW w:w="612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编制部门：昌吉州工业和信息化局</w:t>
            </w:r>
          </w:p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51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35F10">
        <w:trPr>
          <w:gridBefore w:val="1"/>
          <w:wBefore w:w="114" w:type="dxa"/>
          <w:trHeight w:val="421"/>
        </w:trPr>
        <w:tc>
          <w:tcPr>
            <w:tcW w:w="4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48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F35F10">
        <w:trPr>
          <w:gridBefore w:val="1"/>
          <w:wBefore w:w="114" w:type="dxa"/>
          <w:trHeight w:val="474"/>
        </w:trPr>
        <w:tc>
          <w:tcPr>
            <w:tcW w:w="1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9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91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F35F10">
        <w:trPr>
          <w:gridBefore w:val="1"/>
          <w:wBefore w:w="114" w:type="dxa"/>
          <w:trHeight w:val="353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35F10">
        <w:trPr>
          <w:gridBefore w:val="1"/>
          <w:wBefore w:w="114" w:type="dxa"/>
          <w:trHeight w:val="524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一般公共服务支出</w:t>
            </w:r>
          </w:p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7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</w:tr>
      <w:tr w:rsidR="00F35F10">
        <w:trPr>
          <w:gridBefore w:val="1"/>
          <w:wBefore w:w="114" w:type="dxa"/>
          <w:trHeight w:val="490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商贸事务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553.70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行政运行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423.70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526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99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其他商贸事务支出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130.00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130.00</w:t>
            </w: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</w:rPr>
              <w:t>社会保障和就业支出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677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</w:rPr>
              <w:t>行政事业单位养老支出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65.11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行政单位离退休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t>17.49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t>17.49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564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</w:rPr>
              <w:t>机关事业单位基本养老保险缴费支出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t>47.62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t>47.62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snapToGrid w:val="0"/>
              <w:jc w:val="righ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卫生健康支出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行政事业单位医疗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37.66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行政单位医疗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24.74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24.74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事业单位医疗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3.54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8.93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8.93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677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住房保障支出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62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住房改革支出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426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221</w:t>
            </w: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01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42.63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gridBefore w:val="1"/>
          <w:wBefore w:w="114" w:type="dxa"/>
          <w:trHeight w:val="528"/>
        </w:trPr>
        <w:tc>
          <w:tcPr>
            <w:tcW w:w="8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699.10</w:t>
            </w:r>
          </w:p>
        </w:tc>
        <w:tc>
          <w:tcPr>
            <w:tcW w:w="19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569.10</w:t>
            </w:r>
          </w:p>
        </w:tc>
        <w:tc>
          <w:tcPr>
            <w:tcW w:w="17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130.00</w:t>
            </w:r>
          </w:p>
        </w:tc>
      </w:tr>
      <w:tr w:rsidR="00F35F10">
        <w:trPr>
          <w:gridAfter w:val="1"/>
          <w:wAfter w:w="334" w:type="dxa"/>
          <w:trHeight w:val="646"/>
        </w:trPr>
        <w:tc>
          <w:tcPr>
            <w:tcW w:w="9420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/>
                <w:bCs/>
                <w:kern w:val="0"/>
                <w:szCs w:val="21"/>
              </w:rPr>
            </w:pPr>
          </w:p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表</w:t>
            </w:r>
            <w:r>
              <w:rPr>
                <w:rFonts w:ascii="仿宋_GB2312" w:eastAsia="仿宋_GB2312" w:hAnsi="宋体"/>
                <w:bCs/>
                <w:kern w:val="0"/>
                <w:szCs w:val="21"/>
              </w:rPr>
              <w:t>6</w:t>
            </w:r>
          </w:p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F35F10">
        <w:trPr>
          <w:gridAfter w:val="1"/>
          <w:wAfter w:w="334" w:type="dxa"/>
          <w:trHeight w:val="585"/>
        </w:trPr>
        <w:tc>
          <w:tcPr>
            <w:tcW w:w="695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编制部门：昌吉州工业和信息化局</w:t>
            </w:r>
          </w:p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 w:rsidP="00F35F10">
            <w:pPr>
              <w:widowControl/>
              <w:snapToGrid w:val="0"/>
              <w:ind w:firstLineChars="300" w:firstLine="3168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45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F35F10">
        <w:trPr>
          <w:gridAfter w:val="1"/>
          <w:wAfter w:w="334" w:type="dxa"/>
          <w:trHeight w:val="591"/>
        </w:trPr>
        <w:tc>
          <w:tcPr>
            <w:tcW w:w="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36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9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9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4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F35F10">
        <w:trPr>
          <w:gridAfter w:val="1"/>
          <w:wAfter w:w="334" w:type="dxa"/>
          <w:trHeight w:val="261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36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444.20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444.20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142.93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142.93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130.71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130.71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11.68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11.68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15.53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15.53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47.62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47.62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城镇职工基本医疗保险缴费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28.28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28.28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8.93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8.93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42.63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42.63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55.75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55.75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18.20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18.20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0.50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0.10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2.25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2.35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会议费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0.66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0.50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5.61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5.61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5.05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5.05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10.00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10.54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10.54</w:t>
            </w: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69.14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69.14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16.70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16.70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生活补助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医疗费补助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44.46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44.46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26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其他对个人和家庭的补助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</w:p>
        </w:tc>
      </w:tr>
      <w:tr w:rsidR="00F35F10">
        <w:trPr>
          <w:gridAfter w:val="1"/>
          <w:wAfter w:w="334" w:type="dxa"/>
          <w:trHeight w:val="342"/>
        </w:trPr>
        <w:tc>
          <w:tcPr>
            <w:tcW w:w="7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569.10</w:t>
            </w:r>
          </w:p>
        </w:tc>
        <w:tc>
          <w:tcPr>
            <w:tcW w:w="17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widowControl/>
              <w:jc w:val="center"/>
              <w:textAlignment w:val="top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513.34</w:t>
            </w:r>
          </w:p>
        </w:tc>
        <w:tc>
          <w:tcPr>
            <w:tcW w:w="174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5F10" w:rsidRDefault="00F35F10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55.75</w:t>
            </w:r>
          </w:p>
        </w:tc>
      </w:tr>
      <w:tr w:rsidR="00F35F10">
        <w:trPr>
          <w:gridBefore w:val="2"/>
          <w:gridAfter w:val="2"/>
          <w:wBefore w:w="151" w:type="dxa"/>
          <w:wAfter w:w="407" w:type="dxa"/>
          <w:trHeight w:val="922"/>
        </w:trPr>
        <w:tc>
          <w:tcPr>
            <w:tcW w:w="9196" w:type="dxa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kern w:val="0"/>
                <w:szCs w:val="21"/>
              </w:rPr>
              <w:t>表</w:t>
            </w:r>
            <w:r>
              <w:rPr>
                <w:rFonts w:ascii="仿宋_GB2312" w:eastAsia="仿宋_GB2312" w:hAnsi="宋体"/>
                <w:bCs/>
                <w:kern w:val="0"/>
                <w:szCs w:val="21"/>
              </w:rPr>
              <w:t>7</w:t>
            </w:r>
          </w:p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F35F10">
        <w:trPr>
          <w:gridBefore w:val="2"/>
          <w:gridAfter w:val="2"/>
          <w:wBefore w:w="151" w:type="dxa"/>
          <w:wAfter w:w="407" w:type="dxa"/>
          <w:trHeight w:val="433"/>
        </w:trPr>
        <w:tc>
          <w:tcPr>
            <w:tcW w:w="588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编制部门：昌吉州工业和信息化局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89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5F10" w:rsidRDefault="00F35F10" w:rsidP="00F35F10">
            <w:pPr>
              <w:widowControl/>
              <w:snapToGrid w:val="0"/>
              <w:ind w:firstLineChars="400" w:firstLine="31680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148" w:type="dxa"/>
          <w:wAfter w:w="434" w:type="dxa"/>
          <w:trHeight w:val="495"/>
        </w:trPr>
        <w:tc>
          <w:tcPr>
            <w:tcW w:w="1692" w:type="dxa"/>
            <w:gridSpan w:val="6"/>
            <w:noWrap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184" w:type="dxa"/>
            <w:gridSpan w:val="2"/>
            <w:vMerge w:val="restart"/>
            <w:noWrap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0" w:type="dxa"/>
            <w:gridSpan w:val="2"/>
            <w:vMerge w:val="restart"/>
            <w:noWrap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550" w:type="dxa"/>
            <w:gridSpan w:val="2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67" w:type="dxa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7" w:type="dxa"/>
            <w:gridSpan w:val="2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12" w:type="dxa"/>
            <w:gridSpan w:val="3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91" w:type="dxa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383" w:type="dxa"/>
            <w:gridSpan w:val="2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15" w:type="dxa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83" w:type="dxa"/>
            <w:gridSpan w:val="3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99" w:type="dxa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99" w:type="dxa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00" w:type="dxa"/>
            <w:vMerge w:val="restart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148" w:type="dxa"/>
          <w:wAfter w:w="434" w:type="dxa"/>
          <w:trHeight w:val="2361"/>
        </w:trPr>
        <w:tc>
          <w:tcPr>
            <w:tcW w:w="610" w:type="dxa"/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类</w:t>
            </w:r>
          </w:p>
        </w:tc>
        <w:tc>
          <w:tcPr>
            <w:tcW w:w="607" w:type="dxa"/>
            <w:gridSpan w:val="3"/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款</w:t>
            </w:r>
          </w:p>
        </w:tc>
        <w:tc>
          <w:tcPr>
            <w:tcW w:w="475" w:type="dxa"/>
            <w:gridSpan w:val="2"/>
            <w:noWrap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项</w:t>
            </w:r>
          </w:p>
        </w:tc>
        <w:tc>
          <w:tcPr>
            <w:tcW w:w="1184" w:type="dxa"/>
            <w:gridSpan w:val="2"/>
            <w:vMerge/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367" w:type="dxa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391" w:type="dxa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315" w:type="dxa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399" w:type="dxa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399" w:type="dxa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  <w:tc>
          <w:tcPr>
            <w:tcW w:w="400" w:type="dxa"/>
            <w:vMerge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" w:eastAsia="仿宋" w:hAnsi="仿宋" w:cs="仿宋"/>
                <w:b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74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left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一般公共服务支出</w:t>
            </w:r>
          </w:p>
          <w:p w:rsidR="00F35F10" w:rsidRDefault="00F35F10">
            <w:pPr>
              <w:snapToGrid w:val="0"/>
              <w:jc w:val="left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412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left"/>
              <w:textAlignment w:val="baseline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商贸事务</w:t>
            </w: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835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02</w:t>
            </w: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一般行政管理事务</w:t>
            </w: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“数字昌吉”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-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工业互联网发展路径分析研究项目</w:t>
            </w:r>
          </w:p>
          <w:p w:rsidR="00F35F10" w:rsidRDefault="00F35F10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80</w:t>
            </w: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80</w:t>
            </w: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496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201</w:t>
            </w: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13</w:t>
            </w: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99</w:t>
            </w: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其他商贸事务支出</w:t>
            </w: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snapToGrid w:val="0"/>
              <w:textAlignment w:val="baseline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工业高质量发展研究工作经费</w:t>
            </w:r>
          </w:p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50</w:t>
            </w: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50</w:t>
            </w: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50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50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50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50"/>
        </w:trPr>
        <w:tc>
          <w:tcPr>
            <w:tcW w:w="610" w:type="dxa"/>
            <w:vAlign w:val="center"/>
          </w:tcPr>
          <w:p w:rsidR="00F35F10" w:rsidRDefault="00F35F10">
            <w:pPr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87"/>
        </w:trPr>
        <w:tc>
          <w:tcPr>
            <w:tcW w:w="610" w:type="dxa"/>
            <w:vAlign w:val="center"/>
          </w:tcPr>
          <w:p w:rsidR="00F35F10" w:rsidRDefault="00F35F10">
            <w:pPr>
              <w:widowControl/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38"/>
        </w:trPr>
        <w:tc>
          <w:tcPr>
            <w:tcW w:w="610" w:type="dxa"/>
            <w:vAlign w:val="center"/>
          </w:tcPr>
          <w:p w:rsidR="00F35F10" w:rsidRDefault="00F35F10">
            <w:pPr>
              <w:widowControl/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71"/>
        </w:trPr>
        <w:tc>
          <w:tcPr>
            <w:tcW w:w="610" w:type="dxa"/>
            <w:vAlign w:val="center"/>
          </w:tcPr>
          <w:p w:rsidR="00F35F10" w:rsidRDefault="00F35F10">
            <w:pPr>
              <w:widowControl/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F35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148" w:type="dxa"/>
          <w:wAfter w:w="406" w:type="dxa"/>
          <w:trHeight w:val="518"/>
        </w:trPr>
        <w:tc>
          <w:tcPr>
            <w:tcW w:w="610" w:type="dxa"/>
            <w:vAlign w:val="center"/>
          </w:tcPr>
          <w:p w:rsidR="00F35F10" w:rsidRDefault="00F35F10">
            <w:pPr>
              <w:widowControl/>
              <w:snapToGrid w:val="0"/>
              <w:spacing w:line="480" w:lineRule="auto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合</w:t>
            </w:r>
            <w:r>
              <w:rPr>
                <w:rFonts w:ascii="仿宋" w:eastAsia="仿宋" w:hAnsi="仿宋" w:cs="仿宋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计</w:t>
            </w:r>
          </w:p>
        </w:tc>
        <w:tc>
          <w:tcPr>
            <w:tcW w:w="550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130</w:t>
            </w:r>
          </w:p>
        </w:tc>
        <w:tc>
          <w:tcPr>
            <w:tcW w:w="367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/>
                <w:kern w:val="0"/>
                <w:szCs w:val="21"/>
              </w:rPr>
              <w:t>130</w:t>
            </w:r>
          </w:p>
        </w:tc>
        <w:tc>
          <w:tcPr>
            <w:tcW w:w="412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399" w:type="dxa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</w:tbl>
    <w:p w:rsidR="00F35F10" w:rsidRDefault="00F35F10">
      <w:pPr>
        <w:widowControl/>
        <w:snapToGrid w:val="0"/>
        <w:textAlignment w:val="baseline"/>
        <w:rPr>
          <w:rFonts w:ascii="仿宋" w:eastAsia="仿宋" w:hAnsi="仿宋" w:cs="仿宋"/>
          <w:b/>
          <w:kern w:val="0"/>
          <w:szCs w:val="21"/>
        </w:rPr>
      </w:pP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Cs/>
          <w:kern w:val="0"/>
          <w:szCs w:val="21"/>
        </w:rPr>
      </w:pP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Cs/>
          <w:kern w:val="0"/>
          <w:szCs w:val="21"/>
        </w:rPr>
      </w:pPr>
      <w:r>
        <w:rPr>
          <w:rFonts w:ascii="仿宋_GB2312" w:eastAsia="仿宋_GB2312" w:hAnsi="宋体" w:hint="eastAsia"/>
          <w:bCs/>
          <w:kern w:val="0"/>
          <w:szCs w:val="21"/>
        </w:rPr>
        <w:t>表</w:t>
      </w:r>
      <w:r>
        <w:rPr>
          <w:rFonts w:ascii="仿宋_GB2312" w:eastAsia="仿宋_GB2312" w:hAnsi="宋体"/>
          <w:bCs/>
          <w:kern w:val="0"/>
          <w:szCs w:val="21"/>
        </w:rPr>
        <w:t>8</w:t>
      </w:r>
    </w:p>
    <w:p w:rsidR="00F35F10" w:rsidRDefault="00F35F10">
      <w:pPr>
        <w:widowControl/>
        <w:snapToGrid w:val="0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F35F10" w:rsidRDefault="00F35F10">
      <w:pPr>
        <w:widowControl/>
        <w:snapToGrid w:val="0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昌吉州工业和信息化局</w:t>
      </w:r>
      <w:r>
        <w:rPr>
          <w:rFonts w:ascii="仿宋_GB2312" w:eastAsia="仿宋_GB2312" w:hAnsi="宋体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F35F1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F35F1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left"/>
              <w:textAlignment w:val="baseline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F35F1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F35F1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textAlignment w:val="baseline"/>
        <w:rPr>
          <w:rFonts w:ascii="仿宋_GB2312" w:eastAsia="仿宋_GB2312" w:hAnsi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360" w:lineRule="exact"/>
        <w:jc w:val="left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35F10" w:rsidRDefault="00F35F10">
      <w:pPr>
        <w:widowControl/>
        <w:snapToGrid w:val="0"/>
        <w:jc w:val="left"/>
        <w:textAlignment w:val="baseline"/>
        <w:rPr>
          <w:rFonts w:ascii="仿宋_GB2312" w:eastAsia="仿宋_GB2312" w:hAnsi="宋体"/>
          <w:bCs/>
          <w:kern w:val="0"/>
          <w:szCs w:val="21"/>
        </w:rPr>
      </w:pPr>
      <w:r>
        <w:rPr>
          <w:rFonts w:ascii="仿宋_GB2312" w:eastAsia="仿宋_GB2312" w:hAnsi="宋体" w:hint="eastAsia"/>
          <w:bCs/>
          <w:kern w:val="0"/>
          <w:szCs w:val="21"/>
        </w:rPr>
        <w:t>表</w:t>
      </w:r>
      <w:r>
        <w:rPr>
          <w:rFonts w:ascii="仿宋_GB2312" w:eastAsia="仿宋_GB2312" w:hAnsi="宋体"/>
          <w:bCs/>
          <w:kern w:val="0"/>
          <w:szCs w:val="21"/>
        </w:rPr>
        <w:t>9</w:t>
      </w:r>
    </w:p>
    <w:p w:rsidR="00F35F10" w:rsidRDefault="00F35F10">
      <w:pPr>
        <w:widowControl/>
        <w:snapToGrid w:val="0"/>
        <w:spacing w:line="360" w:lineRule="exact"/>
        <w:jc w:val="center"/>
        <w:textAlignment w:val="baseline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F35F10" w:rsidRDefault="00F35F10">
      <w:pPr>
        <w:widowControl/>
        <w:snapToGrid w:val="0"/>
        <w:spacing w:line="280" w:lineRule="exact"/>
        <w:textAlignment w:val="baseline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编制部门：昌吉州工业和信息化局</w:t>
      </w:r>
      <w:r>
        <w:rPr>
          <w:rFonts w:ascii="仿宋_GB2312" w:eastAsia="仿宋_GB2312" w:hAnsi="宋体"/>
          <w:kern w:val="0"/>
          <w:sz w:val="24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F35F10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F35F10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F35F10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35F1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F10" w:rsidRDefault="00F35F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35F10" w:rsidRDefault="00F35F10">
      <w:pPr>
        <w:widowControl/>
        <w:snapToGrid w:val="0"/>
        <w:spacing w:line="280" w:lineRule="exact"/>
        <w:textAlignment w:val="baseline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F35F10" w:rsidRDefault="00F35F10">
      <w:pPr>
        <w:widowControl/>
        <w:snapToGrid w:val="0"/>
        <w:spacing w:line="280" w:lineRule="exact"/>
        <w:jc w:val="left"/>
        <w:textAlignment w:val="baseline"/>
        <w:rPr>
          <w:rFonts w:ascii="仿宋_GB2312" w:eastAsia="仿宋_GB2312" w:hAnsi="宋体"/>
          <w:kern w:val="0"/>
          <w:sz w:val="32"/>
          <w:szCs w:val="32"/>
        </w:rPr>
        <w:sectPr w:rsidR="00F35F10">
          <w:footerReference w:type="even" r:id="rId6"/>
          <w:footerReference w:type="default" r:id="rId7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F35F10" w:rsidRDefault="00F35F10">
      <w:pPr>
        <w:snapToGrid w:val="0"/>
        <w:spacing w:line="6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2022</w:t>
      </w:r>
      <w:r>
        <w:rPr>
          <w:rFonts w:ascii="黑体" w:eastAsia="黑体" w:hAnsi="黑体" w:hint="eastAsia"/>
          <w:kern w:val="0"/>
          <w:sz w:val="32"/>
          <w:szCs w:val="32"/>
        </w:rPr>
        <w:t>年昌吉州工业和信息化局预算情况说明</w:t>
      </w:r>
    </w:p>
    <w:p w:rsidR="00F35F10" w:rsidRDefault="00F35F10">
      <w:pPr>
        <w:snapToGrid w:val="0"/>
        <w:spacing w:line="600" w:lineRule="exact"/>
        <w:jc w:val="center"/>
        <w:textAlignment w:val="baseline"/>
        <w:rPr>
          <w:rFonts w:ascii="黑体" w:eastAsia="黑体" w:hAnsi="黑体"/>
          <w:kern w:val="0"/>
          <w:sz w:val="32"/>
          <w:szCs w:val="32"/>
        </w:rPr>
      </w:pP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昌吉州工业和信息化局</w:t>
      </w:r>
      <w:r>
        <w:rPr>
          <w:rFonts w:ascii="黑体" w:eastAsia="黑体" w:hAnsi="黑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按照全口径预算的原则，昌吉州工业和信息化局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699.1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支出预算包括：一般公共服务支出、社会保障和就业支出、医疗卫生健康支出、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住房保障支出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昌吉州工业和信息化局</w:t>
      </w:r>
      <w:r>
        <w:rPr>
          <w:rFonts w:ascii="黑体" w:eastAsia="黑体" w:hAnsi="黑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699.1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一般公共预算</w:t>
      </w:r>
      <w:r>
        <w:rPr>
          <w:rFonts w:ascii="仿宋" w:eastAsia="仿宋" w:hAnsi="仿宋" w:cs="仿宋"/>
          <w:kern w:val="0"/>
          <w:sz w:val="32"/>
          <w:szCs w:val="32"/>
        </w:rPr>
        <w:t>699.1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，比上年预算减少</w:t>
      </w:r>
      <w:r>
        <w:rPr>
          <w:rFonts w:ascii="仿宋" w:eastAsia="仿宋" w:hAnsi="仿宋" w:cs="仿宋"/>
          <w:kern w:val="0"/>
          <w:sz w:val="32"/>
          <w:szCs w:val="32"/>
        </w:rPr>
        <w:t>138.4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万元，下降</w:t>
      </w:r>
      <w:r>
        <w:rPr>
          <w:rFonts w:ascii="仿宋" w:eastAsia="仿宋" w:hAnsi="仿宋" w:cs="仿宋"/>
          <w:kern w:val="0"/>
          <w:sz w:val="32"/>
          <w:szCs w:val="32"/>
        </w:rPr>
        <w:t>16.53%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，主要原因是在职职工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伙食补助费没有纳入本年预算及</w:t>
      </w:r>
      <w:r>
        <w:rPr>
          <w:rFonts w:ascii="仿宋" w:eastAsia="仿宋" w:hAnsi="仿宋" w:cs="仿宋" w:hint="eastAsia"/>
          <w:kern w:val="0"/>
          <w:sz w:val="32"/>
          <w:szCs w:val="32"/>
        </w:rPr>
        <w:t>人员减少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基本支出工资福利及公用经费支出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较上年预算</w:t>
      </w:r>
      <w:r>
        <w:rPr>
          <w:rFonts w:ascii="仿宋" w:eastAsia="仿宋" w:hAnsi="仿宋" w:cs="仿宋" w:hint="eastAsia"/>
          <w:kern w:val="0"/>
          <w:sz w:val="32"/>
          <w:szCs w:val="32"/>
        </w:rPr>
        <w:t>减少；工作任务调整，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项目支出较上年预算减少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昌吉州工业和信息化局</w:t>
      </w:r>
      <w:r>
        <w:rPr>
          <w:rFonts w:ascii="黑体" w:eastAsia="黑体" w:hAnsi="黑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699.1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569.1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81.4%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21.4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3.76%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主要原因是在职职工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伙食补助费没有纳入本年预算及</w:t>
      </w:r>
      <w:r>
        <w:rPr>
          <w:rFonts w:ascii="仿宋" w:eastAsia="仿宋" w:hAnsi="仿宋" w:cs="仿宋" w:hint="eastAsia"/>
          <w:kern w:val="0"/>
          <w:sz w:val="32"/>
          <w:szCs w:val="32"/>
        </w:rPr>
        <w:t>人员减少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基本支出工资福利及公用经费支出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较上年预算</w:t>
      </w:r>
      <w:r>
        <w:rPr>
          <w:rFonts w:ascii="仿宋" w:eastAsia="仿宋" w:hAnsi="仿宋" w:cs="仿宋" w:hint="eastAsia"/>
          <w:kern w:val="0"/>
          <w:sz w:val="32"/>
          <w:szCs w:val="32"/>
        </w:rPr>
        <w:t>减少；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130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18.6%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117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47.37%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</w:t>
      </w:r>
      <w:r>
        <w:rPr>
          <w:rFonts w:ascii="仿宋" w:eastAsia="仿宋" w:hAnsi="仿宋" w:cs="仿宋" w:hint="eastAsia"/>
          <w:kern w:val="0"/>
          <w:sz w:val="32"/>
          <w:szCs w:val="32"/>
        </w:rPr>
        <w:t>工作任务调整，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项目支出较上年预算减少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昌吉州工业和信息化局</w:t>
      </w:r>
      <w:r>
        <w:rPr>
          <w:rFonts w:ascii="黑体" w:eastAsia="黑体" w:hAnsi="黑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699.1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/>
          <w:kern w:val="0"/>
          <w:sz w:val="32"/>
          <w:szCs w:val="32"/>
        </w:rPr>
        <w:t>699.1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553.7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万元，主要用于公用经费、人员经费及项目支出；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65.11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000000"/>
          <w:spacing w:val="-6"/>
          <w:kern w:val="0"/>
          <w:sz w:val="32"/>
          <w:szCs w:val="32"/>
        </w:rPr>
        <w:t>主要用于缴纳机关事业单位基本养老保险缴费支出；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37.66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主要用于事业单位医疗及公务员医疗补助支出；住房保障支出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42.63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万元，主要用于缴纳职工住房公积金。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昌吉州工业和信息化局</w:t>
      </w:r>
      <w:r>
        <w:rPr>
          <w:rFonts w:ascii="黑体" w:eastAsia="黑体" w:hAnsi="黑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/>
          <w:kern w:val="0"/>
          <w:sz w:val="32"/>
          <w:szCs w:val="32"/>
        </w:rPr>
        <w:t>699.1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569.1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21.4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3.76%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主要原因是，在职职工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伙食补助费没有纳入本年预算及</w:t>
      </w:r>
      <w:r>
        <w:rPr>
          <w:rFonts w:ascii="仿宋" w:eastAsia="仿宋" w:hAnsi="仿宋" w:cs="仿宋" w:hint="eastAsia"/>
          <w:kern w:val="0"/>
          <w:sz w:val="32"/>
          <w:szCs w:val="32"/>
        </w:rPr>
        <w:t>人员减少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基本支出工资福利及公用经费支出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较上年预算</w:t>
      </w:r>
      <w:r>
        <w:rPr>
          <w:rFonts w:ascii="仿宋" w:eastAsia="仿宋" w:hAnsi="仿宋" w:cs="仿宋" w:hint="eastAsia"/>
          <w:kern w:val="0"/>
          <w:sz w:val="32"/>
          <w:szCs w:val="32"/>
        </w:rPr>
        <w:t>减少；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130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117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47.37%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</w:t>
      </w:r>
      <w:r>
        <w:rPr>
          <w:rFonts w:ascii="仿宋" w:eastAsia="仿宋" w:hAnsi="仿宋" w:cs="仿宋" w:hint="eastAsia"/>
          <w:kern w:val="0"/>
          <w:sz w:val="32"/>
          <w:szCs w:val="32"/>
        </w:rPr>
        <w:t>工作任务调整，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项目支出较上年预算减少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/>
          <w:sz w:val="32"/>
          <w:szCs w:val="32"/>
        </w:rPr>
        <w:t>553.7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/>
          <w:sz w:val="32"/>
          <w:szCs w:val="32"/>
        </w:rPr>
        <w:t>79.2%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社会保障和就业支出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65.11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万元，占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9.31%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卫生健康支出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37.66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万元，占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5.39%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住房保障支出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42.63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6.1%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一般公共服务（类）商贸事务（款）行政运行（项）：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423.7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44.34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9.47%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" w:eastAsia="仿宋" w:hAnsi="仿宋" w:cs="仿宋" w:hint="eastAsia"/>
          <w:kern w:val="0"/>
          <w:sz w:val="32"/>
          <w:szCs w:val="32"/>
        </w:rPr>
        <w:t>在职职工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伙食补助费没有纳入本年预算及</w:t>
      </w:r>
      <w:r>
        <w:rPr>
          <w:rFonts w:ascii="仿宋" w:eastAsia="仿宋" w:hAnsi="仿宋" w:cs="仿宋" w:hint="eastAsia"/>
          <w:kern w:val="0"/>
          <w:sz w:val="32"/>
          <w:szCs w:val="32"/>
        </w:rPr>
        <w:t>人员减少</w:t>
      </w:r>
      <w:r>
        <w:rPr>
          <w:rFonts w:ascii="仿宋" w:eastAsia="仿宋" w:hAnsi="仿宋" w:cs="仿宋"/>
          <w:kern w:val="0"/>
          <w:sz w:val="32"/>
          <w:szCs w:val="32"/>
        </w:rPr>
        <w:t>,</w:t>
      </w:r>
      <w:r>
        <w:rPr>
          <w:rFonts w:ascii="仿宋" w:eastAsia="仿宋" w:hAnsi="仿宋" w:cs="仿宋" w:hint="eastAsia"/>
          <w:kern w:val="0"/>
          <w:sz w:val="32"/>
          <w:szCs w:val="32"/>
        </w:rPr>
        <w:t>基本支出工资福利及公用经费支出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较上年预算</w:t>
      </w:r>
      <w:r>
        <w:rPr>
          <w:rFonts w:ascii="仿宋" w:eastAsia="仿宋" w:hAnsi="仿宋" w:cs="仿宋" w:hint="eastAsia"/>
          <w:kern w:val="0"/>
          <w:sz w:val="32"/>
          <w:szCs w:val="32"/>
        </w:rPr>
        <w:t>减少。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一般公共服务（类）商贸事务（款）</w:t>
      </w:r>
      <w:r>
        <w:rPr>
          <w:rFonts w:ascii="仿宋_GB2312" w:eastAsia="仿宋_GB2312" w:hint="eastAsia"/>
          <w:sz w:val="32"/>
          <w:szCs w:val="32"/>
        </w:rPr>
        <w:t>其他商贸事务支出务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（项）：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117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47.37%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" w:eastAsia="仿宋" w:hAnsi="仿宋" w:cs="仿宋" w:hint="eastAsia"/>
          <w:kern w:val="0"/>
          <w:sz w:val="32"/>
          <w:szCs w:val="32"/>
        </w:rPr>
        <w:t>工作任务调整，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项目支出较上年预算减少。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社会保障和就业支出（类）行政事业单位养老支出（款）行政单位离退休（项）：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17.49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17.49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年行政单位离退休支出预算按款项明细划分。</w:t>
      </w:r>
    </w:p>
    <w:p w:rsidR="00F35F10" w:rsidRDefault="00F35F10" w:rsidP="00D06851">
      <w:pPr>
        <w:spacing w:line="600" w:lineRule="exact"/>
        <w:ind w:firstLineChars="200" w:firstLine="316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社会保障和就业支出（类）行政事业单位养老支出（款）机关事业单位基本养老保险缴费支出（项）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47.62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/>
          <w:kern w:val="0"/>
          <w:sz w:val="32"/>
          <w:szCs w:val="32"/>
        </w:rPr>
        <w:t>2.54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增长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5.63%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，主要原因是：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调标增资，机关事业单位基本养老保险缴费支出较上年预算增加。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卫生健康支出（类）行政事业单位医疗（款）行政单位医疗（项）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24.74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30.51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下降</w:t>
      </w:r>
      <w:r>
        <w:rPr>
          <w:rFonts w:ascii="仿宋" w:eastAsia="仿宋" w:hAnsi="仿宋" w:cs="仿宋"/>
          <w:kern w:val="0"/>
          <w:sz w:val="32"/>
          <w:szCs w:val="32"/>
        </w:rPr>
        <w:t>52.38%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社保缴费基数调整。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卫生健康支出（类）行政事业单位医疗（款）事业单位医疗（项）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/>
          <w:kern w:val="0"/>
          <w:sz w:val="32"/>
          <w:szCs w:val="32"/>
        </w:rPr>
        <w:t>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，主要原因是：增加事业编制人员，调整预算功能科目。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卫生健康支出（类）行政事业单位医疗（款）公务员医疗补助（项）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8.93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/>
          <w:kern w:val="0"/>
          <w:sz w:val="32"/>
          <w:szCs w:val="32"/>
        </w:rPr>
        <w:t>10.02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下降</w:t>
      </w:r>
      <w:r>
        <w:rPr>
          <w:rFonts w:ascii="仿宋" w:eastAsia="仿宋" w:hAnsi="仿宋" w:cs="仿宋"/>
          <w:kern w:val="0"/>
          <w:sz w:val="32"/>
          <w:szCs w:val="32"/>
        </w:rPr>
        <w:t>52.8%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社保缴费基数调整。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8.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卫生健康支出（类）行政事业单位医疗（款）其他行政事业单位医疗补助（项）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0.46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/>
          <w:kern w:val="0"/>
          <w:sz w:val="32"/>
          <w:szCs w:val="32"/>
        </w:rPr>
        <w:t>0.28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/>
          <w:kern w:val="0"/>
          <w:sz w:val="32"/>
          <w:szCs w:val="32"/>
        </w:rPr>
        <w:t>155.56%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，主要原因是：调标增资，行政事业单位医疗补助缴费支出较上年预算增加。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>9.</w:t>
      </w:r>
      <w:r>
        <w:rPr>
          <w:rFonts w:ascii="仿宋" w:eastAsia="仿宋" w:hAnsi="仿宋" w:cs="仿宋" w:hint="eastAsia"/>
          <w:sz w:val="32"/>
          <w:szCs w:val="32"/>
        </w:rPr>
        <w:t>住房保障支出（类）住房改革支出（款）住房公积金（项）：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42.63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42.63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主要原因是：</w:t>
      </w:r>
      <w:r>
        <w:rPr>
          <w:rFonts w:ascii="仿宋" w:eastAsia="仿宋" w:hAnsi="仿宋" w:cs="仿宋"/>
          <w:kern w:val="0"/>
          <w:sz w:val="32"/>
          <w:szCs w:val="32"/>
        </w:rPr>
        <w:t>2022</w:t>
      </w:r>
      <w:r>
        <w:rPr>
          <w:rFonts w:ascii="仿宋" w:eastAsia="仿宋" w:hAnsi="仿宋" w:cs="仿宋" w:hint="eastAsia"/>
          <w:kern w:val="0"/>
          <w:sz w:val="32"/>
          <w:szCs w:val="32"/>
        </w:rPr>
        <w:t>年在职职工公积金缴费预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算按款项明细划分。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昌吉州工业和信息化局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年一般公共预算基本支出情况说明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569.1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其中：</w:t>
      </w: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513.34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主要包括：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基本工资、津贴补贴、奖金、绩效工资、机关事业单位基本养老保险缴费、城镇职工基本医疗保险缴费、公务员医疗补助缴费、其他社会保障缴费、住房公积金、离休费、生活补助、医疗费补助、奖励金、其他对个人和家庭的补助支出。</w:t>
      </w:r>
    </w:p>
    <w:p w:rsidR="00F35F10" w:rsidRDefault="00F35F10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公用经费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55.75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万元，主要包括：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办公费、印刷费、电费、邮电费、差旅费、会议费、公务接待费、工会经费、福利费、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其他商品和服务支出。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七、关于昌吉州工业和信息化局</w:t>
      </w:r>
      <w:r>
        <w:rPr>
          <w:rFonts w:ascii="黑体" w:eastAsia="黑体" w:hAnsi="宋体" w:cs="宋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b/>
          <w:bCs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、项目名称：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“数字昌吉”</w:t>
      </w:r>
      <w:r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  <w:t>-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工业互联网发展路径分析研究项目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设立的政策依据：落实工信部《工业互联网创新发展行动计划（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2021-2023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）》、《数字昌吉发展规划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2021-2025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》制造业数字化转型工程。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预算安排规模：财政拨款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项目承担单位：昌吉州工信局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资金分配情况：商品和服务支出，用于“数字昌吉”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工业互联网发展路径分析研究项目，其中：昌吉州工业互联网发展路径分析研究报告工作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72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万元，工业互联网发展路径分析研究报告调研经费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月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" w:eastAsia="仿宋" w:hAnsi="仿宋" w:cs="仿宋"/>
          <w:b/>
          <w:bCs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项目名称：工业高质量发展研究工作经费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设立的政策依据：按照《昌吉回族自治州工业高质量发展“十四五”规划》、《昌吉回族自治州国民经济和社会发展第十四个五年规划和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2035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年远景目标纲要》我局计划对优势产业、新兴产业、前瞻产业进行研究。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预算安排规模：财政拨款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项目承担单位：昌吉州工信局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资金分配情况：商品和服务支出，用于昌吉州工信局高质量发展研究专项项目，其中：课题调研费用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万元，培训、课题研究相关费用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45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资金执行时间：：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月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八、关于昌吉州工业和信息化局</w:t>
      </w:r>
      <w:r>
        <w:rPr>
          <w:rFonts w:ascii="黑体" w:eastAsia="黑体" w:hAnsi="宋体" w:cs="宋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F35F10" w:rsidRDefault="00F35F10" w:rsidP="00D06851">
      <w:pPr>
        <w:spacing w:line="62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/>
          <w:kern w:val="0"/>
          <w:sz w:val="32"/>
          <w:szCs w:val="32"/>
        </w:rPr>
        <w:t>10.5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pacing w:line="62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1.4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11.76%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，其中：因公出国（境）费增加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，主要原因是严格执行八项规定，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年没有安排因公出国（境）费预算；公务用车购置费增加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，主要原因是严格执行八项规定，厉行节约，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年没有安排公务用车购置费预算；公务用车运行费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7.41%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，主要原因是严格执行八项规定，厉行节约，加强车辆管理，确保公务用车运行费预算逐年下降；公务接待费减少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45.45%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，主要原因是严格执行八项规定，厉行节约，压减降低批次和人数。</w:t>
      </w:r>
    </w:p>
    <w:p w:rsidR="00F35F10" w:rsidRDefault="00F35F10" w:rsidP="00D06851">
      <w:pPr>
        <w:snapToGrid w:val="0"/>
        <w:spacing w:line="62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九、关于昌吉州工业和信息化局</w:t>
      </w:r>
      <w:r>
        <w:rPr>
          <w:rFonts w:ascii="黑体" w:eastAsia="黑体" w:hAnsi="宋体" w:cs="宋体"/>
          <w:kern w:val="0"/>
          <w:sz w:val="32"/>
          <w:szCs w:val="32"/>
        </w:rPr>
        <w:t>2022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</w:t>
      </w: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年，昌吉州工业和信息化局的机关运行经费财政拨款预算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>55.75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1.28%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。主要原因是加强经费管理，厉行节约，确保机关运行经费逐年下降。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年，昌吉州工业和信息化局政府采购预算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149.46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20.05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129.41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2022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年底，昌吉州工业和信息化局占用使用国有资产总体情况为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90.13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231.26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>22.91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66.8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35F10" w:rsidRDefault="00F35F10" w:rsidP="00D06851">
      <w:pPr>
        <w:snapToGrid w:val="0"/>
        <w:spacing w:line="600" w:lineRule="exact"/>
        <w:ind w:firstLineChars="200" w:firstLine="31680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2022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年部门（单位）预算未安排购置车辆经费，安排购置</w:t>
      </w:r>
      <w:r>
        <w:rPr>
          <w:rFonts w:ascii="仿宋" w:eastAsia="仿宋" w:hAnsi="仿宋" w:cs="仿宋"/>
          <w:kern w:val="0"/>
          <w:sz w:val="32"/>
          <w:szCs w:val="32"/>
        </w:rPr>
        <w:t>50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仿宋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台（套），单位价值</w:t>
      </w:r>
      <w:r>
        <w:rPr>
          <w:rFonts w:ascii="仿宋" w:eastAsia="仿宋" w:hAnsi="仿宋" w:cs="仿宋"/>
          <w:kern w:val="0"/>
          <w:sz w:val="32"/>
          <w:szCs w:val="32"/>
        </w:rPr>
        <w:t>100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仿宋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台（套）。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F35F10" w:rsidRPr="00E760ED" w:rsidRDefault="00F35F10" w:rsidP="00D06851">
      <w:pPr>
        <w:spacing w:line="560" w:lineRule="exact"/>
        <w:ind w:firstLineChars="200" w:firstLine="3168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年，本年度预算绩效管理的财政拨款项目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130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万元。具体情况见下表（按项目分别填报）</w:t>
      </w:r>
    </w:p>
    <w:tbl>
      <w:tblPr>
        <w:tblW w:w="9140" w:type="dxa"/>
        <w:tblLayout w:type="fixed"/>
        <w:tblCellMar>
          <w:left w:w="0" w:type="dxa"/>
          <w:right w:w="0" w:type="dxa"/>
        </w:tblCellMar>
        <w:tblLook w:val="00A0"/>
      </w:tblPr>
      <w:tblGrid>
        <w:gridCol w:w="828"/>
        <w:gridCol w:w="828"/>
        <w:gridCol w:w="829"/>
        <w:gridCol w:w="828"/>
        <w:gridCol w:w="1667"/>
        <w:gridCol w:w="1657"/>
        <w:gridCol w:w="828"/>
        <w:gridCol w:w="1675"/>
      </w:tblGrid>
      <w:tr w:rsidR="00F35F10">
        <w:trPr>
          <w:trHeight w:val="951"/>
        </w:trPr>
        <w:tc>
          <w:tcPr>
            <w:tcW w:w="91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F35F10">
        <w:trPr>
          <w:trHeight w:val="951"/>
        </w:trPr>
        <w:tc>
          <w:tcPr>
            <w:tcW w:w="91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(2022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F35F10">
        <w:trPr>
          <w:trHeight w:val="102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昌吉回族自治州工业和信息化局本级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“数字昌吉”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工业互联网发展路径分析研究项目</w:t>
            </w:r>
          </w:p>
        </w:tc>
      </w:tr>
      <w:tr w:rsidR="00F35F10">
        <w:trPr>
          <w:trHeight w:val="102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35F10">
        <w:trPr>
          <w:trHeight w:val="188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F35F10" w:rsidRDefault="00F35F10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提出昌吉州工业互联网发展路径分析研究报告。目标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提出昌吉州工业互联网发展路径分析研究报告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册；昌吉州工业互联网发展路径分析研究报告完成性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；昌吉州工业互联网发展路径分析研究报告验收合格率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；项目完成及时率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95%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加强自治州工业互联网平台能力建设，加快构建昌吉州工业互联网发展生态。提出未来三到五年昌吉州工业互联网发展的有效路径。</w:t>
            </w:r>
          </w:p>
        </w:tc>
      </w:tr>
      <w:tr w:rsidR="00F35F10">
        <w:trPr>
          <w:trHeight w:val="102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F35F10">
        <w:trPr>
          <w:trHeight w:val="73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提出昌吉州工业互联网发展路径分析研究报告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册</w:t>
            </w:r>
          </w:p>
        </w:tc>
      </w:tr>
      <w:tr w:rsidR="00F35F10">
        <w:trPr>
          <w:trHeight w:val="736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昌吉州工业互联网发展路径分析研究报告完成性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F35F10">
        <w:trPr>
          <w:trHeight w:val="59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昌吉州工业互联网发展路径分析研究报告验收合格率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F35F10">
        <w:trPr>
          <w:trHeight w:val="59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报告完成及时率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:rsidR="00F35F10">
        <w:trPr>
          <w:trHeight w:val="671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报告完成时限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 w:rsidR="00F35F10">
        <w:trPr>
          <w:trHeight w:val="671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昌吉州工业互联网发展路径分析研究报告工作成本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&lt;=72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F35F10">
        <w:trPr>
          <w:trHeight w:val="1031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工业互联网发展路径分析研究报告调研经费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F35F10">
        <w:trPr>
          <w:trHeight w:val="1090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加强自治州工业互联网平台能力建设，加快构建昌吉州工业互联网发展生态。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有效带动</w:t>
            </w:r>
          </w:p>
        </w:tc>
      </w:tr>
    </w:tbl>
    <w:p w:rsidR="00F35F10" w:rsidRDefault="00F35F10" w:rsidP="00F35F10">
      <w:pPr>
        <w:widowControl/>
        <w:snapToGrid w:val="0"/>
        <w:spacing w:line="480" w:lineRule="exact"/>
        <w:ind w:firstLineChars="196" w:firstLine="31680"/>
        <w:jc w:val="left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F35F10" w:rsidRDefault="00F35F10" w:rsidP="00D06851">
      <w:pPr>
        <w:widowControl/>
        <w:snapToGrid w:val="0"/>
        <w:spacing w:line="480" w:lineRule="exact"/>
        <w:ind w:firstLineChars="196" w:firstLine="31680"/>
        <w:jc w:val="left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9195" w:type="dxa"/>
        <w:tblCellMar>
          <w:left w:w="0" w:type="dxa"/>
          <w:right w:w="0" w:type="dxa"/>
        </w:tblCellMar>
        <w:tblLook w:val="00A0"/>
      </w:tblPr>
      <w:tblGrid>
        <w:gridCol w:w="923"/>
        <w:gridCol w:w="923"/>
        <w:gridCol w:w="922"/>
        <w:gridCol w:w="923"/>
        <w:gridCol w:w="662"/>
        <w:gridCol w:w="1184"/>
        <w:gridCol w:w="923"/>
        <w:gridCol w:w="1845"/>
        <w:gridCol w:w="890"/>
      </w:tblGrid>
      <w:tr w:rsidR="00F35F10" w:rsidTr="00E760ED">
        <w:trPr>
          <w:trHeight w:val="740"/>
        </w:trPr>
        <w:tc>
          <w:tcPr>
            <w:tcW w:w="919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F35F10" w:rsidTr="00E760ED">
        <w:trPr>
          <w:trHeight w:val="740"/>
        </w:trPr>
        <w:tc>
          <w:tcPr>
            <w:tcW w:w="919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(2022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F35F10" w:rsidTr="00E760ED">
        <w:trPr>
          <w:trHeight w:val="390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昌吉回族自治州工业和信息化局本级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工业高质量发展研究工作经费</w:t>
            </w:r>
          </w:p>
        </w:tc>
      </w:tr>
      <w:tr w:rsidR="00F35F10" w:rsidTr="00E760ED">
        <w:trPr>
          <w:trHeight w:val="751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35F10" w:rsidTr="00E760ED">
        <w:trPr>
          <w:trHeight w:val="751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2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F35F10" w:rsidRDefault="00F35F10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完成调研报告。目标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完成调研报告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篇；开展相关业务培训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次；调研报告质量合格率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95%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；调研报告完成率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95%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加强自治州工业互联网平台能力建设，加快构建昌吉州工业互联网发展生态。研究成果获奖数研究成果被主流媒体刊发或报道，扩大社会影响力。</w:t>
            </w:r>
          </w:p>
        </w:tc>
      </w:tr>
      <w:tr w:rsidR="00F35F10" w:rsidTr="00E760ED">
        <w:trPr>
          <w:trHeight w:val="390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完成调研报告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篇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开展相关业务培训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次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调研报告质量合格率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调研报告完成及时率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调研报告完成时间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课题调研费用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F35F10" w:rsidTr="00E760ED">
        <w:trPr>
          <w:trHeight w:val="585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培训、课题研究相关费用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&lt;=45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F35F10" w:rsidTr="00E760ED">
        <w:trPr>
          <w:trHeight w:val="751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F35F10" w:rsidTr="00E760ED">
        <w:trPr>
          <w:trHeight w:val="1113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加强自治州工业互联网平台能力建设，加快构建昌吉州工业互联网发展生态。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增强</w:t>
            </w:r>
          </w:p>
        </w:tc>
      </w:tr>
      <w:tr w:rsidR="00F35F10" w:rsidTr="00E760ED">
        <w:trPr>
          <w:trHeight w:val="751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F35F10" w:rsidTr="00E760ED">
        <w:trPr>
          <w:trHeight w:val="751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研究成果获奖数研究成果被主流媒体刊发或报道，扩大社会影响力。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扩大影响</w:t>
            </w:r>
          </w:p>
        </w:tc>
      </w:tr>
      <w:tr w:rsidR="00F35F10" w:rsidTr="00E760ED">
        <w:trPr>
          <w:trHeight w:val="596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州工信局对报告满意度</w:t>
            </w:r>
          </w:p>
        </w:tc>
        <w:tc>
          <w:tcPr>
            <w:tcW w:w="4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35F10" w:rsidRDefault="00F35F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 w:rsidR="00F35F10" w:rsidRDefault="00F35F10" w:rsidP="00F35F10">
      <w:pPr>
        <w:widowControl/>
        <w:snapToGrid w:val="0"/>
        <w:spacing w:line="480" w:lineRule="exact"/>
        <w:ind w:firstLineChars="196" w:firstLine="31680"/>
        <w:jc w:val="left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F35F10" w:rsidRDefault="00F35F10" w:rsidP="00D06851">
      <w:pPr>
        <w:widowControl/>
        <w:snapToGrid w:val="0"/>
        <w:spacing w:line="480" w:lineRule="exact"/>
        <w:ind w:firstLineChars="196" w:firstLine="31680"/>
        <w:jc w:val="left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F35F10" w:rsidRDefault="00F35F10" w:rsidP="00D06851">
      <w:pPr>
        <w:widowControl/>
        <w:snapToGrid w:val="0"/>
        <w:spacing w:line="480" w:lineRule="exact"/>
        <w:ind w:firstLineChars="196" w:firstLine="31680"/>
        <w:jc w:val="left"/>
        <w:textAlignment w:val="baseline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F35F10" w:rsidRDefault="00F35F10" w:rsidP="00D06851">
      <w:pPr>
        <w:widowControl/>
        <w:snapToGrid w:val="0"/>
        <w:spacing w:line="520" w:lineRule="exact"/>
        <w:ind w:firstLineChars="200" w:firstLine="31680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</w:p>
    <w:p w:rsidR="00F35F10" w:rsidRDefault="00F35F1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F35F10" w:rsidRDefault="00F35F10" w:rsidP="00D06851">
      <w:pPr>
        <w:spacing w:line="560" w:lineRule="exact"/>
        <w:ind w:firstLineChars="200" w:firstLine="31680"/>
        <w:rPr>
          <w:rFonts w:ascii="黑体" w:eastAsia="黑体" w:hAnsi="黑体"/>
          <w:sz w:val="32"/>
          <w:szCs w:val="32"/>
        </w:rPr>
      </w:pP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指由一般公共预算、政府性基金预算、国有资本经营预算安排的财政拨款数。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pacing w:val="-17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四、其他资金：</w:t>
      </w:r>
      <w:r>
        <w:rPr>
          <w:rFonts w:ascii="仿宋_GB2312" w:eastAsia="仿宋_GB2312" w:hint="eastAsia"/>
          <w:spacing w:val="-17"/>
          <w:sz w:val="32"/>
          <w:szCs w:val="32"/>
        </w:rPr>
        <w:t>包括事业收入、事业经营收入、其他收入等。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包括人员经费、公用经费（定额）。其中，人员经费包括工资福利支出、对个人和家庭的补助。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pacing w:val="-6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指州级部门（单位）用一般公共预算财政拨款安排的因公出国（境）费、公务用车购置及运行费和公务接待费。其中，因公出国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ascii="仿宋_GB2312" w:eastAsia="仿宋_GB2312" w:hint="eastAsia"/>
          <w:spacing w:val="-11"/>
          <w:sz w:val="32"/>
          <w:szCs w:val="32"/>
        </w:rPr>
        <w:t>务接待费指单位按规定开支的各类公务接待（含外宾接待）支出。</w:t>
      </w:r>
    </w:p>
    <w:p w:rsidR="00F35F10" w:rsidRDefault="00F35F10" w:rsidP="00D06851">
      <w:pPr>
        <w:spacing w:line="560" w:lineRule="exact"/>
        <w:ind w:firstLineChars="200" w:firstLine="31680"/>
        <w:rPr>
          <w:rFonts w:ascii="仿宋_GB2312" w:eastAsia="仿宋_GB2312"/>
          <w:spacing w:val="-11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ascii="仿宋_GB2312" w:eastAsia="仿宋_GB2312" w:hint="eastAsia"/>
          <w:spacing w:val="-11"/>
          <w:sz w:val="32"/>
          <w:szCs w:val="32"/>
        </w:rPr>
        <w:t>取暖费、办公用房物业管理费、公务用车运行维护费及其他费用。</w:t>
      </w: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昌吉州工业和信息化局</w:t>
      </w:r>
    </w:p>
    <w:p w:rsidR="00F35F10" w:rsidRDefault="00F35F10">
      <w:pPr>
        <w:widowControl/>
        <w:snapToGrid w:val="0"/>
        <w:spacing w:line="520" w:lineRule="exact"/>
        <w:jc w:val="left"/>
        <w:textAlignment w:val="baseline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F35F10" w:rsidRDefault="00F35F10">
      <w:pPr>
        <w:snapToGrid w:val="0"/>
        <w:textAlignment w:val="baseline"/>
        <w:rPr>
          <w:b/>
          <w:i/>
          <w:caps/>
        </w:rPr>
      </w:pPr>
    </w:p>
    <w:sectPr w:rsidR="00F35F10" w:rsidSect="00A27888">
      <w:footerReference w:type="default" r:id="rId8"/>
      <w:pgSz w:w="11906" w:h="16838"/>
      <w:pgMar w:top="1440" w:right="1800" w:bottom="1440" w:left="1800" w:header="851" w:footer="992" w:gutter="0"/>
      <w:pgNumType w:start="1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10" w:rsidRDefault="00F35F10" w:rsidP="00A27888">
      <w:r>
        <w:separator/>
      </w:r>
    </w:p>
  </w:endnote>
  <w:endnote w:type="continuationSeparator" w:id="0">
    <w:p w:rsidR="00F35F10" w:rsidRDefault="00F35F10" w:rsidP="00A27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F10" w:rsidRDefault="00F35F10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F35F10" w:rsidRDefault="00F35F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F10" w:rsidRDefault="00F35F1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F35F10" w:rsidRDefault="00F35F10">
                <w:pPr>
                  <w:pStyle w:val="Footer"/>
                  <w:rPr>
                    <w:rFonts w:eastAsia="宋体"/>
                  </w:rPr>
                </w:pPr>
                <w:fldSimple w:instr=" PAGE  \* MERGEFORMAT ">
                  <w:r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F10" w:rsidRDefault="00F35F1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F35F10" w:rsidRDefault="00F35F10">
                <w:pPr>
                  <w:pStyle w:val="Footer"/>
                  <w:rPr>
                    <w:rFonts w:eastAsia="宋体"/>
                  </w:rPr>
                </w:pPr>
                <w:fldSimple w:instr=" PAGE  \* MERGEFORMAT ">
                  <w:r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10" w:rsidRDefault="00F35F10" w:rsidP="00A27888">
      <w:r>
        <w:separator/>
      </w:r>
    </w:p>
  </w:footnote>
  <w:footnote w:type="continuationSeparator" w:id="0">
    <w:p w:rsidR="00F35F10" w:rsidRDefault="00F35F10" w:rsidP="00A278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575"/>
    <w:rsid w:val="00030D30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15643"/>
    <w:rsid w:val="003173BD"/>
    <w:rsid w:val="00321E8A"/>
    <w:rsid w:val="003679D2"/>
    <w:rsid w:val="00452A86"/>
    <w:rsid w:val="005320EE"/>
    <w:rsid w:val="00542691"/>
    <w:rsid w:val="005602EA"/>
    <w:rsid w:val="00567073"/>
    <w:rsid w:val="0059125F"/>
    <w:rsid w:val="005A27C1"/>
    <w:rsid w:val="006A6387"/>
    <w:rsid w:val="006E145A"/>
    <w:rsid w:val="0075097F"/>
    <w:rsid w:val="00760458"/>
    <w:rsid w:val="007D7119"/>
    <w:rsid w:val="007E5ACA"/>
    <w:rsid w:val="00837E15"/>
    <w:rsid w:val="008910BE"/>
    <w:rsid w:val="008A4B03"/>
    <w:rsid w:val="008E4F9E"/>
    <w:rsid w:val="00940739"/>
    <w:rsid w:val="00944B81"/>
    <w:rsid w:val="00951A65"/>
    <w:rsid w:val="009525BD"/>
    <w:rsid w:val="00977253"/>
    <w:rsid w:val="00997CE4"/>
    <w:rsid w:val="009B654C"/>
    <w:rsid w:val="009B6FA3"/>
    <w:rsid w:val="00A13D75"/>
    <w:rsid w:val="00A27888"/>
    <w:rsid w:val="00A57575"/>
    <w:rsid w:val="00AB1984"/>
    <w:rsid w:val="00B94A73"/>
    <w:rsid w:val="00D06851"/>
    <w:rsid w:val="00D85033"/>
    <w:rsid w:val="00DA2829"/>
    <w:rsid w:val="00DE6D7A"/>
    <w:rsid w:val="00E04F1F"/>
    <w:rsid w:val="00E51C21"/>
    <w:rsid w:val="00E760ED"/>
    <w:rsid w:val="00F105A9"/>
    <w:rsid w:val="00F35F10"/>
    <w:rsid w:val="00FA67E1"/>
    <w:rsid w:val="00FB6315"/>
    <w:rsid w:val="14F86292"/>
    <w:rsid w:val="1BE36E2F"/>
    <w:rsid w:val="1CBD5687"/>
    <w:rsid w:val="1FDC49CA"/>
    <w:rsid w:val="205F4E42"/>
    <w:rsid w:val="22F30E06"/>
    <w:rsid w:val="2C2113A0"/>
    <w:rsid w:val="2D354063"/>
    <w:rsid w:val="31AF3870"/>
    <w:rsid w:val="37450AA8"/>
    <w:rsid w:val="3EC84C32"/>
    <w:rsid w:val="40F17E50"/>
    <w:rsid w:val="416B1243"/>
    <w:rsid w:val="44DA404B"/>
    <w:rsid w:val="4829140C"/>
    <w:rsid w:val="48F4353B"/>
    <w:rsid w:val="491574B1"/>
    <w:rsid w:val="4BA26EB8"/>
    <w:rsid w:val="4C2A6E4C"/>
    <w:rsid w:val="52A4587F"/>
    <w:rsid w:val="546775DF"/>
    <w:rsid w:val="55E30B9D"/>
    <w:rsid w:val="5D112E28"/>
    <w:rsid w:val="5EF30D33"/>
    <w:rsid w:val="64A40F83"/>
    <w:rsid w:val="64D50609"/>
    <w:rsid w:val="663562F7"/>
    <w:rsid w:val="690804DB"/>
    <w:rsid w:val="693D30DB"/>
    <w:rsid w:val="6DE65271"/>
    <w:rsid w:val="78DC53AE"/>
    <w:rsid w:val="7ABE216F"/>
    <w:rsid w:val="7BAE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A2788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A27888"/>
    <w:pPr>
      <w:spacing w:line="360" w:lineRule="auto"/>
      <w:ind w:firstLineChars="200" w:firstLine="420"/>
    </w:pPr>
    <w:rPr>
      <w:rFonts w:ascii="仿宋_GB2312" w:eastAsia="仿宋" w:hAnsi="仿宋_GB2312"/>
      <w:sz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B6315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27888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7888"/>
    <w:rPr>
      <w:rFonts w:cs="Times New Roman"/>
      <w:sz w:val="18"/>
    </w:rPr>
  </w:style>
  <w:style w:type="paragraph" w:styleId="Footer">
    <w:name w:val="footer"/>
    <w:basedOn w:val="Normal"/>
    <w:link w:val="FooterChar"/>
    <w:uiPriority w:val="99"/>
    <w:rsid w:val="00A27888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7888"/>
    <w:rPr>
      <w:rFonts w:eastAsia="黑体" w:cs="Times New Roman"/>
      <w:sz w:val="18"/>
    </w:rPr>
  </w:style>
  <w:style w:type="paragraph" w:styleId="Header">
    <w:name w:val="header"/>
    <w:basedOn w:val="Normal"/>
    <w:link w:val="HeaderChar"/>
    <w:uiPriority w:val="99"/>
    <w:rsid w:val="00A278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7888"/>
    <w:rPr>
      <w:rFonts w:cs="Times New Roman"/>
      <w:sz w:val="18"/>
    </w:rPr>
  </w:style>
  <w:style w:type="paragraph" w:styleId="BodyTextIndent3">
    <w:name w:val="Body Text Indent 3"/>
    <w:basedOn w:val="Normal"/>
    <w:link w:val="BodyTextIndent3Char"/>
    <w:uiPriority w:val="99"/>
    <w:rsid w:val="00A27888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27888"/>
    <w:rPr>
      <w:rFonts w:eastAsia="仿宋_GB2312" w:cs="Times New Roman"/>
      <w:sz w:val="24"/>
    </w:rPr>
  </w:style>
  <w:style w:type="character" w:customStyle="1" w:styleId="Char1">
    <w:name w:val="页眉 Char1"/>
    <w:basedOn w:val="DefaultParagraphFont"/>
    <w:uiPriority w:val="99"/>
    <w:semiHidden/>
    <w:rsid w:val="00A27888"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DefaultParagraphFont"/>
    <w:uiPriority w:val="99"/>
    <w:semiHidden/>
    <w:rsid w:val="00A27888"/>
    <w:rPr>
      <w:rFonts w:ascii="Times New Roman" w:eastAsia="宋体" w:hAnsi="Times New Roman" w:cs="Times New Roman"/>
      <w:sz w:val="16"/>
      <w:szCs w:val="16"/>
    </w:rPr>
  </w:style>
  <w:style w:type="character" w:customStyle="1" w:styleId="Char10">
    <w:name w:val="页脚 Char1"/>
    <w:basedOn w:val="DefaultParagraphFont"/>
    <w:uiPriority w:val="99"/>
    <w:semiHidden/>
    <w:rsid w:val="00A27888"/>
    <w:rPr>
      <w:rFonts w:ascii="Times New Roman" w:eastAsia="宋体" w:hAnsi="Times New Roman" w:cs="Times New Roman"/>
      <w:sz w:val="18"/>
      <w:szCs w:val="18"/>
    </w:rPr>
  </w:style>
  <w:style w:type="character" w:customStyle="1" w:styleId="Char11">
    <w:name w:val="批注框文本 Char1"/>
    <w:basedOn w:val="DefaultParagraphFont"/>
    <w:uiPriority w:val="99"/>
    <w:semiHidden/>
    <w:rsid w:val="00A27888"/>
    <w:rPr>
      <w:rFonts w:ascii="Times New Roman" w:eastAsia="宋体" w:hAnsi="Times New Roman" w:cs="Times New Roman"/>
      <w:sz w:val="18"/>
      <w:szCs w:val="18"/>
    </w:rPr>
  </w:style>
  <w:style w:type="character" w:customStyle="1" w:styleId="font31">
    <w:name w:val="font31"/>
    <w:basedOn w:val="DefaultParagraphFont"/>
    <w:uiPriority w:val="99"/>
    <w:rsid w:val="00A27888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11">
    <w:name w:val="font11"/>
    <w:basedOn w:val="DefaultParagraphFont"/>
    <w:uiPriority w:val="99"/>
    <w:rsid w:val="00A27888"/>
    <w:rPr>
      <w:rFonts w:ascii="Dialog" w:hAnsi="Dialog" w:cs="Dialog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1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27</Pages>
  <Words>2017</Words>
  <Characters>11499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1</cp:lastModifiedBy>
  <cp:revision>27</cp:revision>
  <cp:lastPrinted>2021-02-07T13:18:00Z</cp:lastPrinted>
  <dcterms:created xsi:type="dcterms:W3CDTF">2021-02-07T02:26:00Z</dcterms:created>
  <dcterms:modified xsi:type="dcterms:W3CDTF">2022-12-20T17:08:00Z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0F176F0B38924253935A1B4800F08E03</vt:lpwstr>
  </property>
</Properties>
</file>