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昌吉州自然资源局2022年预算公开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昌吉州自然资源局概况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2022年昌吉州自然资源局预算公开表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一、昌吉州自然资源局收支总体情况表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二、昌吉州自然资源局收入总体情况表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三、昌吉州自然资源局支出总体情况表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2022年昌吉州自然资源局预算情况说明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一、关于昌吉州自然资源局2022年收支预算情况的总体说明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二、关于昌吉州自然资源局2022年收入预算情况说明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三、关于昌吉州自然资源局2022年支出预算情况说明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昌吉州自然资源局2022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昌吉州自然资源局2022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昌吉州自然资源局2022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昌吉州自然资源局2022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八、关于昌吉州自然资源局2022年一般公共预算“三公”经费预算情况说明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九、关于昌吉州自然资源局2022年政府性基金预算拨款情况说明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昌吉州自然资源局概况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5"/>
        <w:jc w:val="left"/>
        <w:rPr>
          <w:rFonts w:ascii="仿宋_GB2312" w:hAnsi="仿宋" w:eastAsia="仿宋_GB2312" w:cs="仿宋"/>
          <w:sz w:val="32"/>
          <w:szCs w:val="32"/>
        </w:rPr>
      </w:pPr>
      <w:r>
        <w:rPr>
          <w:rFonts w:hint="eastAsia" w:ascii="仿宋_GB2312" w:hAnsi="仿宋" w:eastAsia="仿宋_GB2312" w:cs="仿宋"/>
          <w:sz w:val="32"/>
          <w:szCs w:val="32"/>
        </w:rPr>
        <w:t>(一)履行全民所有土地、矿产、森林、草原、湿地、水等自然资源资产所有者职责和所有国土空间用途管制职责。贯彻执行自然资源、国土空间规划、城乡规划和测绘等法律法规，起草自治州自然资源、国土空间规划、城乡规划、测绘等地方性法规和政府规章草案并监督检查执行情况。</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负责自然资源调查监测评价。贯彻执行国家自然资源调查监测评价的指标体系和统计标准，执行和完善统一规范的自然资源调查监测评价制度。实施自然资源基础调查、专项调查和监测。负责自然资源调查监测评价成果的监督管理和信息发布。指导县(市)自然资源调查监测评价工作。</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三)负责自然资源统一确权登记工作。贯彻执行各类自然资源和不动产统一确权登记、权籍调查、不动产测绘、争议调处、成果应用的制度、标准、规范。建立健全自然资源和不动产登记信息管理基础平台。负责自治州自然资源和不动产登记资料收集、整理、共享、汇交管理等。组织协调有关部门调查、调处自治州内土地、草场、矿产、林地、水域等权属纠纷。指导监督全州自然资源和不动产确权登记工作。</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四)负责自然资源资产有偿使用工作。贯彻执行国家全民所有自然资源资产统计制度，负责自治州全民所有自然资源资产核算。编制自治州全民所有自然资源资产负债表，拟订考核标准。贯彻执行国家全民所有自然资源资产划拨、出让、租赁、作价出资和土地储备政策并拟订自治州有关政策措施，合理配置自治州全民所有自然资源资产。负责自治州自然资源资产价值评估管理，依法收缴相关资产收益。</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五)负责自然资源的合理开发利用。组织拟订自治州自然资源发展规划和战略，拟订自然资源开发利用标准并组织实施，建立政府公示自然资源价格体系，组织开展自然资源分等定级价格评估，开展自然资源利用评价考核，指导节约集约利用。负责自治州自然资源市场监管。组织研究自治州自然资源管理涉及宏观调控、区域协调和城乡统筹的政策措施。</w:t>
      </w:r>
    </w:p>
    <w:p>
      <w:pPr>
        <w:numPr>
          <w:ilvl w:val="0"/>
          <w:numId w:val="1"/>
        </w:num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负责建立空间规划体系并监督实施。推进自治州主体功能区战略和制度，组织编制并监督实施国土空间规划和相关专项规划。开展自治州国土空间开发适宜性评价，建立国土空间规划实施监测、评估和预警体系。组织划定自治州生态保护红线、永久基本农田、城镇开发边界等控制线，构建节约资源和保护环境的生产、生活、生态空间布局。贯彻落实国土空间用途管制制度。组织拟订并实施自治州土地等自然资源年度利用计划。负责自治州土地等国土空间用途转用工作。负责自治州土地征收征用管理。</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七)研究拟定自治州城乡规划政策措施并组织实施；组织编制自治州城镇体系规划，指导县(市)、园区依法编制总体规划、控制性详细规划、修建性详细规划并监督实施；指导编制各县(市)域乡村建设规划、乡规划、村庄规划；承担权限内建设项目选址意见书审批、上报工作；指导城镇地下空间开发利用的规划管理工作。监督检查县(市)、园区城乡规划审批、实施、修改工作。</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八)负责统筹国土空间生态修复。牵头组织编制自治州国土空间生态修复规划并实施有关生态修复重大工程。负责自治州国土空间综合整治、土地整理复垦、矿山地质环境恢复治理等工作。牵头实施生态保护补偿制度，拟订合理利用社会资金进行生态修复的政策措施，提出重大备选项目。</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九)负责组织实施最严格的耕地保护制度。贯彻执行国家、自治区耕地保护政策并牵头拟订和实施自治州有关政策负责耕地数量、质量、生态保护。组织实施自治州耕地保护责任目标考核和永久基本农田特殊保护。落实自治州耕地占补平衡制度，监督占用耕地补偿制度执行情况。</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十)负责管理全州地质勘查工作。负责对自治州范围内实施的地质勘查工作进行监督检查。负责自治州地质灾害预防和治理，监督管理地下水过量开采引发的地面沉降等地质问题。负责自治州古生物化石的监督管理。</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一)负责落实综合防灾减灾规划相关要求，组织编制自治州地质灾害防治规划、执行防护标准并指导实施。组织指导协调和监督自治州地质灾害调查评价及隐患的普查、详查排查。指导开展群测群防、专业监测和预报预警等工作，指导开展地质灾害工程治理工作。承担自治州地质灾害应急救援的技术支撑工作。</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十二)负责矿产资源管理工作。拟订自治州矿产资源战略、政策措施和规划并组织实施，负责自治州矿产资源储量管理及压覆矿产资源审查。监督指导全州矿产资源合理利用和保护。监督自治州地质资料汇交、保管和利用。承担自治州保护性开</w:t>
      </w:r>
      <w:r>
        <w:rPr>
          <w:rFonts w:hint="eastAsia" w:ascii="仿宋_GB2312" w:hAnsi="仿宋" w:eastAsia="仿宋" w:cs="仿宋"/>
          <w:sz w:val="32"/>
          <w:szCs w:val="32"/>
        </w:rPr>
        <w:t>釆</w:t>
      </w:r>
      <w:r>
        <w:rPr>
          <w:rFonts w:hint="eastAsia" w:ascii="仿宋_GB2312" w:hAnsi="仿宋" w:eastAsia="仿宋_GB2312" w:cs="仿宋"/>
          <w:sz w:val="32"/>
          <w:szCs w:val="32"/>
        </w:rPr>
        <w:t>的特定矿种、优势矿产的调控及相关管理工作。负责矿产资源勘察活动安全生产管理。</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十三)负责测绘地理信息管理工作。负责自治州基础测绘和测绘行业管理。负责自治州测绘资质资格与信用管理，监督管理自治州地理信息安全和市场秩序。负责自治州地理信息公共服务管理。负责自治州测量标志保护。</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(十四)推动自然资源领域科技发展。制定并实施自治州自然资源领域科技创新发展和人才培养计划。组织实施自治州重大科技工程及创新能力建设，推进自然资源信息化和信息资料的公共服务。</w:t>
      </w:r>
      <w:r>
        <w:rPr>
          <w:rFonts w:hint="eastAsia" w:ascii="仿宋_GB2312" w:hAnsi="仿宋" w:eastAsia="仿宋_GB2312" w:cs="仿宋"/>
          <w:sz w:val="32"/>
          <w:szCs w:val="32"/>
        </w:rPr>
        <w:br w:type="textWrapping"/>
      </w:r>
      <w:r>
        <w:rPr>
          <w:rFonts w:hint="eastAsia" w:ascii="仿宋_GB2312" w:hAnsi="仿宋" w:eastAsia="仿宋_GB2312" w:cs="仿宋"/>
          <w:sz w:val="32"/>
          <w:szCs w:val="32"/>
        </w:rPr>
        <w:t xml:space="preserve">    (十五)监督检查各县(市)人民政府及其自然资源行政主管部门执行和遵守自然资源法律法规情况，依法调查处理自治州国土空间规划和自然资源违法案件，指导县(市)有关行政执法工作。</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(十六)统一管理和协调自治州林业和草原局。</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(十七)完成自治州党委、自治州人民政府交办的其他任务。</w:t>
      </w:r>
    </w:p>
    <w:p>
      <w:pPr>
        <w:spacing w:line="560" w:lineRule="exact"/>
        <w:ind w:firstLine="640" w:firstLineChars="200"/>
        <w:rPr>
          <w:rFonts w:ascii="仿宋_GB2312" w:hAnsi="宋体" w:eastAsia="仿宋_GB2312" w:cs="宋体"/>
          <w:bCs/>
          <w:kern w:val="0"/>
          <w:sz w:val="32"/>
          <w:szCs w:val="32"/>
        </w:rPr>
      </w:pPr>
      <w:r>
        <w:rPr>
          <w:rFonts w:hint="eastAsia" w:ascii="仿宋_GB2312" w:hAnsi="仿宋" w:eastAsia="仿宋_GB2312" w:cs="仿宋"/>
          <w:sz w:val="32"/>
          <w:szCs w:val="32"/>
        </w:rPr>
        <w:t>(十八)职能转变。自治州自然资源局要落实中央和自治区、自治州关于统一行使全民所有自然资源资产所有者职责，统一行使所有国土空间用途管制和生态保护修复职责的要求强化顶层设计，发挥国土空间规划管控作用，为保护和合理开发利用自然资源提供科学指引。进一步加强自治州自然资源的保护和合理开发利用，建立健全源头保护和全过程修复治理相结合的工作机制，实现整体保护、系统修复、综合治理。创新激励约束并举的制度措施，推进自然资源节约集约利用。进步精简下放有关行政审批事项、强化监管力度，充分发挥市场对资源配置的决定性作用，更好发挥政府作用，强化自然资源管理规则、标准、制度的约束性作用，推进自然资源确权登记和评估的便民高效。</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昌吉州自然资源局无下属预算单位，下设12个科室分别是：</w:t>
      </w:r>
    </w:p>
    <w:p>
      <w:pPr>
        <w:widowControl/>
        <w:numPr>
          <w:ilvl w:val="0"/>
          <w:numId w:val="2"/>
        </w:numPr>
        <w:spacing w:line="560" w:lineRule="exact"/>
        <w:ind w:firstLine="640"/>
        <w:jc w:val="left"/>
        <w:rPr>
          <w:rFonts w:hint="eastAsia" w:ascii="仿宋" w:hAnsi="仿宋" w:eastAsia="仿宋" w:cs="仿宋"/>
          <w:sz w:val="30"/>
          <w:szCs w:val="30"/>
        </w:rPr>
      </w:pPr>
      <w:r>
        <w:rPr>
          <w:rFonts w:hint="eastAsia" w:ascii="仿宋" w:hAnsi="仿宋" w:eastAsia="仿宋" w:cs="仿宋"/>
          <w:sz w:val="30"/>
          <w:szCs w:val="30"/>
        </w:rPr>
        <w:t>办公室</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组织人事科</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法规科(行政审批科)</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财务审计科</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确权登记科</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开发利用科</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国土空间规划科</w:t>
      </w:r>
      <w:r>
        <w:rPr>
          <w:rFonts w:hint="eastAsia" w:ascii="仿宋_GB2312" w:hAnsi="黑体" w:eastAsia="仿宋_GB2312" w:cs="宋体"/>
          <w:bCs/>
          <w:kern w:val="0"/>
          <w:sz w:val="32"/>
          <w:szCs w:val="32"/>
        </w:rPr>
        <w:t xml:space="preserve"> </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国土空间生态修复科</w:t>
      </w:r>
    </w:p>
    <w:p>
      <w:pPr>
        <w:widowControl/>
        <w:numPr>
          <w:ilvl w:val="0"/>
          <w:numId w:val="2"/>
        </w:numPr>
        <w:spacing w:line="560" w:lineRule="exact"/>
        <w:ind w:firstLine="640"/>
        <w:jc w:val="left"/>
        <w:rPr>
          <w:rFonts w:ascii="仿宋_GB2312" w:hAnsi="黑体" w:eastAsia="仿宋_GB2312" w:cs="宋体"/>
          <w:bCs/>
          <w:kern w:val="0"/>
          <w:sz w:val="32"/>
          <w:szCs w:val="32"/>
        </w:rPr>
      </w:pPr>
      <w:r>
        <w:rPr>
          <w:rFonts w:hint="eastAsia" w:ascii="仿宋" w:hAnsi="仿宋" w:eastAsia="仿宋" w:cs="仿宋"/>
          <w:sz w:val="30"/>
          <w:szCs w:val="30"/>
        </w:rPr>
        <w:t>耕地保护科</w:t>
      </w:r>
    </w:p>
    <w:p>
      <w:pPr>
        <w:widowControl/>
        <w:numPr>
          <w:ilvl w:val="0"/>
          <w:numId w:val="3"/>
        </w:numPr>
        <w:spacing w:line="560" w:lineRule="exact"/>
        <w:ind w:firstLine="640"/>
        <w:jc w:val="left"/>
        <w:rPr>
          <w:rFonts w:ascii="仿宋" w:hAnsi="仿宋" w:eastAsia="仿宋" w:cs="仿宋"/>
          <w:sz w:val="30"/>
          <w:szCs w:val="30"/>
        </w:rPr>
      </w:pPr>
      <w:r>
        <w:rPr>
          <w:rFonts w:hint="eastAsia" w:ascii="仿宋" w:hAnsi="仿宋" w:eastAsia="仿宋" w:cs="仿宋"/>
          <w:sz w:val="30"/>
          <w:szCs w:val="30"/>
        </w:rPr>
        <w:t>矿产资源管理科</w:t>
      </w:r>
    </w:p>
    <w:p>
      <w:pPr>
        <w:widowControl/>
        <w:numPr>
          <w:ilvl w:val="0"/>
          <w:numId w:val="3"/>
        </w:numPr>
        <w:spacing w:line="560" w:lineRule="exact"/>
        <w:ind w:firstLine="640"/>
        <w:jc w:val="left"/>
        <w:rPr>
          <w:rFonts w:ascii="仿宋_GB2312" w:hAnsi="宋体" w:eastAsia="仿宋_GB2312" w:cs="宋体"/>
          <w:kern w:val="0"/>
          <w:sz w:val="32"/>
          <w:szCs w:val="32"/>
        </w:rPr>
      </w:pPr>
      <w:r>
        <w:rPr>
          <w:rFonts w:hint="eastAsia" w:ascii="仿宋" w:hAnsi="仿宋" w:eastAsia="仿宋" w:cs="仿宋"/>
          <w:sz w:val="30"/>
          <w:szCs w:val="30"/>
        </w:rPr>
        <w:t>城乡规划管理科</w:t>
      </w:r>
    </w:p>
    <w:p>
      <w:pPr>
        <w:widowControl/>
        <w:numPr>
          <w:ilvl w:val="0"/>
          <w:numId w:val="3"/>
        </w:numPr>
        <w:spacing w:line="560" w:lineRule="exact"/>
        <w:ind w:firstLine="640"/>
        <w:jc w:val="left"/>
        <w:rPr>
          <w:rFonts w:ascii="仿宋_GB2312" w:hAnsi="宋体" w:eastAsia="仿宋_GB2312" w:cs="宋体"/>
          <w:kern w:val="0"/>
          <w:sz w:val="32"/>
          <w:szCs w:val="32"/>
        </w:rPr>
      </w:pPr>
      <w:r>
        <w:rPr>
          <w:rFonts w:hint="eastAsia" w:ascii="仿宋" w:hAnsi="仿宋" w:eastAsia="仿宋" w:cs="仿宋"/>
          <w:sz w:val="30"/>
          <w:szCs w:val="30"/>
        </w:rPr>
        <w:t>测绘地理信息科</w:t>
      </w:r>
    </w:p>
    <w:p>
      <w:pPr>
        <w:widowControl/>
        <w:spacing w:line="54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昌吉州自然资源局编制数69，实有人数103人，其中：在职66人，增加2人； 退休37人，增加3人；离休0人，增加0人。</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val="en-US" w:eastAsia="zh-CN"/>
        </w:rPr>
        <w:t>部门</w:t>
      </w:r>
      <w:r>
        <w:rPr>
          <w:rFonts w:hint="eastAsia" w:ascii="黑体" w:hAnsi="黑体" w:eastAsia="黑体"/>
          <w:kern w:val="0"/>
          <w:sz w:val="32"/>
          <w:szCs w:val="32"/>
        </w:rPr>
        <w:t>预算公开表</w:t>
      </w: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表1</w:t>
      </w:r>
      <w:r>
        <w:rPr>
          <w:rFonts w:hint="eastAsia" w:ascii="仿宋_GB2312" w:hAnsi="宋体" w:eastAsia="仿宋_GB2312" w:cs="Times New Roman"/>
          <w:b/>
          <w:kern w:val="0"/>
          <w:sz w:val="32"/>
          <w:szCs w:val="32"/>
          <w:lang w:eastAsia="zh-CN"/>
        </w:rPr>
        <w:t>：</w:t>
      </w:r>
    </w:p>
    <w:p>
      <w:pPr>
        <w:widowControl/>
        <w:spacing w:line="44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编制部门：昌吉州自然资源局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1197.15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1197.15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99.22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75.25</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936.79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85.90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1197.15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1197.15　</w:t>
            </w:r>
          </w:p>
        </w:tc>
      </w:tr>
    </w:tbl>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表2</w:t>
      </w:r>
      <w:r>
        <w:rPr>
          <w:rFonts w:hint="eastAsia" w:ascii="仿宋_GB2312" w:hAnsi="宋体" w:eastAsia="仿宋_GB2312" w:cs="Times New Roman"/>
          <w:b/>
          <w:kern w:val="0"/>
          <w:sz w:val="32"/>
          <w:szCs w:val="32"/>
          <w:lang w:eastAsia="zh-CN"/>
        </w:rPr>
        <w:t>：</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val="en-US" w:eastAsia="zh-CN"/>
        </w:rPr>
        <w:t>部门</w:t>
      </w:r>
      <w:r>
        <w:rPr>
          <w:rFonts w:hint="eastAsia" w:ascii="方正小标宋_GBK" w:hAnsi="方正小标宋_GBK" w:eastAsia="方正小标宋_GBK" w:cs="方正小标宋_GBK"/>
          <w:bCs/>
          <w:kern w:val="0"/>
          <w:sz w:val="36"/>
          <w:szCs w:val="36"/>
        </w:rPr>
        <w:t>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编制部门：昌吉州自然资源局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425"/>
        <w:gridCol w:w="1987"/>
        <w:gridCol w:w="1018"/>
        <w:gridCol w:w="1106"/>
        <w:gridCol w:w="708"/>
        <w:gridCol w:w="709"/>
        <w:gridCol w:w="851"/>
        <w:gridCol w:w="561"/>
        <w:gridCol w:w="708"/>
        <w:gridCol w:w="684"/>
      </w:tblGrid>
      <w:tr>
        <w:tblPrEx>
          <w:tblLayout w:type="fixed"/>
          <w:tblCellMar>
            <w:top w:w="0" w:type="dxa"/>
            <w:left w:w="108" w:type="dxa"/>
            <w:bottom w:w="0" w:type="dxa"/>
            <w:right w:w="108" w:type="dxa"/>
          </w:tblCellMar>
        </w:tblPrEx>
        <w:trPr>
          <w:trHeight w:val="510"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8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0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6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726"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8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0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10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3.7</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3.7</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95.52</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95.52</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31.75</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31.75</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24.97</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24.97</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17.91</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17.91</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0.62</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0.62</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自然资源海洋气象等支出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504.60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504.60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267.19</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267.19</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自然资源规划及管理</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45</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45</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自然资源利用与保护</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自然资源调查与确权登记</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地质勘查与矿产资源管理</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87" w:type="dxa"/>
            <w:tcBorders>
              <w:top w:val="nil"/>
              <w:left w:val="nil"/>
              <w:bottom w:val="single" w:color="auto" w:sz="4" w:space="0"/>
              <w:right w:val="single" w:color="auto" w:sz="4" w:space="0"/>
            </w:tcBorders>
            <w:vAlign w:val="center"/>
          </w:tcPr>
          <w:p>
            <w:pPr>
              <w:jc w:val="center"/>
              <w:rPr>
                <w:rFonts w:ascii="仿宋_GB2312" w:eastAsia="仿宋_GB2312"/>
                <w:b/>
                <w:bCs/>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87" w:type="dxa"/>
            <w:tcBorders>
              <w:top w:val="nil"/>
              <w:left w:val="nil"/>
              <w:bottom w:val="single" w:color="auto" w:sz="4" w:space="0"/>
              <w:right w:val="single" w:color="auto" w:sz="4" w:space="0"/>
            </w:tcBorders>
            <w:vAlign w:val="center"/>
          </w:tcPr>
          <w:p>
            <w:pPr>
              <w:jc w:val="center"/>
              <w:rPr>
                <w:rFonts w:ascii="仿宋_GB2312" w:eastAsia="仿宋_GB2312"/>
                <w:b/>
                <w:bCs/>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1197.15</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1197.15</w:t>
            </w: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宋体" w:hAnsi="宋体" w:cs="宋体"/>
          <w:color w:val="000000"/>
          <w:kern w:val="0"/>
          <w:sz w:val="20"/>
          <w:szCs w:val="20"/>
        </w:rPr>
      </w:pP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表3</w:t>
      </w:r>
      <w:r>
        <w:rPr>
          <w:rFonts w:hint="eastAsia" w:ascii="仿宋_GB2312" w:hAnsi="宋体" w:eastAsia="仿宋_GB2312" w:cs="Times New Roman"/>
          <w:b/>
          <w:kern w:val="0"/>
          <w:sz w:val="32"/>
          <w:szCs w:val="32"/>
          <w:lang w:eastAsia="zh-CN"/>
        </w:rPr>
        <w:t>：</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val="en-US" w:eastAsia="zh-CN"/>
        </w:rPr>
        <w:t>部门</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编制部门：昌吉州自然资源局                             单位：万元</w:t>
      </w:r>
    </w:p>
    <w:tbl>
      <w:tblPr>
        <w:tblStyle w:val="7"/>
        <w:tblW w:w="9420" w:type="dxa"/>
        <w:tblInd w:w="-240" w:type="dxa"/>
        <w:tblLayout w:type="fixed"/>
        <w:tblCellMar>
          <w:top w:w="0" w:type="dxa"/>
          <w:left w:w="108" w:type="dxa"/>
          <w:bottom w:w="0" w:type="dxa"/>
          <w:right w:w="108" w:type="dxa"/>
        </w:tblCellMar>
      </w:tblPr>
      <w:tblGrid>
        <w:gridCol w:w="519"/>
        <w:gridCol w:w="418"/>
        <w:gridCol w:w="416"/>
        <w:gridCol w:w="2552"/>
        <w:gridCol w:w="1822"/>
        <w:gridCol w:w="1823"/>
        <w:gridCol w:w="1870"/>
      </w:tblGrid>
      <w:tr>
        <w:tblPrEx>
          <w:tblLayout w:type="fixed"/>
          <w:tblCellMar>
            <w:top w:w="0" w:type="dxa"/>
            <w:left w:w="108" w:type="dxa"/>
            <w:bottom w:w="0" w:type="dxa"/>
            <w:right w:w="108" w:type="dxa"/>
          </w:tblCellMar>
        </w:tblPrEx>
        <w:trPr>
          <w:trHeight w:val="345" w:hRule="atLeast"/>
        </w:trPr>
        <w:tc>
          <w:tcPr>
            <w:tcW w:w="39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5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7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7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3.7</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3.7</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95.52</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95.52</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31.75</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31.75</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24.97</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24.97</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17.91</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17.91</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0.62</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0.62</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自然资源海洋气象等支出</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1823" w:type="dxa"/>
            <w:tcBorders>
              <w:top w:val="nil"/>
              <w:left w:val="nil"/>
              <w:bottom w:val="single" w:color="auto" w:sz="4" w:space="0"/>
              <w:right w:val="single" w:color="auto" w:sz="4" w:space="0"/>
            </w:tcBorders>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771.79</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165</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自然资源事务</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1823" w:type="dxa"/>
            <w:tcBorders>
              <w:top w:val="nil"/>
              <w:left w:val="nil"/>
              <w:bottom w:val="single" w:color="auto" w:sz="4" w:space="0"/>
              <w:right w:val="single" w:color="auto" w:sz="4" w:space="0"/>
            </w:tcBorders>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771.79</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165</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504.60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504.60</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267.19</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267.19</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80</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自然资源规划及管理</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45</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45</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自然资源利用与保护</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20</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09</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自然资源调查与确权登记</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220</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14</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地质勘查与矿产资源管理</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住房保障支出</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住房改革支出</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8"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1197.15</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1032.15</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165</w:t>
            </w:r>
          </w:p>
        </w:tc>
      </w:tr>
    </w:tbl>
    <w:p>
      <w:pPr>
        <w:widowControl/>
        <w:jc w:val="left"/>
        <w:textAlignment w:val="bottom"/>
        <w:rPr>
          <w:rFonts w:hint="eastAsia" w:ascii="宋体" w:hAnsi="宋体" w:cs="宋体"/>
          <w:color w:val="000000"/>
          <w:kern w:val="0"/>
          <w:sz w:val="20"/>
          <w:szCs w:val="20"/>
        </w:rPr>
      </w:pPr>
    </w:p>
    <w:p>
      <w:pPr>
        <w:widowControl/>
        <w:spacing w:line="440" w:lineRule="exact"/>
        <w:outlineLvl w:val="1"/>
        <w:rPr>
          <w:rFonts w:hint="eastAsia" w:ascii="仿宋_GB2312" w:hAnsi="宋体" w:eastAsia="仿宋_GB2312" w:cs="Times New Roman"/>
          <w:b/>
          <w:kern w:val="0"/>
          <w:sz w:val="32"/>
          <w:szCs w:val="32"/>
        </w:rPr>
      </w:pP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表4</w:t>
      </w:r>
      <w:r>
        <w:rPr>
          <w:rFonts w:hint="eastAsia" w:ascii="仿宋_GB2312" w:hAnsi="宋体" w:eastAsia="仿宋_GB2312" w:cs="Times New Roman"/>
          <w:b/>
          <w:kern w:val="0"/>
          <w:sz w:val="32"/>
          <w:szCs w:val="32"/>
          <w:lang w:eastAsia="zh-CN"/>
        </w:rPr>
        <w:t>：</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编制部门：昌吉州自然资源局                                       单位：万元</w:t>
      </w:r>
    </w:p>
    <w:tbl>
      <w:tblPr>
        <w:tblStyle w:val="7"/>
        <w:tblW w:w="9449" w:type="dxa"/>
        <w:tblInd w:w="-240" w:type="dxa"/>
        <w:tblLayout w:type="fixed"/>
        <w:tblCellMar>
          <w:top w:w="0" w:type="dxa"/>
          <w:left w:w="108" w:type="dxa"/>
          <w:bottom w:w="0" w:type="dxa"/>
          <w:right w:w="108" w:type="dxa"/>
        </w:tblCellMar>
      </w:tblPr>
      <w:tblGrid>
        <w:gridCol w:w="1916"/>
        <w:gridCol w:w="986"/>
        <w:gridCol w:w="2549"/>
        <w:gridCol w:w="899"/>
        <w:gridCol w:w="851"/>
        <w:gridCol w:w="1124"/>
        <w:gridCol w:w="1124"/>
      </w:tblGrid>
      <w:tr>
        <w:tblPrEx>
          <w:tblLayout w:type="fixed"/>
          <w:tblCellMar>
            <w:top w:w="0" w:type="dxa"/>
            <w:left w:w="108" w:type="dxa"/>
            <w:bottom w:w="0" w:type="dxa"/>
            <w:right w:w="108" w:type="dxa"/>
          </w:tblCellMar>
        </w:tblPrEx>
        <w:trPr>
          <w:trHeight w:val="285" w:hRule="atLeast"/>
        </w:trPr>
        <w:tc>
          <w:tcPr>
            <w:tcW w:w="290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4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1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86"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4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9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2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2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Cs w:val="22"/>
              </w:rPr>
            </w:pPr>
            <w:r>
              <w:rPr>
                <w:rFonts w:hint="eastAsia" w:ascii="宋体" w:hAnsi="宋体" w:cs="宋体"/>
                <w:bCs/>
                <w:color w:val="000000"/>
                <w:kern w:val="0"/>
                <w:sz w:val="20"/>
                <w:szCs w:val="22"/>
              </w:rPr>
              <w:t>1197.15</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Cs w:val="22"/>
              </w:rPr>
            </w:pPr>
            <w:r>
              <w:rPr>
                <w:rFonts w:hint="eastAsia" w:ascii="宋体" w:hAnsi="宋体" w:cs="宋体"/>
                <w:bCs/>
                <w:color w:val="000000"/>
                <w:kern w:val="0"/>
                <w:sz w:val="20"/>
                <w:szCs w:val="22"/>
              </w:rPr>
              <w:t>1197.15</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99.22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99.22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75.25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75.25</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936.79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936.79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85.90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85.90　</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tc>
        <w:tc>
          <w:tcPr>
            <w:tcW w:w="986" w:type="dxa"/>
            <w:tcBorders>
              <w:top w:val="nil"/>
              <w:left w:val="nil"/>
              <w:bottom w:val="single" w:color="auto" w:sz="4" w:space="0"/>
              <w:right w:val="single" w:color="auto" w:sz="4" w:space="0"/>
            </w:tcBorders>
            <w:vAlign w:val="center"/>
          </w:tcPr>
          <w:p>
            <w:pPr>
              <w:jc w:val="right"/>
            </w:pPr>
          </w:p>
        </w:tc>
        <w:tc>
          <w:tcPr>
            <w:tcW w:w="2549" w:type="dxa"/>
            <w:tcBorders>
              <w:top w:val="nil"/>
              <w:left w:val="nil"/>
              <w:bottom w:val="single" w:color="auto" w:sz="4" w:space="0"/>
              <w:right w:val="single" w:color="auto" w:sz="4" w:space="0"/>
            </w:tcBorders>
            <w:vAlign w:val="center"/>
          </w:tcP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tc>
        <w:tc>
          <w:tcPr>
            <w:tcW w:w="986" w:type="dxa"/>
            <w:tcBorders>
              <w:top w:val="nil"/>
              <w:left w:val="nil"/>
              <w:bottom w:val="single" w:color="auto" w:sz="4" w:space="0"/>
              <w:right w:val="single" w:color="auto" w:sz="4" w:space="0"/>
            </w:tcBorders>
            <w:vAlign w:val="center"/>
          </w:tcPr>
          <w:p>
            <w:pPr>
              <w:jc w:val="right"/>
            </w:pPr>
          </w:p>
        </w:tc>
        <w:tc>
          <w:tcPr>
            <w:tcW w:w="2549" w:type="dxa"/>
            <w:tcBorders>
              <w:top w:val="nil"/>
              <w:left w:val="nil"/>
              <w:bottom w:val="single" w:color="auto" w:sz="4" w:space="0"/>
              <w:right w:val="single" w:color="auto" w:sz="4" w:space="0"/>
            </w:tcBorders>
            <w:vAlign w:val="center"/>
          </w:tcP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1197.15　</w:t>
            </w:r>
          </w:p>
        </w:tc>
        <w:tc>
          <w:tcPr>
            <w:tcW w:w="254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1197.15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1197.15</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表5</w:t>
      </w:r>
      <w:r>
        <w:rPr>
          <w:rFonts w:hint="eastAsia" w:ascii="仿宋_GB2312" w:hAnsi="宋体" w:eastAsia="仿宋_GB2312" w:cs="Times New Roman"/>
          <w:b/>
          <w:kern w:val="0"/>
          <w:sz w:val="32"/>
          <w:szCs w:val="32"/>
          <w:lang w:eastAsia="zh-CN"/>
        </w:rPr>
        <w:t>：</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p>
            <w:pPr>
              <w:widowControl/>
              <w:jc w:val="left"/>
              <w:rPr>
                <w:rFonts w:ascii="仿宋_GB2312" w:hAnsi="宋体" w:eastAsia="仿宋_GB2312"/>
                <w:kern w:val="0"/>
                <w:szCs w:val="21"/>
              </w:rPr>
            </w:pPr>
            <w:r>
              <w:rPr>
                <w:rFonts w:hint="eastAsia" w:ascii="仿宋_GB2312" w:hAnsi="宋体" w:eastAsia="仿宋_GB2312" w:cs="宋体"/>
                <w:color w:val="000000"/>
                <w:kern w:val="0"/>
                <w:sz w:val="24"/>
              </w:rPr>
              <w:t>编制部门：昌吉州自然资源局                             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99.22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95.52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95.52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75.25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31.75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31.75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24.97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24.97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17.91</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17.91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自然资源海洋气象等支出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771.79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自然资源事务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936.79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771.79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504.60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504.60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267.19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267.19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80</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自然资源规划及管理</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45</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45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自然资源利用与保护</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20</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自然资源调查与确权登记</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地质勘查与矿产资源管理</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住房保障支出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住房改革支出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85.90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1197.15</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1032.15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165</w:t>
            </w:r>
          </w:p>
        </w:tc>
      </w:tr>
    </w:tbl>
    <w:p>
      <w:pPr>
        <w:widowControl/>
        <w:jc w:val="left"/>
        <w:textAlignment w:val="bottom"/>
        <w:rPr>
          <w:rFonts w:ascii="宋体" w:hAnsi="宋体" w:cs="宋体"/>
          <w:color w:val="000000"/>
          <w:kern w:val="0"/>
          <w:sz w:val="20"/>
          <w:szCs w:val="20"/>
        </w:rPr>
      </w:pP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表6</w:t>
      </w:r>
      <w:r>
        <w:rPr>
          <w:rFonts w:hint="eastAsia" w:ascii="仿宋_GB2312" w:hAnsi="宋体" w:eastAsia="仿宋_GB2312" w:cs="Times New Roman"/>
          <w:b/>
          <w:kern w:val="0"/>
          <w:sz w:val="32"/>
          <w:szCs w:val="32"/>
          <w:lang w:eastAsia="zh-CN"/>
        </w:rPr>
        <w:t>：</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编制部门：昌吉州自然资源局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工资福利支出</w:t>
            </w:r>
          </w:p>
        </w:tc>
        <w:tc>
          <w:tcPr>
            <w:tcW w:w="1701" w:type="dxa"/>
            <w:gridSpan w:val="2"/>
            <w:tcBorders>
              <w:top w:val="nil"/>
              <w:left w:val="nil"/>
              <w:bottom w:val="single" w:color="auto" w:sz="4" w:space="0"/>
              <w:right w:val="single" w:color="auto" w:sz="4" w:space="0"/>
            </w:tcBorders>
            <w:vAlign w:val="center"/>
          </w:tcPr>
          <w:p>
            <w:pPr>
              <w:jc w:val="right"/>
              <w:rPr>
                <w:rFonts w:ascii="Calibri" w:hAnsi="Calibri" w:cs="宋体"/>
                <w:color w:val="000000"/>
                <w:sz w:val="22"/>
                <w:szCs w:val="22"/>
              </w:rPr>
            </w:pPr>
            <w:r>
              <w:rPr>
                <w:rFonts w:ascii="Calibri" w:hAnsi="Calibri"/>
                <w:color w:val="000000"/>
                <w:sz w:val="22"/>
                <w:szCs w:val="22"/>
              </w:rPr>
              <w:t>872.60</w:t>
            </w:r>
          </w:p>
        </w:tc>
        <w:tc>
          <w:tcPr>
            <w:tcW w:w="1701" w:type="dxa"/>
            <w:gridSpan w:val="2"/>
            <w:tcBorders>
              <w:top w:val="nil"/>
              <w:left w:val="nil"/>
              <w:bottom w:val="single" w:color="auto" w:sz="4" w:space="0"/>
              <w:right w:val="single" w:color="auto" w:sz="4" w:space="0"/>
            </w:tcBorders>
            <w:vAlign w:val="center"/>
          </w:tcPr>
          <w:p>
            <w:pPr>
              <w:jc w:val="right"/>
              <w:rPr>
                <w:rFonts w:ascii="Calibri" w:hAnsi="Calibri" w:cs="宋体"/>
                <w:color w:val="000000"/>
                <w:sz w:val="22"/>
                <w:szCs w:val="22"/>
              </w:rPr>
            </w:pPr>
            <w:r>
              <w:rPr>
                <w:rFonts w:ascii="Calibri" w:hAnsi="Calibri"/>
                <w:color w:val="000000"/>
                <w:sz w:val="22"/>
                <w:szCs w:val="22"/>
              </w:rPr>
              <w:t>872.60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287.81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287.81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187.75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187.75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23.51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23.51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104.54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104.54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95.52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95.52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56.72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56.72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17.91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17.91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85.90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85.90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11.22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11.22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114.16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114.16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14.88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14.88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维修(护)费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0.74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0.74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11.25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10.12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10.12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其他交通费用</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3.25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11.92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11.92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45.4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离休费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生活补助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0.58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0.58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医疗费补助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37.30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37.30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1032.15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917.99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114.16</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表7</w:t>
      </w:r>
      <w:r>
        <w:rPr>
          <w:rFonts w:hint="eastAsia" w:ascii="仿宋_GB2312" w:hAnsi="宋体" w:eastAsia="仿宋_GB2312" w:cs="Times New Roman"/>
          <w:b/>
          <w:kern w:val="0"/>
          <w:sz w:val="32"/>
          <w:szCs w:val="32"/>
          <w:lang w:eastAsia="zh-CN"/>
        </w:rPr>
        <w:t>：</w:t>
      </w:r>
    </w:p>
    <w:tbl>
      <w:tblPr>
        <w:tblStyle w:val="7"/>
        <w:tblW w:w="9540" w:type="dxa"/>
        <w:tblInd w:w="-360" w:type="dxa"/>
        <w:tblLayout w:type="fixed"/>
        <w:tblCellMar>
          <w:top w:w="0" w:type="dxa"/>
          <w:left w:w="108" w:type="dxa"/>
          <w:bottom w:w="0" w:type="dxa"/>
          <w:right w:w="108" w:type="dxa"/>
        </w:tblCellMar>
      </w:tblPr>
      <w:tblGrid>
        <w:gridCol w:w="11"/>
        <w:gridCol w:w="505"/>
        <w:gridCol w:w="416"/>
        <w:gridCol w:w="416"/>
        <w:gridCol w:w="963"/>
        <w:gridCol w:w="1692"/>
        <w:gridCol w:w="576"/>
        <w:gridCol w:w="416"/>
        <w:gridCol w:w="576"/>
        <w:gridCol w:w="462"/>
        <w:gridCol w:w="633"/>
        <w:gridCol w:w="378"/>
        <w:gridCol w:w="200"/>
        <w:gridCol w:w="418"/>
        <w:gridCol w:w="578"/>
        <w:gridCol w:w="419"/>
        <w:gridCol w:w="419"/>
        <w:gridCol w:w="386"/>
        <w:gridCol w:w="76"/>
      </w:tblGrid>
      <w:tr>
        <w:tblPrEx>
          <w:tblLayout w:type="fixed"/>
          <w:tblCellMar>
            <w:top w:w="0" w:type="dxa"/>
            <w:left w:w="108" w:type="dxa"/>
            <w:bottom w:w="0" w:type="dxa"/>
            <w:right w:w="108" w:type="dxa"/>
          </w:tblCellMar>
        </w:tblPrEx>
        <w:trPr>
          <w:gridBefore w:val="1"/>
          <w:gridAfter w:val="1"/>
          <w:wBefore w:w="11" w:type="dxa"/>
          <w:wAfter w:w="76"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1" w:type="dxa"/>
          <w:wAfter w:w="76" w:type="dxa"/>
          <w:trHeight w:val="405" w:hRule="atLeast"/>
        </w:trPr>
        <w:tc>
          <w:tcPr>
            <w:tcW w:w="4568"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编制部门：昌吉州自然资源局</w:t>
            </w:r>
          </w:p>
        </w:tc>
        <w:tc>
          <w:tcPr>
            <w:tcW w:w="99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7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0"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6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692"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7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6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63"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69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2"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trPr>
        <w:tc>
          <w:tcPr>
            <w:tcW w:w="516"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6" w:type="dxa"/>
            <w:vAlign w:val="center"/>
          </w:tcPr>
          <w:p>
            <w:pPr>
              <w:jc w:val="center"/>
              <w:rPr>
                <w:rFonts w:ascii="仿宋_GB2312" w:hAnsi="宋体" w:eastAsia="仿宋_GB2312" w:cs="宋体"/>
                <w:color w:val="000000"/>
                <w:sz w:val="18"/>
                <w:szCs w:val="18"/>
              </w:rPr>
            </w:pPr>
          </w:p>
        </w:tc>
        <w:tc>
          <w:tcPr>
            <w:tcW w:w="416" w:type="dxa"/>
            <w:vAlign w:val="center"/>
          </w:tcPr>
          <w:p>
            <w:pPr>
              <w:jc w:val="center"/>
              <w:rPr>
                <w:rFonts w:ascii="仿宋_GB2312" w:hAnsi="宋体" w:eastAsia="仿宋_GB2312" w:cs="宋体"/>
                <w:color w:val="000000"/>
                <w:sz w:val="18"/>
                <w:szCs w:val="18"/>
              </w:rPr>
            </w:pPr>
          </w:p>
        </w:tc>
        <w:tc>
          <w:tcPr>
            <w:tcW w:w="963" w:type="dxa"/>
            <w:vAlign w:val="center"/>
          </w:tcPr>
          <w:p>
            <w:pPr>
              <w:jc w:val="center"/>
              <w:rPr>
                <w:rFonts w:ascii="仿宋_GB2312" w:hAnsi="宋体" w:eastAsia="仿宋_GB2312" w:cs="宋体"/>
                <w:color w:val="000000"/>
                <w:sz w:val="18"/>
                <w:szCs w:val="18"/>
              </w:rPr>
            </w:pP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自然资源海洋气象等支出</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165</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165</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trPr>
        <w:tc>
          <w:tcPr>
            <w:tcW w:w="516"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vAlign w:val="center"/>
          </w:tcPr>
          <w:p>
            <w:pPr>
              <w:jc w:val="center"/>
              <w:rPr>
                <w:rFonts w:ascii="仿宋_GB2312" w:hAnsi="宋体" w:eastAsia="仿宋_GB2312" w:cs="宋体"/>
                <w:color w:val="000000"/>
                <w:sz w:val="18"/>
                <w:szCs w:val="18"/>
              </w:rPr>
            </w:pPr>
          </w:p>
        </w:tc>
        <w:tc>
          <w:tcPr>
            <w:tcW w:w="963" w:type="dxa"/>
            <w:vAlign w:val="center"/>
          </w:tcPr>
          <w:p>
            <w:pPr>
              <w:jc w:val="center"/>
              <w:rPr>
                <w:rFonts w:ascii="仿宋_GB2312" w:hAnsi="宋体" w:eastAsia="仿宋_GB2312" w:cs="宋体"/>
                <w:color w:val="000000"/>
                <w:sz w:val="18"/>
                <w:szCs w:val="18"/>
              </w:rPr>
            </w:pP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自然资源事务</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165</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165</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trPr>
        <w:tc>
          <w:tcPr>
            <w:tcW w:w="516"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963"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9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cs="宋体"/>
                <w:color w:val="000000"/>
                <w:sz w:val="18"/>
                <w:szCs w:val="18"/>
              </w:rPr>
              <w:t>昌吉州坚决遏制耕地“非农化”专项行动工作经费</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10</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10</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963"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2022年卫片执法专项经费</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50</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50</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963"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2022年度全国国土变更调查项目经费</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20</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20</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963"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自然资源规划及管理</w:t>
            </w: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2022年度州级发证权限矿证管理经费</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45</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45</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220</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963"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自然资源利用与保护</w:t>
            </w: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昌吉州用水总量控制工作年度经费</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20</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20</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220</w:t>
            </w:r>
          </w:p>
        </w:tc>
        <w:tc>
          <w:tcPr>
            <w:tcW w:w="416" w:type="dxa"/>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416" w:type="dxa"/>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09</w:t>
            </w:r>
          </w:p>
        </w:tc>
        <w:tc>
          <w:tcPr>
            <w:tcW w:w="963"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自然资源调查与确权登记</w:t>
            </w: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昌吉州耕地后备资源调查评价工作经费</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10</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10</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220</w:t>
            </w:r>
          </w:p>
        </w:tc>
        <w:tc>
          <w:tcPr>
            <w:tcW w:w="416" w:type="dxa"/>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416" w:type="dxa"/>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14</w:t>
            </w:r>
          </w:p>
        </w:tc>
        <w:tc>
          <w:tcPr>
            <w:tcW w:w="963"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地质勘查与矿产资源管理</w:t>
            </w:r>
          </w:p>
        </w:tc>
        <w:tc>
          <w:tcPr>
            <w:tcW w:w="1692" w:type="dxa"/>
            <w:vAlign w:val="center"/>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cs="宋体"/>
                <w:color w:val="000000"/>
                <w:sz w:val="18"/>
                <w:szCs w:val="18"/>
              </w:rPr>
              <w:t>矿山地质环境保护与土地复垦方案工作经费</w:t>
            </w: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10</w:t>
            </w:r>
          </w:p>
        </w:tc>
        <w:tc>
          <w:tcPr>
            <w:tcW w:w="416" w:type="dxa"/>
            <w:vAlign w:val="center"/>
          </w:tcPr>
          <w:p>
            <w:pPr>
              <w:widowControl/>
              <w:jc w:val="center"/>
              <w:outlineLvl w:val="1"/>
              <w:rPr>
                <w:rFonts w:ascii="仿宋_GB2312" w:hAnsi="宋体" w:eastAsia="仿宋_GB2312"/>
                <w:kern w:val="0"/>
                <w:sz w:val="24"/>
              </w:rPr>
            </w:pPr>
          </w:p>
        </w:tc>
        <w:tc>
          <w:tcPr>
            <w:tcW w:w="576" w:type="dxa"/>
            <w:vAlign w:val="center"/>
          </w:tcPr>
          <w:p>
            <w:pPr>
              <w:widowControl/>
              <w:jc w:val="center"/>
              <w:outlineLvl w:val="1"/>
              <w:rPr>
                <w:rFonts w:ascii="仿宋_GB2312" w:hAnsi="宋体" w:eastAsia="仿宋_GB2312"/>
                <w:kern w:val="0"/>
                <w:sz w:val="24"/>
              </w:rPr>
            </w:pPr>
            <w:r>
              <w:rPr>
                <w:rFonts w:hint="eastAsia" w:ascii="仿宋_GB2312" w:hAnsi="宋体" w:eastAsia="仿宋_GB2312"/>
                <w:kern w:val="0"/>
                <w:sz w:val="24"/>
              </w:rPr>
              <w:t>10</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63" w:type="dxa"/>
          </w:tcPr>
          <w:p>
            <w:pPr>
              <w:widowControl/>
              <w:jc w:val="center"/>
              <w:outlineLvl w:val="1"/>
              <w:rPr>
                <w:rFonts w:ascii="仿宋_GB2312" w:hAnsi="宋体" w:eastAsia="仿宋_GB2312"/>
                <w:kern w:val="0"/>
                <w:sz w:val="32"/>
                <w:szCs w:val="32"/>
              </w:rPr>
            </w:pPr>
          </w:p>
        </w:tc>
        <w:tc>
          <w:tcPr>
            <w:tcW w:w="1692" w:type="dxa"/>
            <w:vAlign w:val="center"/>
          </w:tcPr>
          <w:p>
            <w:pPr>
              <w:widowControl/>
              <w:jc w:val="center"/>
              <w:outlineLvl w:val="1"/>
              <w:rPr>
                <w:rFonts w:ascii="仿宋_GB2312" w:hAnsi="宋体" w:eastAsia="仿宋_GB2312"/>
                <w:b/>
                <w:bCs/>
                <w:kern w:val="0"/>
                <w:szCs w:val="21"/>
              </w:rPr>
            </w:pPr>
          </w:p>
        </w:tc>
        <w:tc>
          <w:tcPr>
            <w:tcW w:w="576" w:type="dxa"/>
            <w:vAlign w:val="center"/>
          </w:tcPr>
          <w:p>
            <w:pPr>
              <w:widowControl/>
              <w:jc w:val="right"/>
              <w:outlineLvl w:val="1"/>
              <w:rPr>
                <w:rFonts w:ascii="仿宋_GB2312" w:hAnsi="宋体" w:eastAsia="仿宋_GB2312"/>
                <w:kern w:val="0"/>
                <w:sz w:val="24"/>
                <w:szCs w:val="21"/>
              </w:rPr>
            </w:pPr>
          </w:p>
        </w:tc>
        <w:tc>
          <w:tcPr>
            <w:tcW w:w="416" w:type="dxa"/>
          </w:tcPr>
          <w:p>
            <w:pPr>
              <w:widowControl/>
              <w:jc w:val="right"/>
              <w:outlineLvl w:val="1"/>
              <w:rPr>
                <w:rFonts w:ascii="仿宋_GB2312" w:hAnsi="宋体" w:eastAsia="仿宋_GB2312"/>
                <w:kern w:val="0"/>
                <w:sz w:val="32"/>
                <w:szCs w:val="32"/>
              </w:rPr>
            </w:pPr>
          </w:p>
        </w:tc>
        <w:tc>
          <w:tcPr>
            <w:tcW w:w="576" w:type="dxa"/>
            <w:vAlign w:val="center"/>
          </w:tcPr>
          <w:p>
            <w:pPr>
              <w:widowControl/>
              <w:jc w:val="center"/>
              <w:outlineLvl w:val="1"/>
              <w:rPr>
                <w:rFonts w:ascii="仿宋_GB2312" w:hAnsi="宋体" w:eastAsia="仿宋_GB2312"/>
                <w:kern w:val="0"/>
                <w:sz w:val="24"/>
                <w:szCs w:val="21"/>
              </w:rPr>
            </w:pP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63" w:type="dxa"/>
          </w:tcPr>
          <w:p>
            <w:pPr>
              <w:widowControl/>
              <w:jc w:val="center"/>
              <w:outlineLvl w:val="1"/>
              <w:rPr>
                <w:rFonts w:ascii="仿宋_GB2312" w:hAnsi="宋体" w:eastAsia="仿宋_GB2312"/>
                <w:kern w:val="0"/>
                <w:sz w:val="32"/>
                <w:szCs w:val="32"/>
              </w:rPr>
            </w:pPr>
          </w:p>
        </w:tc>
        <w:tc>
          <w:tcPr>
            <w:tcW w:w="169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576" w:type="dxa"/>
            <w:vAlign w:val="center"/>
          </w:tcPr>
          <w:p>
            <w:pPr>
              <w:widowControl/>
              <w:jc w:val="right"/>
              <w:outlineLvl w:val="1"/>
              <w:rPr>
                <w:rFonts w:ascii="仿宋_GB2312" w:hAnsi="宋体" w:eastAsia="仿宋_GB2312"/>
                <w:kern w:val="0"/>
                <w:szCs w:val="21"/>
              </w:rPr>
            </w:pPr>
            <w:r>
              <w:rPr>
                <w:rFonts w:hint="eastAsia" w:ascii="仿宋_GB2312" w:hAnsi="宋体" w:eastAsia="仿宋_GB2312"/>
                <w:kern w:val="0"/>
                <w:sz w:val="24"/>
                <w:szCs w:val="21"/>
              </w:rPr>
              <w:t>165</w:t>
            </w:r>
          </w:p>
        </w:tc>
        <w:tc>
          <w:tcPr>
            <w:tcW w:w="416" w:type="dxa"/>
          </w:tcPr>
          <w:p>
            <w:pPr>
              <w:widowControl/>
              <w:jc w:val="right"/>
              <w:outlineLvl w:val="1"/>
              <w:rPr>
                <w:rFonts w:ascii="仿宋_GB2312" w:hAnsi="宋体" w:eastAsia="仿宋_GB2312"/>
                <w:kern w:val="0"/>
                <w:sz w:val="32"/>
                <w:szCs w:val="32"/>
              </w:rPr>
            </w:pPr>
          </w:p>
        </w:tc>
        <w:tc>
          <w:tcPr>
            <w:tcW w:w="576" w:type="dxa"/>
            <w:vAlign w:val="center"/>
          </w:tcPr>
          <w:p>
            <w:pPr>
              <w:widowControl/>
              <w:jc w:val="center"/>
              <w:outlineLvl w:val="1"/>
              <w:rPr>
                <w:rFonts w:ascii="仿宋_GB2312" w:hAnsi="宋体" w:eastAsia="仿宋_GB2312"/>
                <w:kern w:val="0"/>
                <w:sz w:val="24"/>
                <w:szCs w:val="21"/>
              </w:rPr>
            </w:pPr>
            <w:r>
              <w:rPr>
                <w:rFonts w:hint="eastAsia" w:ascii="仿宋_GB2312" w:hAnsi="宋体" w:eastAsia="仿宋_GB2312"/>
                <w:kern w:val="0"/>
                <w:sz w:val="24"/>
                <w:szCs w:val="21"/>
              </w:rPr>
              <w:t>165</w:t>
            </w:r>
          </w:p>
        </w:tc>
        <w:tc>
          <w:tcPr>
            <w:tcW w:w="462" w:type="dxa"/>
          </w:tcPr>
          <w:p>
            <w:pPr>
              <w:widowControl/>
              <w:jc w:val="right"/>
              <w:outlineLvl w:val="1"/>
              <w:rPr>
                <w:rFonts w:ascii="仿宋_GB2312" w:hAnsi="宋体" w:eastAsia="仿宋_GB2312"/>
                <w:kern w:val="0"/>
                <w:sz w:val="32"/>
                <w:szCs w:val="32"/>
              </w:rPr>
            </w:pPr>
          </w:p>
        </w:tc>
        <w:tc>
          <w:tcPr>
            <w:tcW w:w="633"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表8</w:t>
      </w:r>
      <w:r>
        <w:rPr>
          <w:rFonts w:hint="eastAsia" w:ascii="仿宋_GB2312" w:hAnsi="宋体" w:eastAsia="仿宋_GB2312" w:cs="Times New Roman"/>
          <w:b/>
          <w:kern w:val="0"/>
          <w:sz w:val="32"/>
          <w:szCs w:val="32"/>
          <w:lang w:eastAsia="zh-CN"/>
        </w:rPr>
        <w:t>：</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编制部门：昌吉州自然资源局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14.74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14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14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0.74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spacing w:line="440" w:lineRule="exact"/>
        <w:outlineLvl w:val="1"/>
        <w:rPr>
          <w:rFonts w:hint="eastAsia" w:ascii="仿宋_GB2312" w:hAnsi="宋体" w:eastAsia="仿宋_GB2312" w:cs="Times New Roman"/>
          <w:b/>
          <w:kern w:val="0"/>
          <w:sz w:val="32"/>
          <w:szCs w:val="32"/>
          <w:lang w:eastAsia="zh-CN"/>
        </w:rPr>
      </w:pPr>
      <w:r>
        <w:rPr>
          <w:rFonts w:hint="eastAsia" w:ascii="仿宋_GB2312" w:hAnsi="宋体" w:eastAsia="仿宋_GB2312" w:cs="Times New Roman"/>
          <w:b/>
          <w:kern w:val="0"/>
          <w:sz w:val="32"/>
          <w:szCs w:val="32"/>
        </w:rPr>
        <w:t>表9</w:t>
      </w:r>
      <w:r>
        <w:rPr>
          <w:rFonts w:hint="eastAsia" w:ascii="仿宋_GB2312" w:hAnsi="宋体" w:eastAsia="仿宋_GB2312" w:cs="Times New Roman"/>
          <w:b/>
          <w:kern w:val="0"/>
          <w:sz w:val="32"/>
          <w:szCs w:val="32"/>
          <w:lang w:eastAsia="zh-CN"/>
        </w:rPr>
        <w:t>：</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编制部门：昌吉州自然资源局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bCs/>
          <w:kern w:val="0"/>
          <w:sz w:val="24"/>
          <w:szCs w:val="24"/>
        </w:rPr>
      </w:pPr>
      <w:r>
        <w:rPr>
          <w:rFonts w:hint="eastAsia" w:ascii="仿宋_GB2312" w:hAnsi="宋体" w:eastAsia="仿宋_GB2312"/>
          <w:b/>
          <w:kern w:val="0"/>
          <w:sz w:val="28"/>
          <w:szCs w:val="32"/>
        </w:rPr>
        <w:t>备注：</w:t>
      </w:r>
      <w:r>
        <w:rPr>
          <w:rFonts w:hint="eastAsia" w:ascii="仿宋_GB2312" w:hAnsi="宋体" w:eastAsia="仿宋_GB2312" w:cs="仿宋_GB2312"/>
          <w:b/>
          <w:bCs/>
          <w:kern w:val="0"/>
          <w:sz w:val="24"/>
          <w:szCs w:val="24"/>
        </w:rPr>
        <w:t>我单位无政府性基金预算拨款安排的支出，</w:t>
      </w:r>
      <w:r>
        <w:rPr>
          <w:rFonts w:hint="eastAsia" w:ascii="仿宋_GB2312" w:hAnsi="宋体" w:eastAsia="仿宋_GB2312" w:cs="仿宋_GB2312"/>
          <w:b/>
          <w:bCs/>
          <w:color w:val="000000"/>
          <w:kern w:val="0"/>
          <w:sz w:val="24"/>
          <w:szCs w:val="24"/>
        </w:rPr>
        <w:t>政府性基金预算支出情况表为</w:t>
      </w:r>
      <w:r>
        <w:rPr>
          <w:rFonts w:hint="eastAsia" w:ascii="仿宋_GB2312" w:hAnsi="宋体" w:eastAsia="仿宋_GB2312" w:cs="仿宋_GB2312"/>
          <w:b/>
          <w:bCs/>
          <w:kern w:val="0"/>
          <w:sz w:val="24"/>
          <w:szCs w:val="24"/>
        </w:rPr>
        <w:t>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2022年昌吉州自然资源局预算情况说明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一、关于昌吉州自然资源局2022年收支预算情况的总体说明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按照全口径预算的原则，昌吉州自然资源局2022年所有收入和支出均纳入部门（单位）预算管理。收支总预算1197.15万元。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收入预算包括：一般公共预算1197.15万元。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支出预算包括：社会保障和就业支出99.22万元、医疗卫生健康支出75.25万元、自然资源海洋气象等支出936.79万元、住房保障支出85.90万元。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二、关于昌吉州自然资源局2022年收入预算情况说明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昌吉州自然资源局收入预算1197.15万元，其中：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一般公共预算1197.15万元，占100%，比上年预算减少1188.44万元，下降49.82%，主要原因是项目安排数减少；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三、关于昌吉州自然资源局2022年支出预算情况说明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昌吉州自然资源局2022年支出预算1197.15万元，其中：</w:t>
      </w:r>
    </w:p>
    <w:p>
      <w:pPr>
        <w:spacing w:line="560" w:lineRule="exact"/>
        <w:ind w:firstLine="640" w:firstLineChars="200"/>
        <w:rPr>
          <w:rFonts w:ascii="仿宋_GB2312" w:hAnsi="宋体" w:eastAsia="仿宋_GB2312" w:cs="宋体"/>
          <w:b/>
          <w:kern w:val="0"/>
          <w:sz w:val="32"/>
          <w:szCs w:val="32"/>
        </w:rPr>
      </w:pPr>
      <w:bookmarkStart w:id="0" w:name="_GoBack"/>
      <w:bookmarkEnd w:id="0"/>
      <w:r>
        <w:rPr>
          <w:rFonts w:hint="eastAsia" w:ascii="仿宋_GB2312" w:hAnsi="宋体" w:eastAsia="仿宋_GB2312" w:cs="宋体"/>
          <w:kern w:val="0"/>
          <w:sz w:val="32"/>
          <w:szCs w:val="32"/>
        </w:rPr>
        <w:t>基本支出1032.15万元，占86.22%，比上年预算增加46.56万元，增长4.72%，主要原因是人员有所增加。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项目支出165万元，占13.78%，比上年预算减少1235万元，下降88.21%，主要原因年初项目减少。</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四、关于昌吉州自然资源局2022年财政拨款收支预算情况的总体说明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2022年财政拨款收支总预算1197.15万元。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收入预算包括：一般公共预算拨款1197.15万元。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社会保障和就业支出99.22万元，主要用于在职职工的社保类缴费。卫生健康支出75.25万元，主要用于在职职工的社保类缴费。自然资源海洋气象等支出937.79万元，主要用于在职职工的行政事业人员工资福利支出、公用经费支出，对个人和家庭的补助支出，项目支出等.住房保障支出85.90万元，主要用于职工住房公积金缴纳。</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关于昌吉州自然资源局2022年一般公共预算当年拨款情况说明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昌吉州自然资源局2022年一般公共预算拨款合计</w:t>
      </w:r>
      <w:r>
        <w:rPr>
          <w:rFonts w:hint="eastAsia" w:ascii="仿宋_GB2312" w:hAnsi="宋体" w:eastAsia="仿宋_GB2312" w:cs="宋体"/>
          <w:kern w:val="0"/>
          <w:sz w:val="32"/>
          <w:szCs w:val="32"/>
        </w:rPr>
        <w:t>1197.15</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1032.15</w:t>
      </w:r>
      <w:r>
        <w:rPr>
          <w:rFonts w:hint="eastAsia" w:ascii="仿宋_GB2312" w:hAnsi="仿宋_GB2312" w:eastAsia="仿宋_GB2312" w:cs="仿宋_GB2312"/>
          <w:kern w:val="0"/>
          <w:sz w:val="32"/>
          <w:szCs w:val="32"/>
        </w:rPr>
        <w:t>万元，比上年预算增加46.56万元，</w:t>
      </w:r>
      <w:r>
        <w:rPr>
          <w:rFonts w:hint="eastAsia" w:ascii="仿宋_GB2312" w:hAnsi="宋体" w:eastAsia="仿宋_GB2312" w:cs="宋体"/>
          <w:kern w:val="0"/>
          <w:sz w:val="32"/>
          <w:szCs w:val="32"/>
        </w:rPr>
        <w:t>增长4.72%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人员增加</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165</w:t>
      </w:r>
      <w:r>
        <w:rPr>
          <w:rFonts w:hint="eastAsia" w:ascii="仿宋_GB2312" w:hAnsi="仿宋_GB2312" w:eastAsia="仿宋_GB2312" w:cs="仿宋_GB2312"/>
          <w:kern w:val="0"/>
          <w:sz w:val="32"/>
          <w:szCs w:val="32"/>
        </w:rPr>
        <w:t>万元，比上年预算减少1235万元，下降88.21%。主要原因是：</w:t>
      </w:r>
      <w:r>
        <w:rPr>
          <w:rFonts w:hint="eastAsia" w:ascii="仿宋_GB2312" w:hAnsi="宋体" w:eastAsia="仿宋_GB2312" w:cs="宋体"/>
          <w:kern w:val="0"/>
          <w:sz w:val="32"/>
          <w:szCs w:val="32"/>
        </w:rPr>
        <w:t>本年年初项目减少</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default" w:ascii="仿宋_GB2312" w:eastAsia="仿宋_GB2312" w:cs="仿宋_GB2312"/>
          <w:sz w:val="32"/>
          <w:szCs w:val="32"/>
          <w:lang w:val="en-US" w:eastAsia="zh-CN"/>
        </w:rPr>
      </w:pPr>
      <w:r>
        <w:rPr>
          <w:rFonts w:hint="eastAsia" w:ascii="仿宋_GB2312" w:eastAsia="仿宋_GB2312" w:cs="仿宋_GB2312"/>
          <w:sz w:val="32"/>
          <w:szCs w:val="32"/>
        </w:rPr>
        <w:t>1.社会保障和就业支出99.22</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占8.29%。</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2.卫生健康支出75.25万元，占</w:t>
      </w:r>
      <w:r>
        <w:rPr>
          <w:rFonts w:hint="eastAsia" w:ascii="仿宋_GB2312" w:eastAsia="仿宋_GB2312" w:cs="仿宋_GB2312"/>
          <w:sz w:val="32"/>
          <w:szCs w:val="32"/>
          <w:lang w:val="en-US" w:eastAsia="zh-CN"/>
        </w:rPr>
        <w:t>6.28</w:t>
      </w:r>
      <w:r>
        <w:rPr>
          <w:rFonts w:hint="eastAsia" w:ascii="仿宋_GB2312" w:eastAsia="仿宋_GB2312" w:cs="仿宋_GB2312"/>
          <w:sz w:val="32"/>
          <w:szCs w:val="32"/>
        </w:rPr>
        <w:t>%。</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3.自然资源海洋气象等支出936.7</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78.25</w:t>
      </w:r>
      <w:r>
        <w:rPr>
          <w:rFonts w:hint="eastAsia" w:ascii="仿宋_GB2312" w:eastAsia="仿宋_GB2312" w:cs="仿宋_GB2312"/>
          <w:sz w:val="32"/>
          <w:szCs w:val="32"/>
        </w:rPr>
        <w:t>%。</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4.住房保障支出85.90万元，占</w:t>
      </w:r>
      <w:r>
        <w:rPr>
          <w:rFonts w:hint="eastAsia" w:ascii="仿宋_GB2312" w:eastAsia="仿宋_GB2312" w:cs="仿宋_GB2312"/>
          <w:sz w:val="32"/>
          <w:szCs w:val="32"/>
          <w:lang w:val="en-US" w:eastAsia="zh-CN"/>
        </w:rPr>
        <w:t>7.18</w:t>
      </w:r>
      <w:r>
        <w:rPr>
          <w:rFonts w:hint="eastAsia" w:ascii="仿宋_GB2312" w:eastAsia="仿宋_GB2312" w:cs="仿宋_GB2312"/>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（款）行政运行（项）: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504.60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比上年预算数减少27.43万元，下降5.16%，主要原因是：单位职工公积金缴费单独核拨及社保科目调整。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2.自然资源海洋气象等支出（类）自然资源事务（款）事业运行（项）: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267.19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比上年预算数减少5.25万元，</w:t>
      </w:r>
      <w:r>
        <w:rPr>
          <w:rFonts w:hint="eastAsia" w:ascii="仿宋_GB2312" w:hAnsi="仿宋_GB2312" w:eastAsia="仿宋_GB2312" w:cs="仿宋_GB2312"/>
          <w:kern w:val="0"/>
          <w:sz w:val="32"/>
          <w:szCs w:val="32"/>
        </w:rPr>
        <w:t>下降</w:t>
      </w:r>
      <w:r>
        <w:rPr>
          <w:rFonts w:hint="eastAsia" w:ascii="仿宋_GB2312" w:hAnsi="宋体" w:eastAsia="仿宋_GB2312" w:cs="宋体"/>
          <w:kern w:val="0"/>
          <w:sz w:val="32"/>
          <w:szCs w:val="32"/>
        </w:rPr>
        <w:t>1.93%，主要原因是：人员变动及社保科目调整。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3.卫生健康支出（类）行政事业单位医疗（款）行政单位医疗（项）: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31.75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比上年预算数减少41.12万元，</w:t>
      </w:r>
      <w:r>
        <w:rPr>
          <w:rFonts w:hint="eastAsia" w:ascii="仿宋_GB2312" w:hAnsi="仿宋_GB2312" w:eastAsia="仿宋_GB2312" w:cs="仿宋_GB2312"/>
          <w:kern w:val="0"/>
          <w:sz w:val="32"/>
          <w:szCs w:val="32"/>
        </w:rPr>
        <w:t>下降</w:t>
      </w:r>
      <w:r>
        <w:rPr>
          <w:rFonts w:hint="eastAsia" w:ascii="仿宋_GB2312" w:hAnsi="宋体" w:eastAsia="仿宋_GB2312" w:cs="宋体"/>
          <w:kern w:val="0"/>
          <w:sz w:val="32"/>
          <w:szCs w:val="32"/>
        </w:rPr>
        <w:t>56.43%，主要原因是：2021年此项包含事业单位医疗部分。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4.卫生健康支出（类）行政事业单位医疗（款）事业单位医疗（项）: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24.97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比上年预算数增加24.97万元，增长100%，主要原因是：2021年此项未单独拨款，在行政单位医疗中统一拨款。</w:t>
      </w:r>
    </w:p>
    <w:p>
      <w:pPr>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5.</w:t>
      </w:r>
      <w:r>
        <w:rPr>
          <w:rFonts w:hint="eastAsia" w:ascii="仿宋_GB2312" w:hAnsi="宋体" w:eastAsia="仿宋_GB2312" w:cs="宋体"/>
          <w:kern w:val="0"/>
          <w:sz w:val="32"/>
          <w:szCs w:val="32"/>
        </w:rPr>
        <w:t>卫生健康支出（类）行政事业单位医疗（款）公务员医疗补助（项）: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17.91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比上年预算数减少5.51万元，下降23.53%，主要原因是：人员变动。</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6.卫生健康支出（类）行政事业单位医疗（款）其他行政事业单位医疗支出（项）: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0.62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比上年预算数减少0.32万元，下降34.04%，主要原因是：人员变动等。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7.社会保障和就业支出（类）行政事业单位养老支出（款）行政单位离退休（项）: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比上年预算数增加3.7万元，增长100%，主要原因是：2021年此款未安排资金。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8.社会保障和就业支出（类）行政事业单位养老支出（款）机关事业单位基本养老保险缴费支出（项）: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95.52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比上年预算数增加11.63万元，增长11.86%，主要原因是：在职人员退休。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比上年预算数增加80万元，增长100%，主要原因是：2021年该款项未安排项目预算。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10.自然资源海洋气象等支出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自然资源规划及管理</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比上年预算数减少840万元，下降94.92%，主要原因是：2022年项目减少。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11.自然资源海洋气象等支出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自然资源利用与保护</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比上年预算数增加10万元，增长50%，主要原因是：根据项目实施计划核拨。</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12.自然资源海洋气象等支出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自然资源调查与确权登记</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比上年预算数减少190万元，下降95%，主要原因是：预算安排减少。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13.自然资源海洋气象等支出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地质勘查与矿产资源管理</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比上年预算数增加10万元，增长100%，主要原因是：2021年该款项未安排项目。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14.住房保障支出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住房改革支出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住房公积金</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85.90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比上年预算数增加85.90万元，增长100%，主要原因是：2021年公积金在行政运行中核拨。</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15.自然资源海洋气象等支出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其他自然资源事务支出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比上年预算数减少230万元，下降100%，主要原因是：2022年该款项年初未安排项目预算。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16.自然资源海洋气象等支出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自然资源事务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地质矿产资源与环境调查</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比上年预算数减少30万元，下降100%，主要原因是：2022年该款项年初未安排项目预算。</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关于昌吉州自然资源局2022年一般公共预算基本支出情况说明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昌吉州自然资源局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rPr>
        <w:t>1032.15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917.99万元，主要包括：基本工资287.81万元、津贴补贴187.75万元、奖金23.51万元、绩效工资104.54万元、机关事业单位基本养老保险缴费95.52万元、职工基本医疗保险缴费56.72万元、公务员医疗补助缴费17.91万元、其他社会保障缴费1.71万元、住房公积金85.90万元、其他工资福利支出11.22万元、离休费3.70万元、生活补助0.58万元、医疗费补助37.30万元、奖励金3.82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114.16万元，主要包括：办公费14.88万元、印刷费1万元、水费2万元、电费6万元、邮电费10万元、取暖费10万元、差旅费15万元、维修（护）费4万元、公务接待费0.74万元、工会经费11.25万元、福利费10.12万元、公务用车运行维护费14万元、其他交通费用3.25万元、其他商品和服务支出11.92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关于昌吉州自然资源局2022年一般公共预算项目支出情况说明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：2022年度州级发证权限矿政管理经费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：《自然资源部关于推进矿产资源管理改革若干事项的意见》（自然资规〔2019〕7号）、财政部国土资源部关于印发《矿业权出让收益征收管理暂行办法》的通知（财综〔2017〕35号）以及5号）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昌吉州自然资源局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2个新立采矿权出让收益评估</w:t>
      </w:r>
      <w:r>
        <w:rPr>
          <w:rFonts w:hint="eastAsia" w:ascii="仿宋_GB2312" w:hAnsi="宋体" w:eastAsia="仿宋_GB2312" w:cs="宋体"/>
          <w:kern w:val="0"/>
          <w:sz w:val="32"/>
          <w:szCs w:val="32"/>
          <w:lang w:val="en-US" w:eastAsia="zh-CN"/>
        </w:rPr>
        <w:t>10万元、5个探矿权转采矿权出让收益评估30万元、3个项目的矿产资源储量评审备案5万元。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2022年1月1日-2022年12月31日</w:t>
      </w:r>
    </w:p>
    <w:p>
      <w:pPr>
        <w:spacing w:line="560" w:lineRule="exact"/>
        <w:ind w:firstLine="640" w:firstLineChars="200"/>
        <w:rPr>
          <w:rFonts w:ascii="仿宋_GB2312" w:hAnsi="黑体" w:eastAsia="仿宋_GB2312"/>
          <w:sz w:val="32"/>
          <w:szCs w:val="32"/>
        </w:rPr>
      </w:pP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2022年全国国土变更调查项目经费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按照国家统一标准，在全州范围内利用卫星遥感、互联网、云计算、人工智能等技术，统筹利用现有资料，利用每季度卫星遥感影像，制作正射影像图，提取地类变化信息；结合有关专项监测及自然资源管理成果，开展实地调查举证，全面掌握2022年每季度地类、面积、属性及相关单独图层信息变化情况</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昌吉州自然资源局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自治区下发国家监测调查图版核查8万元、数据库经自治区核查8万元、数据库经自治区提交国家备案4万元。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2022年1月1日-2022年12月31日</w:t>
      </w:r>
    </w:p>
    <w:p>
      <w:pPr>
        <w:spacing w:line="560" w:lineRule="exact"/>
        <w:ind w:firstLine="640" w:firstLineChars="200"/>
        <w:rPr>
          <w:rFonts w:ascii="仿宋_GB2312" w:hAnsi="黑体" w:eastAsia="仿宋_GB2312"/>
          <w:sz w:val="32"/>
          <w:szCs w:val="32"/>
        </w:rPr>
      </w:pP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2022年土地矿产卫片执法工作经费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自治区自然资源厅卫片执法工作通知</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昌吉州自然资源局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全年法律顾问费5万元，卫片执法工作经费45万元。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2022年1月1日-2022年12月31日</w:t>
      </w:r>
    </w:p>
    <w:p>
      <w:pPr>
        <w:spacing w:line="560" w:lineRule="exact"/>
        <w:ind w:firstLine="643" w:firstLineChars="200"/>
        <w:rPr>
          <w:rFonts w:ascii="仿宋_GB2312" w:hAnsi="黑体" w:eastAsia="仿宋_GB2312"/>
          <w:b/>
          <w:sz w:val="32"/>
          <w:szCs w:val="32"/>
        </w:rPr>
      </w:pP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昌吉州耕地后备资源调查评价工作经费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然资源部办公厅关于开展全国耕地后备资源调查评价工作的通知》（自然资办发〔2021〕47号）和《新疆维吾尔自治区自然资源厅办公室关于开展自治区耕地后备资源调查评价工作的通知》（新自然资办发〔2021〕61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昌吉州自然资源局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开展州级耕地后备资源技术人员培训</w:t>
      </w:r>
      <w:r>
        <w:rPr>
          <w:rFonts w:hint="eastAsia" w:ascii="仿宋_GB2312" w:hAnsi="宋体" w:eastAsia="仿宋_GB2312" w:cs="宋体"/>
          <w:kern w:val="0"/>
          <w:sz w:val="32"/>
          <w:szCs w:val="32"/>
          <w:lang w:val="en-US" w:eastAsia="zh-CN"/>
        </w:rPr>
        <w:t>0.3万元、7县市耕地后备资源内业数据核查分析8万元、7县市耕地后备资源调查数据抽取一定比例进行实地核查1.7万元。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2022年1月1日-2022年12月31日</w:t>
      </w:r>
    </w:p>
    <w:p>
      <w:pPr>
        <w:spacing w:line="560" w:lineRule="exact"/>
        <w:ind w:firstLine="643" w:firstLineChars="200"/>
        <w:rPr>
          <w:rFonts w:ascii="仿宋_GB2312" w:hAnsi="黑体" w:eastAsia="仿宋_GB2312"/>
          <w:b/>
          <w:sz w:val="32"/>
          <w:szCs w:val="32"/>
        </w:rPr>
      </w:pP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昌吉州坚决遏制耕地“非农化”专项行动工作专项经费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：《自治区坚决遏制耕地“非农化”专项行动工作方案》（新政办发〔2021〕25号）、《关于印发&lt;昌吉州坚决遏制耕地“非农化”专项行动工作方案&gt;的通知》（昌州政办发〔2021〕46号）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昌吉州自然资源局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技术服务合同签定第一次支付5万元、县市、园区图版审核提交自治区5万元。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2022年1月1日-2022年12月31日</w:t>
      </w:r>
    </w:p>
    <w:p>
      <w:pPr>
        <w:spacing w:line="560" w:lineRule="exact"/>
        <w:ind w:firstLine="643" w:firstLineChars="200"/>
        <w:rPr>
          <w:rFonts w:ascii="仿宋_GB2312" w:hAnsi="黑体" w:eastAsia="仿宋_GB2312"/>
          <w:b/>
          <w:sz w:val="32"/>
          <w:szCs w:val="32"/>
        </w:rPr>
      </w:pP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昌吉州用水总量控制工作</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：《关于新疆用水总量控制方案的批复》（新政函〔2017〕266号）和《关于强化水资源刚性约束 深入推进最严格水资源管理制度的通知》（自治区总河（湖）长3号令）</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昌吉州自然资源局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前期招标</w:t>
      </w:r>
      <w:r>
        <w:rPr>
          <w:rFonts w:hint="eastAsia" w:ascii="仿宋_GB2312" w:hAnsi="宋体" w:eastAsia="仿宋_GB2312" w:cs="宋体"/>
          <w:kern w:val="0"/>
          <w:sz w:val="32"/>
          <w:szCs w:val="32"/>
          <w:lang w:val="en-US" w:eastAsia="zh-CN"/>
        </w:rPr>
        <w:t>0.5万元、数据整理、汇总14.5万元、图件编制、技术服务5万元。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2022年1月1日-2022年12月31日</w:t>
      </w:r>
    </w:p>
    <w:p>
      <w:pPr>
        <w:spacing w:line="560" w:lineRule="exact"/>
        <w:ind w:firstLine="643" w:firstLineChars="200"/>
        <w:rPr>
          <w:rFonts w:ascii="仿宋_GB2312" w:hAnsi="黑体" w:eastAsia="仿宋_GB2312"/>
          <w:b/>
          <w:sz w:val="32"/>
          <w:szCs w:val="32"/>
        </w:rPr>
      </w:pP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矿山地质环境保护与土地复垦方案工作经费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：《关于做好〈矿山地质环境保护与土地复垦方案〉编审有关工作的通知》（新国土资规﹝2018﹞1号）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w:t>
      </w:r>
      <w:r>
        <w:rPr>
          <w:rFonts w:hint="eastAsia" w:ascii="仿宋_GB2312" w:hAnsi="宋体" w:eastAsia="仿宋_GB2312" w:cs="宋体"/>
          <w:kern w:val="0"/>
          <w:sz w:val="32"/>
          <w:szCs w:val="32"/>
        </w:rPr>
        <w:t>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昌吉州自然资源局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完成《方案》</w:t>
      </w:r>
      <w:r>
        <w:rPr>
          <w:rFonts w:hint="eastAsia" w:ascii="仿宋_GB2312" w:hAnsi="宋体" w:eastAsia="仿宋_GB2312" w:cs="宋体"/>
          <w:kern w:val="0"/>
          <w:sz w:val="32"/>
          <w:szCs w:val="32"/>
          <w:lang w:val="en-US" w:eastAsia="zh-CN"/>
        </w:rPr>
        <w:t>编制，并通过专家评审费用10万元。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2022年1月1日-2022年12月31日</w:t>
      </w:r>
    </w:p>
    <w:p>
      <w:pPr>
        <w:spacing w:line="560" w:lineRule="exact"/>
        <w:ind w:firstLine="640" w:firstLineChars="200"/>
        <w:rPr>
          <w:rFonts w:ascii="仿宋_GB2312" w:hAnsi="宋体" w:eastAsia="仿宋_GB2312" w:cs="宋体"/>
          <w:kern w:val="0"/>
          <w:sz w:val="32"/>
          <w:szCs w:val="32"/>
        </w:rPr>
      </w:pP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八、关于昌吉州自然资源局2022年一般公共预算“三公”经费预算情况说明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昌吉州自然资源局2022年一般公共预算“三公”经费数为14.74万元，其中：因公出国（境）费0万元，公务用车购置0万元，公务用车运行费14万元，公务接待费0.74万元。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2.14万元，增长16.7%，其中：因公出国（境）费0万元，未安排预算；公务用车购置费0万元，未安排预算；公务用车运行费增加2.14万元，增长18%，主要原因是车辆老化需维护等；公务接待费无变化。</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九、关于昌吉州自然资源局2022年政府性基金预算拨款情况说明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昌吉州自然资源局2022年没有使用政府性基金预算拨款安排的支出，政府性基金预算支出情况表为空表。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2022年，昌吉州自然资源局机关运行经费财政拨款预算114.16万元，比上年预算增加16.82万元，增长17.28%。主要原因是人员增加，按标准增加公用经费。</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2022年，昌吉州自然资源局政府采购预算396.72万元，其中：政府采购货物预算38.75万元，政府采购工程预算0万元，政府采购服务预算357.97万元。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w:t>
      </w:r>
      <w:r>
        <w:rPr>
          <w:rFonts w:hint="eastAsia" w:ascii="仿宋_GB2312" w:hAnsi="仿宋_GB2312" w:eastAsia="仿宋_GB2312" w:cs="仿宋_GB2312"/>
          <w:kern w:val="0"/>
          <w:sz w:val="32"/>
          <w:szCs w:val="32"/>
        </w:rPr>
        <w:t>昌吉州自然资源局</w:t>
      </w:r>
      <w:r>
        <w:rPr>
          <w:rFonts w:hint="eastAsia" w:ascii="仿宋_GB2312" w:hAnsi="仿宋_GB2312" w:eastAsia="仿宋_GB2312" w:cs="仿宋_GB2312"/>
          <w:sz w:val="32"/>
        </w:rPr>
        <w:t>面向中小企业预留政府采购项目预算金额396.72万元，其中：面向小微企业预留政府采购项目预算金额396.72万元。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截至2021年底，昌吉州自然资源局及下属各预算单位占用使用国有资产总体情况为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1.房屋4235.63平方米，价值445.34万元。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2.车辆5辆，价值189.03万元；其中：一般公务用车5辆，价值189.03万元；执法执勤用车0辆，价值0万元；其他车辆0辆，价值0万元。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3.办公家具价值105.13万元。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4.其他资产价值533.17万元。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单位价值50万元以上大型设备1台（套），单位价值100万元以上大型设备1台（套）。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2022年昌吉州自然资源局预算未安排购置车辆经费，安排购置50万元以上大型设备0台（套），单位价值100万元以上大型设备0台（套）。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2022年，本年度预算绩效管理的财政拨款项目7个，涉及预算金额165万元。具体情况见下表（按项目分别填报）：</w:t>
      </w:r>
    </w:p>
    <w:tbl>
      <w:tblPr>
        <w:tblStyle w:val="7"/>
        <w:tblW w:w="8838" w:type="dxa"/>
        <w:tblInd w:w="93" w:type="dxa"/>
        <w:tblLayout w:type="fixed"/>
        <w:tblCellMar>
          <w:top w:w="0" w:type="dxa"/>
          <w:left w:w="108" w:type="dxa"/>
          <w:bottom w:w="0" w:type="dxa"/>
          <w:right w:w="108" w:type="dxa"/>
        </w:tblCellMar>
      </w:tblPr>
      <w:tblGrid>
        <w:gridCol w:w="1024"/>
        <w:gridCol w:w="1118"/>
        <w:gridCol w:w="1025"/>
        <w:gridCol w:w="1024"/>
        <w:gridCol w:w="1972"/>
        <w:gridCol w:w="777"/>
        <w:gridCol w:w="323"/>
        <w:gridCol w:w="1023"/>
        <w:gridCol w:w="552"/>
      </w:tblGrid>
      <w:tr>
        <w:tblPrEx>
          <w:tblLayout w:type="fixed"/>
          <w:tblCellMar>
            <w:top w:w="0" w:type="dxa"/>
            <w:left w:w="108" w:type="dxa"/>
            <w:bottom w:w="0" w:type="dxa"/>
            <w:right w:w="108" w:type="dxa"/>
          </w:tblCellMar>
        </w:tblPrEx>
        <w:trPr>
          <w:trHeight w:val="397" w:hRule="atLeast"/>
        </w:trPr>
        <w:tc>
          <w:tcPr>
            <w:tcW w:w="8838" w:type="dxa"/>
            <w:gridSpan w:val="9"/>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p>
          <w:p>
            <w:pPr>
              <w:widowControl/>
              <w:rPr>
                <w:rFonts w:ascii="宋体" w:hAnsi="宋体" w:cs="宋体"/>
                <w:b/>
                <w:bCs/>
                <w:kern w:val="0"/>
                <w:sz w:val="32"/>
                <w:szCs w:val="32"/>
              </w:rPr>
            </w:pPr>
          </w:p>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Layout w:type="fixed"/>
          <w:tblCellMar>
            <w:top w:w="0" w:type="dxa"/>
            <w:left w:w="108" w:type="dxa"/>
            <w:bottom w:w="0" w:type="dxa"/>
            <w:right w:w="108" w:type="dxa"/>
          </w:tblCellMar>
        </w:tblPrEx>
        <w:trPr>
          <w:trHeight w:val="413" w:hRule="atLeast"/>
        </w:trPr>
        <w:tc>
          <w:tcPr>
            <w:tcW w:w="8838" w:type="dxa"/>
            <w:gridSpan w:val="9"/>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(2022年)</w:t>
            </w:r>
          </w:p>
        </w:tc>
      </w:tr>
      <w:tr>
        <w:tblPrEx>
          <w:tblLayout w:type="fixed"/>
          <w:tblCellMar>
            <w:top w:w="0" w:type="dxa"/>
            <w:left w:w="108" w:type="dxa"/>
            <w:bottom w:w="0" w:type="dxa"/>
            <w:right w:w="108" w:type="dxa"/>
          </w:tblCellMar>
        </w:tblPrEx>
        <w:trPr>
          <w:trHeight w:val="688" w:hRule="atLeast"/>
        </w:trPr>
        <w:tc>
          <w:tcPr>
            <w:tcW w:w="10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139"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昌吉回族自治州自然资源局</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189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2022年度州级发证权限矿政管理经费</w:t>
            </w:r>
          </w:p>
        </w:tc>
      </w:tr>
      <w:tr>
        <w:tblPrEx>
          <w:tblLayout w:type="fixed"/>
          <w:tblCellMar>
            <w:top w:w="0" w:type="dxa"/>
            <w:left w:w="108" w:type="dxa"/>
            <w:bottom w:w="0" w:type="dxa"/>
            <w:right w:w="108" w:type="dxa"/>
          </w:tblCellMar>
        </w:tblPrEx>
        <w:trPr>
          <w:trHeight w:val="703" w:hRule="atLeast"/>
        </w:trPr>
        <w:tc>
          <w:tcPr>
            <w:tcW w:w="10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214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19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134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2" w:hRule="atLeast"/>
        </w:trPr>
        <w:tc>
          <w:tcPr>
            <w:tcW w:w="10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814" w:type="dxa"/>
            <w:gridSpan w:val="8"/>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目标1.2022年需要开展采矿权出让收益评估，昌吉州资源优势转化为经济优势，实现矿产资源勘查开发的经济效益、资源效益、环境效益和社会效益相统一。目标2.矿产资源储量评审备案工作，坚持资源安全保障，促进经济社会发展</w:t>
            </w:r>
          </w:p>
        </w:tc>
      </w:tr>
      <w:tr>
        <w:tblPrEx>
          <w:tblLayout w:type="fixed"/>
          <w:tblCellMar>
            <w:top w:w="0" w:type="dxa"/>
            <w:left w:w="108" w:type="dxa"/>
            <w:bottom w:w="0" w:type="dxa"/>
            <w:right w:w="108" w:type="dxa"/>
          </w:tblCellMar>
        </w:tblPrEx>
        <w:trPr>
          <w:trHeight w:val="734" w:hRule="atLeast"/>
        </w:trPr>
        <w:tc>
          <w:tcPr>
            <w:tcW w:w="10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121"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89" w:hRule="atLeast"/>
        </w:trPr>
        <w:tc>
          <w:tcPr>
            <w:tcW w:w="102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完成采矿权出让收益评估工作</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=5个</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完成矿产资源储量评审备案工作</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=4个</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专家评审通过</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&gt;95%</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严格按照规定时间完成报告编制以及矿产资源储量评审备案工作</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开展审查备案工作所需时间</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=12个月</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2个新立采矿权出让收益评估</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&lt;=10万元</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5个探矿权转采矿权出让收益评估</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&lt;=30万元</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3个项目的矿产资源储量评审备案</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&lt;=5万元</w:t>
            </w:r>
          </w:p>
        </w:tc>
      </w:tr>
      <w:tr>
        <w:tblPrEx>
          <w:tblLayout w:type="fixed"/>
          <w:tblCellMar>
            <w:top w:w="0" w:type="dxa"/>
            <w:left w:w="108" w:type="dxa"/>
            <w:bottom w:w="0" w:type="dxa"/>
            <w:right w:w="108" w:type="dxa"/>
          </w:tblCellMar>
        </w:tblPrEx>
        <w:trPr>
          <w:trHeight w:val="489" w:hRule="atLeast"/>
        </w:trPr>
        <w:tc>
          <w:tcPr>
            <w:tcW w:w="102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经济效益指标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坚持资源安全保障，促进经济社会发展。</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有效促进</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生态效益指标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89" w:hRule="atLeast"/>
        </w:trPr>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坚持惠民利民，推动区域发展和民生改善。</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有效推动</w:t>
            </w:r>
          </w:p>
        </w:tc>
      </w:tr>
      <w:tr>
        <w:tblPrEx>
          <w:tblLayout w:type="fixed"/>
          <w:tblCellMar>
            <w:top w:w="0" w:type="dxa"/>
            <w:left w:w="108" w:type="dxa"/>
            <w:bottom w:w="0" w:type="dxa"/>
            <w:right w:w="108" w:type="dxa"/>
          </w:tblCellMar>
        </w:tblPrEx>
        <w:trPr>
          <w:trHeight w:val="489" w:hRule="atLeast"/>
        </w:trPr>
        <w:tc>
          <w:tcPr>
            <w:tcW w:w="10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5121"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专家评审满意率（%）</w:t>
            </w:r>
          </w:p>
        </w:tc>
        <w:tc>
          <w:tcPr>
            <w:tcW w:w="15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&gt;=90%</w:t>
            </w:r>
          </w:p>
        </w:tc>
      </w:tr>
    </w:tbl>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p>
      <w:pPr>
        <w:spacing w:line="560" w:lineRule="exact"/>
        <w:rPr>
          <w:rFonts w:ascii="仿宋_GB2312" w:hAnsi="仿宋_GB2312" w:eastAsia="仿宋_GB2312" w:cs="仿宋_GB2312"/>
          <w:kern w:val="0"/>
          <w:sz w:val="32"/>
          <w:szCs w:val="32"/>
        </w:rPr>
      </w:pPr>
    </w:p>
    <w:tbl>
      <w:tblPr>
        <w:tblStyle w:val="7"/>
        <w:tblW w:w="8770" w:type="dxa"/>
        <w:tblInd w:w="93" w:type="dxa"/>
        <w:tblLayout w:type="fixed"/>
        <w:tblCellMar>
          <w:top w:w="0" w:type="dxa"/>
          <w:left w:w="108" w:type="dxa"/>
          <w:bottom w:w="0" w:type="dxa"/>
          <w:right w:w="108" w:type="dxa"/>
        </w:tblCellMar>
      </w:tblPr>
      <w:tblGrid>
        <w:gridCol w:w="944"/>
        <w:gridCol w:w="106"/>
        <w:gridCol w:w="977"/>
        <w:gridCol w:w="462"/>
        <w:gridCol w:w="325"/>
        <w:gridCol w:w="44"/>
        <w:gridCol w:w="681"/>
        <w:gridCol w:w="9"/>
        <w:gridCol w:w="1527"/>
        <w:gridCol w:w="168"/>
        <w:gridCol w:w="804"/>
        <w:gridCol w:w="105"/>
        <w:gridCol w:w="226"/>
        <w:gridCol w:w="507"/>
        <w:gridCol w:w="543"/>
        <w:gridCol w:w="401"/>
        <w:gridCol w:w="508"/>
        <w:gridCol w:w="433"/>
      </w:tblGrid>
      <w:tr>
        <w:tblPrEx>
          <w:tblLayout w:type="fixed"/>
          <w:tblCellMar>
            <w:top w:w="0" w:type="dxa"/>
            <w:left w:w="108" w:type="dxa"/>
            <w:bottom w:w="0" w:type="dxa"/>
            <w:right w:w="108" w:type="dxa"/>
          </w:tblCellMar>
        </w:tblPrEx>
        <w:trPr>
          <w:gridAfter w:val="1"/>
          <w:wAfter w:w="433" w:type="dxa"/>
          <w:trHeight w:val="411" w:hRule="atLeast"/>
        </w:trPr>
        <w:tc>
          <w:tcPr>
            <w:tcW w:w="8337" w:type="dxa"/>
            <w:gridSpan w:val="17"/>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Layout w:type="fixed"/>
          <w:tblCellMar>
            <w:top w:w="0" w:type="dxa"/>
            <w:left w:w="108" w:type="dxa"/>
            <w:bottom w:w="0" w:type="dxa"/>
            <w:right w:w="108" w:type="dxa"/>
          </w:tblCellMar>
        </w:tblPrEx>
        <w:trPr>
          <w:gridAfter w:val="1"/>
          <w:wAfter w:w="433" w:type="dxa"/>
          <w:trHeight w:val="427" w:hRule="atLeast"/>
        </w:trPr>
        <w:tc>
          <w:tcPr>
            <w:tcW w:w="8337" w:type="dxa"/>
            <w:gridSpan w:val="17"/>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(2022年)</w:t>
            </w:r>
          </w:p>
        </w:tc>
      </w:tr>
      <w:tr>
        <w:tblPrEx>
          <w:tblLayout w:type="fixed"/>
          <w:tblCellMar>
            <w:top w:w="0" w:type="dxa"/>
            <w:left w:w="108" w:type="dxa"/>
            <w:bottom w:w="0" w:type="dxa"/>
            <w:right w:w="108" w:type="dxa"/>
          </w:tblCellMar>
        </w:tblPrEx>
        <w:trPr>
          <w:gridAfter w:val="1"/>
          <w:wAfter w:w="433" w:type="dxa"/>
          <w:trHeight w:val="617" w:hRule="atLeast"/>
        </w:trPr>
        <w:tc>
          <w:tcPr>
            <w:tcW w:w="9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4299" w:type="dxa"/>
            <w:gridSpan w:val="9"/>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昌吉回族自治州自然资源局</w:t>
            </w:r>
          </w:p>
        </w:tc>
        <w:tc>
          <w:tcPr>
            <w:tcW w:w="90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185"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2022年全国国土变更调查项目经费</w:t>
            </w:r>
          </w:p>
        </w:tc>
      </w:tr>
      <w:tr>
        <w:tblPrEx>
          <w:tblLayout w:type="fixed"/>
          <w:tblCellMar>
            <w:top w:w="0" w:type="dxa"/>
            <w:left w:w="108" w:type="dxa"/>
            <w:bottom w:w="0" w:type="dxa"/>
            <w:right w:w="108" w:type="dxa"/>
          </w:tblCellMar>
        </w:tblPrEx>
        <w:trPr>
          <w:gridAfter w:val="1"/>
          <w:wAfter w:w="433" w:type="dxa"/>
          <w:trHeight w:val="855" w:hRule="atLeast"/>
        </w:trPr>
        <w:tc>
          <w:tcPr>
            <w:tcW w:w="9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70"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3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6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90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677"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5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433" w:type="dxa"/>
          <w:trHeight w:val="1885" w:hRule="atLeast"/>
        </w:trPr>
        <w:tc>
          <w:tcPr>
            <w:tcW w:w="9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393" w:type="dxa"/>
            <w:gridSpan w:val="1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目标1.按照国家统一标准，在全州范围内利用卫星遥感、互联网、云计算、人工智能等技术，统筹利用现有资料，利用每季度卫星遥感影像，制作正射影像图，提取地类变化信息；目标2.结合有关专项监测及自然资源管理成果，开展实地调查举证，全面掌握2022年每季度地类、面积、属性及相关单独图层信息变化情况；目标3.及时发现自然资源违法行为，特别是违法占用耕地、破坏耕地等违法行为，提升各地“早发现、早制止”能力，倒逼各地加快查处违法、落实整改和消除违法状态效率；目标4.年底时，根据卫片执法对违法用地的查处整改成果，对每季度纳入预变更范围的图斑进行核实印证，对符合要求的进行变更，不符合要求的退回整改，确保我州国土调查成果的现势性、客观性和准确性。</w:t>
            </w:r>
          </w:p>
        </w:tc>
      </w:tr>
      <w:tr>
        <w:tblPrEx>
          <w:tblLayout w:type="fixed"/>
          <w:tblCellMar>
            <w:top w:w="0" w:type="dxa"/>
            <w:left w:w="108" w:type="dxa"/>
            <w:bottom w:w="0" w:type="dxa"/>
            <w:right w:w="108" w:type="dxa"/>
          </w:tblCellMar>
        </w:tblPrEx>
        <w:trPr>
          <w:gridAfter w:val="1"/>
          <w:wAfter w:w="433" w:type="dxa"/>
          <w:trHeight w:val="871" w:hRule="atLeast"/>
        </w:trPr>
        <w:tc>
          <w:tcPr>
            <w:tcW w:w="9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4858" w:type="dxa"/>
            <w:gridSpan w:val="11"/>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完成县市2022年全国土地变更调查（个）</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=7个</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加强组织领导，进行人员培训（次 ）</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=1次</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完成国家下发昌吉州范围内所有图斑外业实地核查率（%）</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工作按时完成率（%)</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年底完成自治区备案</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自治区下发国家监测调查图版</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&lt;=8万元</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数据库经自治区核查后</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&lt;=8万元</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数据库经自治区提交国家备案</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&lt;=4万元</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经济效益指标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落保障全州项目的用地指标，促进全州域经济的发展。</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有效促进</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生态效益指标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促进全州项目的用地节约集约利用率</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有效提高</w:t>
            </w:r>
          </w:p>
        </w:tc>
      </w:tr>
      <w:tr>
        <w:tblPrEx>
          <w:tblLayout w:type="fixed"/>
          <w:tblCellMar>
            <w:top w:w="0" w:type="dxa"/>
            <w:left w:w="108" w:type="dxa"/>
            <w:bottom w:w="0" w:type="dxa"/>
            <w:right w:w="108" w:type="dxa"/>
          </w:tblCellMar>
        </w:tblPrEx>
        <w:trPr>
          <w:gridAfter w:val="1"/>
          <w:wAfter w:w="433" w:type="dxa"/>
          <w:trHeight w:val="507" w:hRule="atLeast"/>
        </w:trPr>
        <w:tc>
          <w:tcPr>
            <w:tcW w:w="94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083"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4858" w:type="dxa"/>
            <w:gridSpan w:val="11"/>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各县市自然资源相关人员满意度</w:t>
            </w:r>
          </w:p>
        </w:tc>
        <w:tc>
          <w:tcPr>
            <w:tcW w:w="14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&gt;=90%</w:t>
            </w:r>
          </w:p>
        </w:tc>
      </w:tr>
      <w:tr>
        <w:tblPrEx>
          <w:tblLayout w:type="fixed"/>
          <w:tblCellMar>
            <w:top w:w="0" w:type="dxa"/>
            <w:left w:w="108" w:type="dxa"/>
            <w:bottom w:w="0" w:type="dxa"/>
            <w:right w:w="108" w:type="dxa"/>
          </w:tblCellMar>
        </w:tblPrEx>
        <w:trPr>
          <w:trHeight w:val="394" w:hRule="atLeast"/>
        </w:trPr>
        <w:tc>
          <w:tcPr>
            <w:tcW w:w="8770" w:type="dxa"/>
            <w:gridSpan w:val="18"/>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Layout w:type="fixed"/>
          <w:tblCellMar>
            <w:top w:w="0" w:type="dxa"/>
            <w:left w:w="108" w:type="dxa"/>
            <w:bottom w:w="0" w:type="dxa"/>
            <w:right w:w="108" w:type="dxa"/>
          </w:tblCellMar>
        </w:tblPrEx>
        <w:trPr>
          <w:trHeight w:val="409" w:hRule="atLeast"/>
        </w:trPr>
        <w:tc>
          <w:tcPr>
            <w:tcW w:w="8770" w:type="dxa"/>
            <w:gridSpan w:val="18"/>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(2022年)</w:t>
            </w:r>
          </w:p>
        </w:tc>
      </w:tr>
      <w:tr>
        <w:tblPrEx>
          <w:tblLayout w:type="fixed"/>
          <w:tblCellMar>
            <w:top w:w="0" w:type="dxa"/>
            <w:left w:w="108" w:type="dxa"/>
            <w:bottom w:w="0" w:type="dxa"/>
            <w:right w:w="108" w:type="dxa"/>
          </w:tblCellMar>
        </w:tblPrEx>
        <w:trPr>
          <w:trHeight w:val="531" w:hRule="atLeast"/>
        </w:trPr>
        <w:tc>
          <w:tcPr>
            <w:tcW w:w="105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4025"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昌吉回族自治州自然资源局</w:t>
            </w:r>
          </w:p>
        </w:tc>
        <w:tc>
          <w:tcPr>
            <w:tcW w:w="97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723"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2022年土地矿产卫片执法工作经费</w:t>
            </w:r>
          </w:p>
        </w:tc>
      </w:tr>
      <w:tr>
        <w:tblPrEx>
          <w:tblLayout w:type="fixed"/>
          <w:tblCellMar>
            <w:top w:w="0" w:type="dxa"/>
            <w:left w:w="108" w:type="dxa"/>
            <w:bottom w:w="0" w:type="dxa"/>
            <w:right w:w="108" w:type="dxa"/>
          </w:tblCellMar>
        </w:tblPrEx>
        <w:trPr>
          <w:trHeight w:val="712" w:hRule="atLeast"/>
        </w:trPr>
        <w:tc>
          <w:tcPr>
            <w:tcW w:w="105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0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6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153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97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138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34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25" w:hRule="atLeast"/>
        </w:trPr>
        <w:tc>
          <w:tcPr>
            <w:tcW w:w="105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720" w:type="dxa"/>
            <w:gridSpan w:val="1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目标1.监督检查各县(市)人民政府及其自然资源行政主管部门执行和遵守自然资源法律法规的情况，依法调查处理自治州国土空间规划和自然资源违法案件目标2.协调解决跨区堿违法案件查处，指导县(市)有关行政执法工作。</w:t>
            </w:r>
          </w:p>
        </w:tc>
      </w:tr>
      <w:tr>
        <w:tblPrEx>
          <w:tblLayout w:type="fixed"/>
          <w:tblCellMar>
            <w:top w:w="0" w:type="dxa"/>
            <w:left w:w="108" w:type="dxa"/>
            <w:bottom w:w="0" w:type="dxa"/>
            <w:right w:w="108" w:type="dxa"/>
          </w:tblCellMar>
        </w:tblPrEx>
        <w:trPr>
          <w:trHeight w:val="728" w:hRule="atLeast"/>
        </w:trPr>
        <w:tc>
          <w:tcPr>
            <w:tcW w:w="105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889" w:type="dxa"/>
            <w:gridSpan w:val="9"/>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85" w:hRule="atLeast"/>
        </w:trPr>
        <w:tc>
          <w:tcPr>
            <w:tcW w:w="105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完成数据审核县市个数（个）</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=7个</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完成一次组织人员培训（次）</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&gt;=1次</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外业核查（次）</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&gt;=12次</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卫片执法督查次数(次)</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=12次</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卫片执法完成率（%）</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&gt;=95%</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数据审核通过自然资源厅验收完成率</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开展土地矿产卫片执法工作截止时间</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卫片执法督查完成及时率</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&gt;=98%</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法律顾问费</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&lt;=5万元</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卫片执法工作经费</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&lt;=45万元</w:t>
            </w:r>
          </w:p>
        </w:tc>
      </w:tr>
      <w:tr>
        <w:tblPrEx>
          <w:tblLayout w:type="fixed"/>
          <w:tblCellMar>
            <w:top w:w="0" w:type="dxa"/>
            <w:left w:w="108" w:type="dxa"/>
            <w:bottom w:w="0" w:type="dxa"/>
            <w:right w:w="108" w:type="dxa"/>
          </w:tblCellMar>
        </w:tblPrEx>
        <w:trPr>
          <w:trHeight w:val="485" w:hRule="atLeast"/>
        </w:trPr>
        <w:tc>
          <w:tcPr>
            <w:tcW w:w="105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经济效益指标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日常巡查违法图标发现率</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&gt;=75%</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生态效益指标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85" w:hRule="atLeast"/>
        </w:trPr>
        <w:tc>
          <w:tcPr>
            <w:tcW w:w="105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国家重大（交通、能源、水利）等利用率</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85" w:hRule="atLeast"/>
        </w:trPr>
        <w:tc>
          <w:tcPr>
            <w:tcW w:w="1050"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43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889" w:type="dxa"/>
            <w:gridSpan w:val="9"/>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自然资源厅相关人员满意率（%）</w:t>
            </w:r>
          </w:p>
        </w:tc>
        <w:tc>
          <w:tcPr>
            <w:tcW w:w="239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&gt;=90%</w:t>
            </w:r>
          </w:p>
        </w:tc>
      </w:tr>
    </w:tbl>
    <w:p>
      <w:pPr>
        <w:spacing w:line="560" w:lineRule="exact"/>
        <w:ind w:firstLine="640" w:firstLineChars="200"/>
        <w:jc w:val="left"/>
        <w:rPr>
          <w:rFonts w:ascii="仿宋_GB2312" w:hAnsi="仿宋_GB2312" w:eastAsia="仿宋_GB2312" w:cs="仿宋_GB2312"/>
          <w:kern w:val="0"/>
          <w:sz w:val="32"/>
          <w:szCs w:val="32"/>
        </w:rPr>
      </w:pPr>
    </w:p>
    <w:p>
      <w:pPr>
        <w:spacing w:line="560" w:lineRule="exact"/>
        <w:ind w:firstLine="640" w:firstLineChars="200"/>
        <w:jc w:val="left"/>
        <w:rPr>
          <w:rFonts w:ascii="仿宋_GB2312" w:hAnsi="仿宋_GB2312" w:eastAsia="仿宋_GB2312" w:cs="仿宋_GB2312"/>
          <w:kern w:val="0"/>
          <w:sz w:val="32"/>
          <w:szCs w:val="32"/>
        </w:rPr>
      </w:pPr>
    </w:p>
    <w:p>
      <w:pPr>
        <w:spacing w:line="560" w:lineRule="exact"/>
        <w:ind w:firstLine="640" w:firstLineChars="200"/>
        <w:jc w:val="left"/>
        <w:rPr>
          <w:rFonts w:ascii="仿宋_GB2312" w:hAnsi="仿宋_GB2312" w:eastAsia="仿宋_GB2312" w:cs="仿宋_GB2312"/>
          <w:kern w:val="0"/>
          <w:sz w:val="32"/>
          <w:szCs w:val="32"/>
        </w:rPr>
      </w:pPr>
    </w:p>
    <w:tbl>
      <w:tblPr>
        <w:tblStyle w:val="7"/>
        <w:tblW w:w="9097" w:type="dxa"/>
        <w:tblInd w:w="93" w:type="dxa"/>
        <w:tblLayout w:type="fixed"/>
        <w:tblCellMar>
          <w:top w:w="0" w:type="dxa"/>
          <w:left w:w="108" w:type="dxa"/>
          <w:bottom w:w="0" w:type="dxa"/>
          <w:right w:w="108" w:type="dxa"/>
        </w:tblCellMar>
      </w:tblPr>
      <w:tblGrid>
        <w:gridCol w:w="1142"/>
        <w:gridCol w:w="1254"/>
        <w:gridCol w:w="449"/>
        <w:gridCol w:w="711"/>
        <w:gridCol w:w="1554"/>
        <w:gridCol w:w="1011"/>
        <w:gridCol w:w="580"/>
        <w:gridCol w:w="1011"/>
        <w:gridCol w:w="1385"/>
      </w:tblGrid>
      <w:tr>
        <w:tblPrEx>
          <w:tblLayout w:type="fixed"/>
          <w:tblCellMar>
            <w:top w:w="0" w:type="dxa"/>
            <w:left w:w="108" w:type="dxa"/>
            <w:bottom w:w="0" w:type="dxa"/>
            <w:right w:w="108" w:type="dxa"/>
          </w:tblCellMar>
        </w:tblPrEx>
        <w:trPr>
          <w:trHeight w:val="405" w:hRule="atLeast"/>
        </w:trPr>
        <w:tc>
          <w:tcPr>
            <w:tcW w:w="9097" w:type="dxa"/>
            <w:gridSpan w:val="9"/>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Layout w:type="fixed"/>
          <w:tblCellMar>
            <w:top w:w="0" w:type="dxa"/>
            <w:left w:w="108" w:type="dxa"/>
            <w:bottom w:w="0" w:type="dxa"/>
            <w:right w:w="108" w:type="dxa"/>
          </w:tblCellMar>
        </w:tblPrEx>
        <w:trPr>
          <w:trHeight w:val="421" w:hRule="atLeast"/>
        </w:trPr>
        <w:tc>
          <w:tcPr>
            <w:tcW w:w="9097" w:type="dxa"/>
            <w:gridSpan w:val="9"/>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(2022年)</w:t>
            </w:r>
          </w:p>
        </w:tc>
      </w:tr>
      <w:tr>
        <w:tblPrEx>
          <w:tblLayout w:type="fixed"/>
          <w:tblCellMar>
            <w:top w:w="0" w:type="dxa"/>
            <w:left w:w="108" w:type="dxa"/>
            <w:bottom w:w="0" w:type="dxa"/>
            <w:right w:w="108" w:type="dxa"/>
          </w:tblCellMar>
        </w:tblPrEx>
        <w:trPr>
          <w:trHeight w:val="686" w:hRule="atLeast"/>
        </w:trPr>
        <w:tc>
          <w:tcPr>
            <w:tcW w:w="1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96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昌吉回族自治州自然资源局</w:t>
            </w:r>
          </w:p>
        </w:tc>
        <w:tc>
          <w:tcPr>
            <w:tcW w:w="10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97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昌吉州耕地后备资源调查评价工作经费</w:t>
            </w:r>
          </w:p>
        </w:tc>
      </w:tr>
      <w:tr>
        <w:tblPrEx>
          <w:tblLayout w:type="fixed"/>
          <w:tblCellMar>
            <w:top w:w="0" w:type="dxa"/>
            <w:left w:w="108" w:type="dxa"/>
            <w:bottom w:w="0" w:type="dxa"/>
            <w:right w:w="108" w:type="dxa"/>
          </w:tblCellMar>
        </w:tblPrEx>
        <w:trPr>
          <w:trHeight w:val="561" w:hRule="atLeast"/>
        </w:trPr>
        <w:tc>
          <w:tcPr>
            <w:tcW w:w="1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0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5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59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3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060" w:hRule="atLeast"/>
        </w:trPr>
        <w:tc>
          <w:tcPr>
            <w:tcW w:w="1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955" w:type="dxa"/>
            <w:gridSpan w:val="8"/>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目标1.全面摸清补充耕地潜力状况，合理开发利用耕地后备资源，将开展新一轮耕地后备资源调查评价工作。目标2.负责组织本地区各县市耕地后备资源调查评价工作的开展，对各县市调查评价成果进行核查，以县为单位汇总报送自治区，并编制州级耕地后备资源调查评价成果。</w:t>
            </w:r>
          </w:p>
        </w:tc>
      </w:tr>
      <w:tr>
        <w:tblPrEx>
          <w:tblLayout w:type="fixed"/>
          <w:tblCellMar>
            <w:top w:w="0" w:type="dxa"/>
            <w:left w:w="108" w:type="dxa"/>
            <w:bottom w:w="0" w:type="dxa"/>
            <w:right w:w="108" w:type="dxa"/>
          </w:tblCellMar>
        </w:tblPrEx>
        <w:trPr>
          <w:trHeight w:val="545" w:hRule="atLeast"/>
        </w:trPr>
        <w:tc>
          <w:tcPr>
            <w:tcW w:w="1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4305"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99" w:hRule="atLeast"/>
        </w:trPr>
        <w:tc>
          <w:tcPr>
            <w:tcW w:w="114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国家、自治区下发图斑核查数（个）</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=60225个</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问题图斑核查整改率（%）</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技术指导（人）</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&gt;=5</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图斑举证资料提交自治区平台（%）</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业务工作开展时间</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=2022年11月-12月</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业务按时完成率（%）</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开展州级耕地后备资源技术人员培训</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&lt;=0.30万元</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7县市耕地后备资源内业数据核查分析</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&lt;=8万元</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7县市耕地后备资源调查数据抽取一定比例进行实地核查</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&lt;=1.70万元</w:t>
            </w:r>
          </w:p>
        </w:tc>
      </w:tr>
      <w:tr>
        <w:tblPrEx>
          <w:tblLayout w:type="fixed"/>
          <w:tblCellMar>
            <w:top w:w="0" w:type="dxa"/>
            <w:left w:w="108" w:type="dxa"/>
            <w:bottom w:w="0" w:type="dxa"/>
            <w:right w:w="108" w:type="dxa"/>
          </w:tblCellMar>
        </w:tblPrEx>
        <w:trPr>
          <w:trHeight w:val="499" w:hRule="atLeast"/>
        </w:trPr>
        <w:tc>
          <w:tcPr>
            <w:tcW w:w="114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经济效益指标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全面摸清昌吉州补充耕地潜力状况</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掌握基础数据</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生态效益指标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有效增加耕地</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有效增加</w:t>
            </w:r>
          </w:p>
        </w:tc>
      </w:tr>
      <w:tr>
        <w:tblPrEx>
          <w:tblLayout w:type="fixed"/>
          <w:tblCellMar>
            <w:top w:w="0" w:type="dxa"/>
            <w:left w:w="108" w:type="dxa"/>
            <w:bottom w:w="0" w:type="dxa"/>
            <w:right w:w="108" w:type="dxa"/>
          </w:tblCellMar>
        </w:tblPrEx>
        <w:trPr>
          <w:trHeight w:val="499" w:hRule="atLeast"/>
        </w:trPr>
        <w:tc>
          <w:tcPr>
            <w:tcW w:w="11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99" w:hRule="atLeast"/>
        </w:trPr>
        <w:tc>
          <w:tcPr>
            <w:tcW w:w="114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25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430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县市自然资源局、园区分局相关人员满意度</w:t>
            </w:r>
          </w:p>
        </w:tc>
        <w:tc>
          <w:tcPr>
            <w:tcW w:w="23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&gt;=90%</w:t>
            </w:r>
          </w:p>
        </w:tc>
      </w:tr>
    </w:tbl>
    <w:p>
      <w:pPr>
        <w:spacing w:line="560" w:lineRule="exact"/>
        <w:ind w:firstLine="640" w:firstLineChars="200"/>
        <w:jc w:val="left"/>
        <w:rPr>
          <w:rFonts w:ascii="仿宋_GB2312" w:hAnsi="仿宋_GB2312" w:eastAsia="仿宋_GB2312" w:cs="仿宋_GB2312"/>
          <w:kern w:val="0"/>
          <w:sz w:val="32"/>
          <w:szCs w:val="32"/>
        </w:rPr>
      </w:pPr>
    </w:p>
    <w:p>
      <w:pPr>
        <w:spacing w:line="560" w:lineRule="exact"/>
        <w:ind w:firstLine="640" w:firstLineChars="200"/>
        <w:jc w:val="left"/>
        <w:rPr>
          <w:rFonts w:ascii="仿宋_GB2312" w:hAnsi="仿宋_GB2312" w:eastAsia="仿宋_GB2312" w:cs="仿宋_GB2312"/>
          <w:kern w:val="0"/>
          <w:sz w:val="32"/>
          <w:szCs w:val="32"/>
        </w:rPr>
      </w:pPr>
    </w:p>
    <w:p>
      <w:pPr>
        <w:spacing w:line="560" w:lineRule="exact"/>
        <w:ind w:firstLine="640" w:firstLineChars="200"/>
        <w:jc w:val="left"/>
        <w:rPr>
          <w:rFonts w:ascii="仿宋_GB2312" w:hAnsi="仿宋_GB2312" w:eastAsia="仿宋_GB2312" w:cs="仿宋_GB2312"/>
          <w:kern w:val="0"/>
          <w:sz w:val="32"/>
          <w:szCs w:val="32"/>
        </w:rPr>
      </w:pPr>
    </w:p>
    <w:tbl>
      <w:tblPr>
        <w:tblStyle w:val="7"/>
        <w:tblW w:w="8984" w:type="dxa"/>
        <w:tblInd w:w="93" w:type="dxa"/>
        <w:tblLayout w:type="fixed"/>
        <w:tblCellMar>
          <w:top w:w="0" w:type="dxa"/>
          <w:left w:w="108" w:type="dxa"/>
          <w:bottom w:w="0" w:type="dxa"/>
          <w:right w:w="108" w:type="dxa"/>
        </w:tblCellMar>
      </w:tblPr>
      <w:tblGrid>
        <w:gridCol w:w="1021"/>
        <w:gridCol w:w="1343"/>
        <w:gridCol w:w="435"/>
        <w:gridCol w:w="681"/>
        <w:gridCol w:w="1437"/>
        <w:gridCol w:w="946"/>
        <w:gridCol w:w="1021"/>
        <w:gridCol w:w="416"/>
        <w:gridCol w:w="1684"/>
      </w:tblGrid>
      <w:tr>
        <w:tblPrEx>
          <w:tblLayout w:type="fixed"/>
          <w:tblCellMar>
            <w:top w:w="0" w:type="dxa"/>
            <w:left w:w="108" w:type="dxa"/>
            <w:bottom w:w="0" w:type="dxa"/>
            <w:right w:w="108" w:type="dxa"/>
          </w:tblCellMar>
        </w:tblPrEx>
        <w:trPr>
          <w:trHeight w:val="392" w:hRule="atLeast"/>
        </w:trPr>
        <w:tc>
          <w:tcPr>
            <w:tcW w:w="8984" w:type="dxa"/>
            <w:gridSpan w:val="9"/>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Layout w:type="fixed"/>
          <w:tblCellMar>
            <w:top w:w="0" w:type="dxa"/>
            <w:left w:w="108" w:type="dxa"/>
            <w:bottom w:w="0" w:type="dxa"/>
            <w:right w:w="108" w:type="dxa"/>
          </w:tblCellMar>
        </w:tblPrEx>
        <w:trPr>
          <w:trHeight w:val="407" w:hRule="atLeast"/>
        </w:trPr>
        <w:tc>
          <w:tcPr>
            <w:tcW w:w="8984" w:type="dxa"/>
            <w:gridSpan w:val="9"/>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(2022年)</w:t>
            </w:r>
          </w:p>
        </w:tc>
      </w:tr>
      <w:tr>
        <w:tblPrEx>
          <w:tblLayout w:type="fixed"/>
          <w:tblCellMar>
            <w:top w:w="0" w:type="dxa"/>
            <w:left w:w="108" w:type="dxa"/>
            <w:bottom w:w="0" w:type="dxa"/>
            <w:right w:w="108" w:type="dxa"/>
          </w:tblCellMar>
        </w:tblPrEx>
        <w:trPr>
          <w:trHeight w:val="724" w:hRule="atLeast"/>
        </w:trPr>
        <w:tc>
          <w:tcPr>
            <w:tcW w:w="10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896"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昌吉回族自治州自然资源局</w:t>
            </w:r>
          </w:p>
        </w:tc>
        <w:tc>
          <w:tcPr>
            <w:tcW w:w="9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12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昌吉州坚决遏制耕地“非农化”专项行动工作专项经费</w:t>
            </w:r>
          </w:p>
        </w:tc>
      </w:tr>
      <w:tr>
        <w:tblPrEx>
          <w:tblLayout w:type="fixed"/>
          <w:tblCellMar>
            <w:top w:w="0" w:type="dxa"/>
            <w:left w:w="108" w:type="dxa"/>
            <w:bottom w:w="0" w:type="dxa"/>
            <w:right w:w="108" w:type="dxa"/>
          </w:tblCellMar>
        </w:tblPrEx>
        <w:trPr>
          <w:trHeight w:val="739" w:hRule="atLeast"/>
        </w:trPr>
        <w:tc>
          <w:tcPr>
            <w:tcW w:w="10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6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4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9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43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845" w:hRule="atLeast"/>
        </w:trPr>
        <w:tc>
          <w:tcPr>
            <w:tcW w:w="10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963" w:type="dxa"/>
            <w:gridSpan w:val="8"/>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目标1.2022年主要任务是建立问题清单、主动认领任务、研究制定处置政策措施；目标2.边查边改、全面整改、先易后难、妥善处置，与卫片执法、农村乱占耕地建房清查专项整治问题同步处置，确保2022年全部处置到位。</w:t>
            </w:r>
          </w:p>
        </w:tc>
      </w:tr>
      <w:tr>
        <w:tblPrEx>
          <w:tblLayout w:type="fixed"/>
          <w:tblCellMar>
            <w:top w:w="0" w:type="dxa"/>
            <w:left w:w="108" w:type="dxa"/>
            <w:bottom w:w="0" w:type="dxa"/>
            <w:right w:w="108" w:type="dxa"/>
          </w:tblCellMar>
        </w:tblPrEx>
        <w:trPr>
          <w:trHeight w:val="618" w:hRule="atLeast"/>
        </w:trPr>
        <w:tc>
          <w:tcPr>
            <w:tcW w:w="10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4520"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558" w:hRule="atLeast"/>
        </w:trPr>
        <w:tc>
          <w:tcPr>
            <w:tcW w:w="102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自治区下发图斑核查数（个）</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=73860个</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问题图斑核查整改率（%）</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技术指导（人）</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&gt;=5人</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图斑举证资料提交自治区平台（%）</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业务工作开展时间</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=2022年1月-12月</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业务按时完成率（%）</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技术服务合同签订50%</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&lt;=5万元</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县市、园区图版审核提交自治区</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&lt;=5万元</w:t>
            </w:r>
          </w:p>
        </w:tc>
      </w:tr>
      <w:tr>
        <w:tblPrEx>
          <w:tblLayout w:type="fixed"/>
          <w:tblCellMar>
            <w:top w:w="0" w:type="dxa"/>
            <w:left w:w="108" w:type="dxa"/>
            <w:bottom w:w="0" w:type="dxa"/>
            <w:right w:w="108" w:type="dxa"/>
          </w:tblCellMar>
        </w:tblPrEx>
        <w:trPr>
          <w:trHeight w:val="558" w:hRule="atLeast"/>
        </w:trPr>
        <w:tc>
          <w:tcPr>
            <w:tcW w:w="102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经济效益指标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全州耕地面积保有量</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不减少</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生态效益指标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有效增加耕地</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有效增加</w:t>
            </w:r>
          </w:p>
        </w:tc>
      </w:tr>
      <w:tr>
        <w:tblPrEx>
          <w:tblLayout w:type="fixed"/>
          <w:tblCellMar>
            <w:top w:w="0" w:type="dxa"/>
            <w:left w:w="108" w:type="dxa"/>
            <w:bottom w:w="0" w:type="dxa"/>
            <w:right w:w="108" w:type="dxa"/>
          </w:tblCellMar>
        </w:tblPrEx>
        <w:trPr>
          <w:trHeight w:val="558" w:hRule="atLeast"/>
        </w:trPr>
        <w:tc>
          <w:tcPr>
            <w:tcW w:w="10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58" w:hRule="atLeast"/>
        </w:trPr>
        <w:tc>
          <w:tcPr>
            <w:tcW w:w="102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3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4520"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县市自然资源局、园区国土分局人员满意度</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&gt;=95%</w:t>
            </w:r>
          </w:p>
        </w:tc>
      </w:tr>
    </w:tbl>
    <w:p>
      <w:pPr>
        <w:spacing w:line="560" w:lineRule="exact"/>
        <w:ind w:firstLine="640" w:firstLineChars="200"/>
        <w:jc w:val="left"/>
        <w:rPr>
          <w:rFonts w:ascii="仿宋_GB2312" w:hAnsi="仿宋_GB2312" w:eastAsia="仿宋_GB2312" w:cs="仿宋_GB2312"/>
          <w:kern w:val="0"/>
          <w:sz w:val="32"/>
          <w:szCs w:val="32"/>
        </w:rPr>
      </w:pPr>
    </w:p>
    <w:p>
      <w:pPr>
        <w:spacing w:line="560" w:lineRule="exact"/>
        <w:ind w:firstLine="640" w:firstLineChars="200"/>
        <w:jc w:val="left"/>
        <w:rPr>
          <w:rFonts w:ascii="仿宋_GB2312" w:hAnsi="仿宋_GB2312" w:eastAsia="仿宋_GB2312" w:cs="仿宋_GB2312"/>
          <w:kern w:val="0"/>
          <w:sz w:val="32"/>
          <w:szCs w:val="32"/>
        </w:rPr>
      </w:pPr>
    </w:p>
    <w:p>
      <w:pPr>
        <w:spacing w:line="560" w:lineRule="exact"/>
        <w:ind w:firstLine="640" w:firstLineChars="200"/>
        <w:jc w:val="left"/>
        <w:rPr>
          <w:rFonts w:ascii="仿宋_GB2312" w:hAnsi="仿宋_GB2312" w:eastAsia="仿宋_GB2312" w:cs="仿宋_GB2312"/>
          <w:kern w:val="0"/>
          <w:sz w:val="32"/>
          <w:szCs w:val="32"/>
        </w:rPr>
      </w:pPr>
    </w:p>
    <w:tbl>
      <w:tblPr>
        <w:tblStyle w:val="7"/>
        <w:tblW w:w="8661" w:type="dxa"/>
        <w:tblInd w:w="93" w:type="dxa"/>
        <w:tblLayout w:type="fixed"/>
        <w:tblCellMar>
          <w:top w:w="0" w:type="dxa"/>
          <w:left w:w="108" w:type="dxa"/>
          <w:bottom w:w="0" w:type="dxa"/>
          <w:right w:w="108" w:type="dxa"/>
        </w:tblCellMar>
      </w:tblPr>
      <w:tblGrid>
        <w:gridCol w:w="958"/>
        <w:gridCol w:w="1207"/>
        <w:gridCol w:w="710"/>
        <w:gridCol w:w="763"/>
        <w:gridCol w:w="1278"/>
        <w:gridCol w:w="958"/>
        <w:gridCol w:w="728"/>
        <w:gridCol w:w="479"/>
        <w:gridCol w:w="1580"/>
      </w:tblGrid>
      <w:tr>
        <w:tblPrEx>
          <w:tblLayout w:type="fixed"/>
          <w:tblCellMar>
            <w:top w:w="0" w:type="dxa"/>
            <w:left w:w="108" w:type="dxa"/>
            <w:bottom w:w="0" w:type="dxa"/>
            <w:right w:w="108" w:type="dxa"/>
          </w:tblCellMar>
        </w:tblPrEx>
        <w:trPr>
          <w:trHeight w:val="398" w:hRule="atLeast"/>
        </w:trPr>
        <w:tc>
          <w:tcPr>
            <w:tcW w:w="8661" w:type="dxa"/>
            <w:gridSpan w:val="9"/>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Layout w:type="fixed"/>
          <w:tblCellMar>
            <w:top w:w="0" w:type="dxa"/>
            <w:left w:w="108" w:type="dxa"/>
            <w:bottom w:w="0" w:type="dxa"/>
            <w:right w:w="108" w:type="dxa"/>
          </w:tblCellMar>
        </w:tblPrEx>
        <w:trPr>
          <w:trHeight w:val="413" w:hRule="atLeast"/>
        </w:trPr>
        <w:tc>
          <w:tcPr>
            <w:tcW w:w="8661" w:type="dxa"/>
            <w:gridSpan w:val="9"/>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(2022年)</w:t>
            </w:r>
          </w:p>
        </w:tc>
      </w:tr>
      <w:tr>
        <w:tblPrEx>
          <w:tblLayout w:type="fixed"/>
          <w:tblCellMar>
            <w:top w:w="0" w:type="dxa"/>
            <w:left w:w="108" w:type="dxa"/>
            <w:bottom w:w="0" w:type="dxa"/>
            <w:right w:w="108" w:type="dxa"/>
          </w:tblCellMar>
        </w:tblPrEx>
        <w:trPr>
          <w:trHeight w:val="673" w:hRule="atLeast"/>
        </w:trPr>
        <w:tc>
          <w:tcPr>
            <w:tcW w:w="9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95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昌吉回族自治州自然资源局</w:t>
            </w: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78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昌吉州用水总量控制工作</w:t>
            </w:r>
          </w:p>
        </w:tc>
      </w:tr>
      <w:tr>
        <w:tblPrEx>
          <w:tblLayout w:type="fixed"/>
          <w:tblCellMar>
            <w:top w:w="0" w:type="dxa"/>
            <w:left w:w="108" w:type="dxa"/>
            <w:bottom w:w="0" w:type="dxa"/>
            <w:right w:w="108" w:type="dxa"/>
          </w:tblCellMar>
        </w:tblPrEx>
        <w:trPr>
          <w:trHeight w:val="796" w:hRule="atLeast"/>
        </w:trPr>
        <w:tc>
          <w:tcPr>
            <w:tcW w:w="9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9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2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9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20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887" w:hRule="atLeast"/>
        </w:trPr>
        <w:tc>
          <w:tcPr>
            <w:tcW w:w="9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703" w:type="dxa"/>
            <w:gridSpan w:val="8"/>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目标1.完成国有耕地、储备补充耕地年度实际种植面积、退减灌溉、休耕轮作面积的矢量数据库标注工作（含山旱地）；目标2.是负责根据农业农村部门、林草部门、水利部门提供的落图成果，结合第三次全国国土调查成果，完成矢量数据套核，为全州科学合理控制用水总量提供技术支撑</w:t>
            </w:r>
          </w:p>
        </w:tc>
      </w:tr>
      <w:tr>
        <w:tblPrEx>
          <w:tblLayout w:type="fixed"/>
          <w:tblCellMar>
            <w:top w:w="0" w:type="dxa"/>
            <w:left w:w="108" w:type="dxa"/>
            <w:bottom w:w="0" w:type="dxa"/>
            <w:right w:w="108" w:type="dxa"/>
          </w:tblCellMar>
        </w:tblPrEx>
        <w:trPr>
          <w:trHeight w:val="750" w:hRule="atLeast"/>
        </w:trPr>
        <w:tc>
          <w:tcPr>
            <w:tcW w:w="9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2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443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90" w:hRule="atLeast"/>
        </w:trPr>
        <w:tc>
          <w:tcPr>
            <w:tcW w:w="95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涉及图斑数据整理</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≥1000个</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数据汇总（次）</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&gt;=7次</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图件编制（副）</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&gt;=7副</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技术服务指导（人）</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&gt;=7人</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为全州科学合理控制用水总量提供技术支撑</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各项业务工作按时完成率（%)</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各项业务工作开展时间</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=2022年1-12月</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前期招标</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&lt;=0.5万元</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数据整理、汇总</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&lt;=14.5万元</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图件编制、技术服务</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&lt;=5万元</w:t>
            </w:r>
          </w:p>
        </w:tc>
      </w:tr>
      <w:tr>
        <w:tblPrEx>
          <w:tblLayout w:type="fixed"/>
          <w:tblCellMar>
            <w:top w:w="0" w:type="dxa"/>
            <w:left w:w="108" w:type="dxa"/>
            <w:bottom w:w="0" w:type="dxa"/>
            <w:right w:w="108" w:type="dxa"/>
          </w:tblCellMar>
        </w:tblPrEx>
        <w:trPr>
          <w:trHeight w:val="490" w:hRule="atLeast"/>
        </w:trPr>
        <w:tc>
          <w:tcPr>
            <w:tcW w:w="95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经济效益指标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719"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落实最严格水资源管理制度，采取科学有效的治理措施，积极稳妥推进水资源管理与保护工作</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有效提高</w:t>
            </w:r>
          </w:p>
        </w:tc>
      </w:tr>
      <w:tr>
        <w:tblPrEx>
          <w:tblLayout w:type="fixed"/>
          <w:tblCellMar>
            <w:top w:w="0" w:type="dxa"/>
            <w:left w:w="108" w:type="dxa"/>
            <w:bottom w:w="0" w:type="dxa"/>
            <w:right w:w="108" w:type="dxa"/>
          </w:tblCellMar>
        </w:tblPrEx>
        <w:trPr>
          <w:trHeight w:val="719"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生态效益指标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逐年递减地下水开采量。确保2025年全州地下水控制在7.74亿方以内</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有效控制</w:t>
            </w:r>
          </w:p>
        </w:tc>
      </w:tr>
      <w:tr>
        <w:tblPrEx>
          <w:tblLayout w:type="fixed"/>
          <w:tblCellMar>
            <w:top w:w="0" w:type="dxa"/>
            <w:left w:w="108" w:type="dxa"/>
            <w:bottom w:w="0" w:type="dxa"/>
            <w:right w:w="108" w:type="dxa"/>
          </w:tblCellMar>
        </w:tblPrEx>
        <w:trPr>
          <w:trHeight w:val="490" w:hRule="atLeast"/>
        </w:trPr>
        <w:tc>
          <w:tcPr>
            <w:tcW w:w="9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90" w:hRule="atLeast"/>
        </w:trPr>
        <w:tc>
          <w:tcPr>
            <w:tcW w:w="9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20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443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县市（园区）自然资源局相关人员满意度</w:t>
            </w:r>
          </w:p>
        </w:tc>
        <w:tc>
          <w:tcPr>
            <w:tcW w:w="20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&gt;=90%</w:t>
            </w:r>
          </w:p>
        </w:tc>
      </w:tr>
    </w:tbl>
    <w:p>
      <w:pPr>
        <w:spacing w:line="560" w:lineRule="exact"/>
        <w:ind w:firstLine="640" w:firstLineChars="200"/>
        <w:jc w:val="left"/>
        <w:rPr>
          <w:rFonts w:ascii="仿宋_GB2312" w:hAnsi="仿宋_GB2312" w:eastAsia="仿宋_GB2312" w:cs="仿宋_GB2312"/>
          <w:kern w:val="0"/>
          <w:sz w:val="32"/>
          <w:szCs w:val="32"/>
        </w:rPr>
      </w:pPr>
    </w:p>
    <w:tbl>
      <w:tblPr>
        <w:tblStyle w:val="7"/>
        <w:tblW w:w="8611" w:type="dxa"/>
        <w:tblInd w:w="93" w:type="dxa"/>
        <w:tblLayout w:type="fixed"/>
        <w:tblCellMar>
          <w:top w:w="0" w:type="dxa"/>
          <w:left w:w="108" w:type="dxa"/>
          <w:bottom w:w="0" w:type="dxa"/>
          <w:right w:w="108" w:type="dxa"/>
        </w:tblCellMar>
      </w:tblPr>
      <w:tblGrid>
        <w:gridCol w:w="973"/>
        <w:gridCol w:w="1387"/>
        <w:gridCol w:w="522"/>
        <w:gridCol w:w="703"/>
        <w:gridCol w:w="1369"/>
        <w:gridCol w:w="973"/>
        <w:gridCol w:w="630"/>
        <w:gridCol w:w="739"/>
        <w:gridCol w:w="1315"/>
      </w:tblGrid>
      <w:tr>
        <w:tblPrEx>
          <w:tblLayout w:type="fixed"/>
          <w:tblCellMar>
            <w:top w:w="0" w:type="dxa"/>
            <w:left w:w="108" w:type="dxa"/>
            <w:bottom w:w="0" w:type="dxa"/>
            <w:right w:w="108" w:type="dxa"/>
          </w:tblCellMar>
        </w:tblPrEx>
        <w:trPr>
          <w:trHeight w:val="426" w:hRule="atLeast"/>
        </w:trPr>
        <w:tc>
          <w:tcPr>
            <w:tcW w:w="8611" w:type="dxa"/>
            <w:gridSpan w:val="9"/>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Layout w:type="fixed"/>
          <w:tblCellMar>
            <w:top w:w="0" w:type="dxa"/>
            <w:left w:w="108" w:type="dxa"/>
            <w:bottom w:w="0" w:type="dxa"/>
            <w:right w:w="108" w:type="dxa"/>
          </w:tblCellMar>
        </w:tblPrEx>
        <w:trPr>
          <w:trHeight w:val="442" w:hRule="atLeast"/>
        </w:trPr>
        <w:tc>
          <w:tcPr>
            <w:tcW w:w="8611" w:type="dxa"/>
            <w:gridSpan w:val="9"/>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(2022年)</w:t>
            </w:r>
          </w:p>
        </w:tc>
      </w:tr>
      <w:tr>
        <w:tblPrEx>
          <w:tblLayout w:type="fixed"/>
          <w:tblCellMar>
            <w:top w:w="0" w:type="dxa"/>
            <w:left w:w="108" w:type="dxa"/>
            <w:bottom w:w="0" w:type="dxa"/>
            <w:right w:w="108" w:type="dxa"/>
          </w:tblCellMar>
        </w:tblPrEx>
        <w:trPr>
          <w:trHeight w:val="720" w:hRule="atLeast"/>
        </w:trPr>
        <w:tc>
          <w:tcPr>
            <w:tcW w:w="97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98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昌吉回族自治州自然资源局</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68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矿山地质环境保护与土地复垦方案工作经费</w:t>
            </w:r>
          </w:p>
        </w:tc>
      </w:tr>
      <w:tr>
        <w:tblPrEx>
          <w:tblLayout w:type="fixed"/>
          <w:tblCellMar>
            <w:top w:w="0" w:type="dxa"/>
            <w:left w:w="108" w:type="dxa"/>
            <w:bottom w:w="0" w:type="dxa"/>
            <w:right w:w="108" w:type="dxa"/>
          </w:tblCellMar>
        </w:tblPrEx>
        <w:trPr>
          <w:trHeight w:val="916" w:hRule="atLeast"/>
        </w:trPr>
        <w:tc>
          <w:tcPr>
            <w:tcW w:w="97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90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3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36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3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818" w:hRule="atLeast"/>
        </w:trPr>
        <w:tc>
          <w:tcPr>
            <w:tcW w:w="97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638" w:type="dxa"/>
            <w:gridSpan w:val="8"/>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目标1.做好《方案》审查工作。坚持土地复垦，促进当地社会发展，坚持生态保护第一，严格执行矿山保护与土地复垦。</w:t>
            </w:r>
          </w:p>
        </w:tc>
      </w:tr>
      <w:tr>
        <w:tblPrEx>
          <w:tblLayout w:type="fixed"/>
          <w:tblCellMar>
            <w:top w:w="0" w:type="dxa"/>
            <w:left w:w="108" w:type="dxa"/>
            <w:bottom w:w="0" w:type="dxa"/>
            <w:right w:w="108" w:type="dxa"/>
          </w:tblCellMar>
        </w:tblPrEx>
        <w:trPr>
          <w:trHeight w:val="622" w:hRule="atLeast"/>
        </w:trPr>
        <w:tc>
          <w:tcPr>
            <w:tcW w:w="97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3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419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671" w:hRule="atLeast"/>
        </w:trPr>
        <w:tc>
          <w:tcPr>
            <w:tcW w:w="97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完成《方案》审查工作（个）</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=20个</w:t>
            </w:r>
          </w:p>
        </w:tc>
      </w:tr>
      <w:tr>
        <w:tblPrEx>
          <w:tblLayout w:type="fixed"/>
          <w:tblCellMar>
            <w:top w:w="0" w:type="dxa"/>
            <w:left w:w="108" w:type="dxa"/>
            <w:bottom w:w="0" w:type="dxa"/>
            <w:right w:w="108" w:type="dxa"/>
          </w:tblCellMar>
        </w:tblPrEx>
        <w:trPr>
          <w:trHeight w:val="671"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专家评审通过</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&gt;95%</w:t>
            </w:r>
          </w:p>
        </w:tc>
      </w:tr>
      <w:tr>
        <w:tblPrEx>
          <w:tblLayout w:type="fixed"/>
          <w:tblCellMar>
            <w:top w:w="0" w:type="dxa"/>
            <w:left w:w="108" w:type="dxa"/>
            <w:bottom w:w="0" w:type="dxa"/>
            <w:right w:w="108" w:type="dxa"/>
          </w:tblCellMar>
        </w:tblPrEx>
        <w:trPr>
          <w:trHeight w:val="671"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严格按照《方案》时间节点完成审查</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671"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开展《方案》审查工作所需时间</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=12个月</w:t>
            </w:r>
          </w:p>
        </w:tc>
      </w:tr>
      <w:tr>
        <w:tblPrEx>
          <w:tblLayout w:type="fixed"/>
          <w:tblCellMar>
            <w:top w:w="0" w:type="dxa"/>
            <w:left w:w="108" w:type="dxa"/>
            <w:bottom w:w="0" w:type="dxa"/>
            <w:right w:w="108" w:type="dxa"/>
          </w:tblCellMar>
        </w:tblPrEx>
        <w:trPr>
          <w:trHeight w:val="671"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《方案》评审费用</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&lt;=10万元</w:t>
            </w:r>
          </w:p>
        </w:tc>
      </w:tr>
      <w:tr>
        <w:tblPrEx>
          <w:tblLayout w:type="fixed"/>
          <w:tblCellMar>
            <w:top w:w="0" w:type="dxa"/>
            <w:left w:w="108" w:type="dxa"/>
            <w:bottom w:w="0" w:type="dxa"/>
            <w:right w:w="108" w:type="dxa"/>
          </w:tblCellMar>
        </w:tblPrEx>
        <w:trPr>
          <w:trHeight w:val="671" w:hRule="atLeast"/>
        </w:trPr>
        <w:tc>
          <w:tcPr>
            <w:tcW w:w="97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经济效益指标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671"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坚持土地复垦，促进当地社会发展</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有效促进</w:t>
            </w:r>
          </w:p>
        </w:tc>
      </w:tr>
      <w:tr>
        <w:tblPrEx>
          <w:tblLayout w:type="fixed"/>
          <w:tblCellMar>
            <w:top w:w="0" w:type="dxa"/>
            <w:left w:w="108" w:type="dxa"/>
            <w:bottom w:w="0" w:type="dxa"/>
            <w:right w:w="108" w:type="dxa"/>
          </w:tblCellMar>
        </w:tblPrEx>
        <w:trPr>
          <w:trHeight w:val="671"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生态效益指标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坚持生态保护第一，严格执行矿山保护与土地复垦。</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长期</w:t>
            </w:r>
          </w:p>
        </w:tc>
      </w:tr>
      <w:tr>
        <w:tblPrEx>
          <w:tblLayout w:type="fixed"/>
          <w:tblCellMar>
            <w:top w:w="0" w:type="dxa"/>
            <w:left w:w="108" w:type="dxa"/>
            <w:bottom w:w="0" w:type="dxa"/>
            <w:right w:w="108" w:type="dxa"/>
          </w:tblCellMar>
        </w:tblPrEx>
        <w:trPr>
          <w:trHeight w:val="671"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671" w:hRule="atLeast"/>
        </w:trPr>
        <w:tc>
          <w:tcPr>
            <w:tcW w:w="97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3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4197"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工作人员满意率（%）</w:t>
            </w:r>
          </w:p>
        </w:tc>
        <w:tc>
          <w:tcPr>
            <w:tcW w:w="20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&gt;=90%</w:t>
            </w:r>
          </w:p>
        </w:tc>
      </w:tr>
    </w:tbl>
    <w:p>
      <w:pPr>
        <w:spacing w:line="560" w:lineRule="exact"/>
        <w:ind w:firstLine="640" w:firstLineChars="200"/>
        <w:jc w:val="left"/>
        <w:rPr>
          <w:rFonts w:ascii="仿宋_GB2312" w:hAnsi="仿宋_GB2312" w:eastAsia="仿宋_GB2312" w:cs="仿宋_GB2312"/>
          <w:kern w:val="0"/>
          <w:sz w:val="32"/>
          <w:szCs w:val="32"/>
        </w:rPr>
      </w:pPr>
    </w:p>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区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3" w:firstLineChars="200"/>
        <w:rPr>
          <w:rFonts w:ascii="仿宋_GB2312" w:hAnsi="宋体" w:eastAsia="仿宋_GB2312" w:cs="宋体"/>
          <w:kern w:val="0"/>
          <w:sz w:val="32"/>
          <w:szCs w:val="32"/>
        </w:rPr>
      </w:pPr>
      <w:r>
        <w:rPr>
          <w:rFonts w:hint="eastAsia" w:ascii="仿宋_GB2312" w:eastAsia="仿宋_GB2312"/>
          <w:b/>
          <w:sz w:val="32"/>
          <w:szCs w:val="32"/>
        </w:rPr>
        <w:t>（各部门单位应根据部门单位预算公开表中对应的经费情况进行名词解释，对未涉及的名词应删除）</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昌吉州自然资源局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w:pict>
        <v:shape id="文本框 8" o:spid="_x0000_s4097" o:spt="202" type="#_x0000_t202" style="position:absolute;left:0pt;margin-top:0pt;height:18.15pt;width:42.05pt;mso-position-horizontal:outside;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">
          <v:path arrowok="t"/>
          <v:fill on="f" focussize="0,0"/>
          <v:stroke on="f" joinstyle="miter"/>
          <v:imagedata o:title=""/>
          <o:lock v:ext="edit"/>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w:pict>
        <v:shape id="文本框 9" o:spid="_x0000_s4098" o:spt="202" type="#_x0000_t202" style="position:absolute;left:0pt;margin-top:0pt;height:18.15pt;width:42.05pt;mso-position-horizontal:outside;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">
          <v:path arrowok="t"/>
          <v:fill on="f" focussize="0,0"/>
          <v:stroke on="f" joinstyle="miter"/>
          <v:imagedata o:title=""/>
          <o:lock v:ext="edit"/>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w:pict>
        <v:shape id="文本框 10" o:spid="_x0000_s4099" o:spt="202" type="#_x0000_t202" style="position:absolute;left:0pt;margin-top:0pt;height:18.15pt;width:42.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">
          <v:path arrowok="t"/>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92</w:t>
                </w:r>
                <w:r>
                  <w:rPr>
                    <w:rFonts w:hint="eastAsia" w:ascii="宋体" w:hAnsi="宋体" w:cs="宋体"/>
                    <w:sz w:val="28"/>
                    <w:szCs w:val="28"/>
                  </w:rPr>
                  <w:fldChar w:fldCharType="end"/>
                </w:r>
              </w:p>
            </w:txbxContent>
          </v:textbox>
        </v:shape>
      </w:pic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tentative="0">
      <w:start w:val="6"/>
      <w:numFmt w:val="chineseCounting"/>
      <w:lvlText w:val="(%1)"/>
      <w:lvlJc w:val="left"/>
      <w:pPr>
        <w:tabs>
          <w:tab w:val="left" w:pos="312"/>
        </w:tabs>
      </w:pPr>
      <w:rPr>
        <w:rFonts w:hint="eastAsia"/>
      </w:rPr>
    </w:lvl>
  </w:abstractNum>
  <w:abstractNum w:abstractNumId="1">
    <w:nsid w:val="00000007"/>
    <w:multiLevelType w:val="singleLevel"/>
    <w:tmpl w:val="00000007"/>
    <w:lvl w:ilvl="0" w:tentative="0">
      <w:start w:val="10"/>
      <w:numFmt w:val="decimal"/>
      <w:suff w:val="nothing"/>
      <w:lvlText w:val="%1、"/>
      <w:lvlJc w:val="left"/>
    </w:lvl>
  </w:abstractNum>
  <w:abstractNum w:abstractNumId="2">
    <w:nsid w:val="00000008"/>
    <w:multiLevelType w:val="singleLevel"/>
    <w:tmpl w:val="00000008"/>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201E1"/>
    <w:rsid w:val="00046F16"/>
    <w:rsid w:val="00063C08"/>
    <w:rsid w:val="0006416A"/>
    <w:rsid w:val="000950D2"/>
    <w:rsid w:val="000A0524"/>
    <w:rsid w:val="000A217F"/>
    <w:rsid w:val="000B10EB"/>
    <w:rsid w:val="000B3E49"/>
    <w:rsid w:val="000C260F"/>
    <w:rsid w:val="000F214B"/>
    <w:rsid w:val="00134E1E"/>
    <w:rsid w:val="001553F6"/>
    <w:rsid w:val="00167540"/>
    <w:rsid w:val="00181C14"/>
    <w:rsid w:val="001902C1"/>
    <w:rsid w:val="00191DF6"/>
    <w:rsid w:val="001E6066"/>
    <w:rsid w:val="00205112"/>
    <w:rsid w:val="0022495A"/>
    <w:rsid w:val="00245AA0"/>
    <w:rsid w:val="0025096A"/>
    <w:rsid w:val="002521D6"/>
    <w:rsid w:val="0027241D"/>
    <w:rsid w:val="00272DBC"/>
    <w:rsid w:val="00281537"/>
    <w:rsid w:val="002B353C"/>
    <w:rsid w:val="002B6817"/>
    <w:rsid w:val="002E5250"/>
    <w:rsid w:val="0035198C"/>
    <w:rsid w:val="003557ED"/>
    <w:rsid w:val="00371656"/>
    <w:rsid w:val="003923D8"/>
    <w:rsid w:val="003C2655"/>
    <w:rsid w:val="004265FD"/>
    <w:rsid w:val="00432BE1"/>
    <w:rsid w:val="00450304"/>
    <w:rsid w:val="00470710"/>
    <w:rsid w:val="0047118F"/>
    <w:rsid w:val="004D22F2"/>
    <w:rsid w:val="004D477F"/>
    <w:rsid w:val="004E2EA4"/>
    <w:rsid w:val="00513A22"/>
    <w:rsid w:val="0051797D"/>
    <w:rsid w:val="0052353B"/>
    <w:rsid w:val="005378BD"/>
    <w:rsid w:val="0054731C"/>
    <w:rsid w:val="00547D0F"/>
    <w:rsid w:val="00552961"/>
    <w:rsid w:val="0057426D"/>
    <w:rsid w:val="0059437A"/>
    <w:rsid w:val="006461E7"/>
    <w:rsid w:val="00692D26"/>
    <w:rsid w:val="00696B11"/>
    <w:rsid w:val="006A6C41"/>
    <w:rsid w:val="006C7DDF"/>
    <w:rsid w:val="006F5BC3"/>
    <w:rsid w:val="00717EA7"/>
    <w:rsid w:val="00743B77"/>
    <w:rsid w:val="007441EE"/>
    <w:rsid w:val="00744DC7"/>
    <w:rsid w:val="00771BA2"/>
    <w:rsid w:val="007D719C"/>
    <w:rsid w:val="007F69A2"/>
    <w:rsid w:val="00816020"/>
    <w:rsid w:val="00873F8B"/>
    <w:rsid w:val="00890B82"/>
    <w:rsid w:val="00896E0D"/>
    <w:rsid w:val="008A5B1E"/>
    <w:rsid w:val="008A7D34"/>
    <w:rsid w:val="008D27EB"/>
    <w:rsid w:val="008D6357"/>
    <w:rsid w:val="008F1819"/>
    <w:rsid w:val="0090107A"/>
    <w:rsid w:val="00906D4E"/>
    <w:rsid w:val="0091397F"/>
    <w:rsid w:val="00921F0E"/>
    <w:rsid w:val="00930BA3"/>
    <w:rsid w:val="00944B81"/>
    <w:rsid w:val="009872F0"/>
    <w:rsid w:val="009A674C"/>
    <w:rsid w:val="009B581A"/>
    <w:rsid w:val="009C5765"/>
    <w:rsid w:val="009F1E36"/>
    <w:rsid w:val="009F67F0"/>
    <w:rsid w:val="00A21ABC"/>
    <w:rsid w:val="00A4323A"/>
    <w:rsid w:val="00A4462D"/>
    <w:rsid w:val="00A726E6"/>
    <w:rsid w:val="00A75BAB"/>
    <w:rsid w:val="00A819A8"/>
    <w:rsid w:val="00A97835"/>
    <w:rsid w:val="00AC16E8"/>
    <w:rsid w:val="00AC289E"/>
    <w:rsid w:val="00AE4940"/>
    <w:rsid w:val="00AE7FC9"/>
    <w:rsid w:val="00AF3F7E"/>
    <w:rsid w:val="00AF7EB2"/>
    <w:rsid w:val="00B141E5"/>
    <w:rsid w:val="00B30828"/>
    <w:rsid w:val="00B717BE"/>
    <w:rsid w:val="00B72327"/>
    <w:rsid w:val="00BA3406"/>
    <w:rsid w:val="00BD4820"/>
    <w:rsid w:val="00BD76F2"/>
    <w:rsid w:val="00BF0080"/>
    <w:rsid w:val="00BF3F84"/>
    <w:rsid w:val="00C12D75"/>
    <w:rsid w:val="00C57644"/>
    <w:rsid w:val="00C604DF"/>
    <w:rsid w:val="00C66C18"/>
    <w:rsid w:val="00CA54D0"/>
    <w:rsid w:val="00CD2530"/>
    <w:rsid w:val="00CE267A"/>
    <w:rsid w:val="00CE4C77"/>
    <w:rsid w:val="00CF3E93"/>
    <w:rsid w:val="00D43C8B"/>
    <w:rsid w:val="00D85033"/>
    <w:rsid w:val="00D87DF2"/>
    <w:rsid w:val="00D91072"/>
    <w:rsid w:val="00DA7491"/>
    <w:rsid w:val="00DB0D24"/>
    <w:rsid w:val="00DC3807"/>
    <w:rsid w:val="00DD5D67"/>
    <w:rsid w:val="00DD7A19"/>
    <w:rsid w:val="00E20829"/>
    <w:rsid w:val="00E265A3"/>
    <w:rsid w:val="00E30D45"/>
    <w:rsid w:val="00E365A4"/>
    <w:rsid w:val="00E562B0"/>
    <w:rsid w:val="00E828E6"/>
    <w:rsid w:val="00E91B21"/>
    <w:rsid w:val="00F048CC"/>
    <w:rsid w:val="00F20610"/>
    <w:rsid w:val="00F307C7"/>
    <w:rsid w:val="00F56952"/>
    <w:rsid w:val="00F91EEB"/>
    <w:rsid w:val="00F9206E"/>
    <w:rsid w:val="00FA069D"/>
    <w:rsid w:val="00FA1863"/>
    <w:rsid w:val="00FB2106"/>
    <w:rsid w:val="00FE1A90"/>
    <w:rsid w:val="01F10ECC"/>
    <w:rsid w:val="048011C9"/>
    <w:rsid w:val="054A43C6"/>
    <w:rsid w:val="06DB53B4"/>
    <w:rsid w:val="18D138FC"/>
    <w:rsid w:val="1A94507A"/>
    <w:rsid w:val="1C836789"/>
    <w:rsid w:val="1C953C3F"/>
    <w:rsid w:val="1DE4621D"/>
    <w:rsid w:val="1E6E4D7B"/>
    <w:rsid w:val="2C7E3755"/>
    <w:rsid w:val="355F0FDA"/>
    <w:rsid w:val="37B40463"/>
    <w:rsid w:val="3AC67E85"/>
    <w:rsid w:val="3E326077"/>
    <w:rsid w:val="437F2F0E"/>
    <w:rsid w:val="45F069BA"/>
    <w:rsid w:val="48325897"/>
    <w:rsid w:val="4B565C74"/>
    <w:rsid w:val="4DE70648"/>
    <w:rsid w:val="52F6244D"/>
    <w:rsid w:val="63521C04"/>
    <w:rsid w:val="75A435FE"/>
    <w:rsid w:val="78FC5E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paragraph" w:styleId="2">
    <w:name w:val="heading 3"/>
    <w:basedOn w:val="1"/>
    <w:next w:val="1"/>
    <w:qFormat/>
    <w:uiPriority w:val="99"/>
    <w:pPr>
      <w:keepNext/>
      <w:keepLines/>
      <w:outlineLvl w:val="2"/>
    </w:pPr>
    <w:rPr>
      <w:b/>
      <w:bCs/>
      <w:szCs w:val="32"/>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3"/>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4098"/>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E5D3EA-23C4-4140-8A15-7E9A125B29E1}">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40</Pages>
  <Words>3152</Words>
  <Characters>17967</Characters>
  <Lines>149</Lines>
  <Paragraphs>42</Paragraphs>
  <TotalTime>11</TotalTime>
  <ScaleCrop>false</ScaleCrop>
  <LinksUpToDate>false</LinksUpToDate>
  <CharactersWithSpaces>21077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2022-04-06T06:06:00Z</dcterms:created>
  <dc:creator>闫超</dc:creator>
  <cp:lastModifiedBy>Administrator</cp:lastModifiedBy>
  <dcterms:modified xsi:type="dcterms:W3CDTF">2022-12-20T15:19:55Z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